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86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86473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Wilcox Stuart Anthony</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5"/>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Agrify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AGFY</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01/28/2022</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AGRIFY CORPORATION</w:t>
            </w:r>
          </w:p>
        </w:tc>
        <w:tc>
          <w:tcPr>
            <w:tcW w:w="110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76 TREBLE COVE ROAD, BUILDING 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BILLERICA</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01862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gridSpan w:val="5"/>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gridSpan w:val="5"/>
          </w:tcPr>
          <w:p>
            <w:pPr>
              <w:ind w:left="860"/>
              <w:spacing w:after="0"/>
              <w:rPr>
                <w:sz w:val="20"/>
                <w:szCs w:val="20"/>
                <w:color w:val="auto"/>
              </w:rPr>
            </w:pPr>
            <w:r>
              <w:rPr>
                <w:rFonts w:ascii="Arial" w:cs="Arial" w:eastAsia="Arial" w:hAnsi="Arial"/>
                <w:sz w:val="17"/>
                <w:szCs w:val="17"/>
                <w:color w:val="0000FF"/>
              </w:rPr>
              <w:t>01/28/2022</w:t>
            </w: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P</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36,232</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Arial" w:cs="Arial" w:eastAsia="Arial" w:hAnsi="Arial"/>
                <w:sz w:val="17"/>
                <w:szCs w:val="17"/>
                <w:color w:val="0000FF"/>
              </w:rPr>
              <w:t>36,232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27,174</w:t>
            </w:r>
          </w:p>
        </w:tc>
        <w:tc>
          <w:tcPr>
            <w:tcW w:w="60" w:type="dxa"/>
            <w:vAlign w:val="bottom"/>
          </w:tcPr>
          <w:p>
            <w:pPr>
              <w:spacing w:after="0"/>
              <w:rPr>
                <w:sz w:val="16"/>
                <w:szCs w:val="1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3"/>
                <w:szCs w:val="13"/>
                <w:color w:val="0000FF"/>
              </w:rPr>
              <w:t>(right to</w:t>
            </w:r>
          </w:p>
        </w:tc>
        <w:tc>
          <w:tcPr>
            <w:tcW w:w="64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7.48</w:t>
            </w:r>
          </w:p>
        </w:tc>
        <w:tc>
          <w:tcPr>
            <w:tcW w:w="140" w:type="dxa"/>
            <w:vAlign w:val="bottom"/>
          </w:tcPr>
          <w:p>
            <w:pPr>
              <w:spacing w:after="0"/>
              <w:rPr>
                <w:sz w:val="10"/>
                <w:szCs w:val="10"/>
                <w:color w:val="auto"/>
              </w:rPr>
            </w:pPr>
          </w:p>
        </w:tc>
        <w:tc>
          <w:tcPr>
            <w:tcW w:w="1080" w:type="dxa"/>
            <w:vAlign w:val="bottom"/>
            <w:gridSpan w:val="2"/>
          </w:tcPr>
          <w:p>
            <w:pPr>
              <w:jc w:val="right"/>
              <w:ind w:right="156"/>
              <w:spacing w:after="0" w:line="125" w:lineRule="exact"/>
              <w:rPr>
                <w:sz w:val="20"/>
                <w:szCs w:val="20"/>
                <w:color w:val="auto"/>
              </w:rPr>
            </w:pPr>
            <w:r>
              <w:rPr>
                <w:rFonts w:ascii="Arial" w:cs="Arial" w:eastAsia="Arial" w:hAnsi="Arial"/>
                <w:sz w:val="13"/>
                <w:szCs w:val="13"/>
                <w:color w:val="0000FF"/>
              </w:rPr>
              <w:t>01/28/2022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60"/>
              <w:spacing w:after="0" w:line="125" w:lineRule="exact"/>
              <w:rPr>
                <w:sz w:val="20"/>
                <w:szCs w:val="20"/>
                <w:color w:val="auto"/>
              </w:rPr>
            </w:pPr>
            <w:r>
              <w:rPr>
                <w:rFonts w:ascii="Arial" w:cs="Arial" w:eastAsia="Arial" w:hAnsi="Arial"/>
                <w:sz w:val="13"/>
                <w:szCs w:val="13"/>
                <w:color w:val="0000FF"/>
              </w:rPr>
              <w:t>P</w:t>
            </w:r>
          </w:p>
        </w:tc>
        <w:tc>
          <w:tcPr>
            <w:tcW w:w="520" w:type="dxa"/>
            <w:vAlign w:val="bottom"/>
          </w:tcPr>
          <w:p>
            <w:pPr>
              <w:ind w:left="140"/>
              <w:spacing w:after="0" w:line="125" w:lineRule="exact"/>
              <w:rPr>
                <w:sz w:val="20"/>
                <w:szCs w:val="20"/>
                <w:color w:val="auto"/>
              </w:rPr>
            </w:pPr>
            <w:r>
              <w:rPr>
                <w:rFonts w:ascii="Arial" w:cs="Arial" w:eastAsia="Arial" w:hAnsi="Arial"/>
                <w:sz w:val="13"/>
                <w:szCs w:val="13"/>
                <w:color w:val="0000FF"/>
                <w:w w:val="90"/>
              </w:rPr>
              <w:t>27,174</w:t>
            </w:r>
          </w:p>
        </w:tc>
        <w:tc>
          <w:tcPr>
            <w:tcW w:w="38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07/28/2022</w:t>
            </w:r>
          </w:p>
        </w:tc>
        <w:tc>
          <w:tcPr>
            <w:tcW w:w="700" w:type="dxa"/>
            <w:vAlign w:val="bottom"/>
            <w:gridSpan w:val="2"/>
          </w:tcPr>
          <w:p>
            <w:pPr>
              <w:ind w:left="40"/>
              <w:spacing w:after="0" w:line="125" w:lineRule="exact"/>
              <w:rPr>
                <w:sz w:val="20"/>
                <w:szCs w:val="20"/>
                <w:color w:val="auto"/>
              </w:rPr>
            </w:pPr>
            <w:r>
              <w:rPr>
                <w:rFonts w:ascii="Arial" w:cs="Arial" w:eastAsia="Arial" w:hAnsi="Arial"/>
                <w:sz w:val="13"/>
                <w:szCs w:val="13"/>
                <w:color w:val="0000FF"/>
                <w:w w:val="98"/>
              </w:rPr>
              <w:t>07/28/2027</w:t>
            </w:r>
          </w:p>
        </w:tc>
        <w:tc>
          <w:tcPr>
            <w:tcW w:w="68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27,174</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were purchased by the Reporting Person for a combined purchase price of $6.90 per share of common stock and fraction of a warrant in connection with the Issuer's private placement that closed on January 28, 2022. Each warrant will be exercisable during the period commencing on July 28, 2022 and ending on July 28, 2027 at an exercise price of $7.48.</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List: Exhibit 24.1 - Power of Attorney</w:t>
      </w:r>
    </w:p>
    <w:p>
      <w:pPr>
        <w:spacing w:after="0" w:line="70"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Josh Savitz, attorney-in-fact  02/02/2022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5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7"/>
          <w:szCs w:val="17"/>
          <w:b w:val="1"/>
          <w:bCs w:val="1"/>
          <w:color w:val="auto"/>
        </w:rPr>
        <w:t>Exhibit 24.1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LIMITED POWER OF ATTORNEY</w:t>
      </w:r>
    </w:p>
    <w:p>
      <w:pPr>
        <w:spacing w:after="0" w:line="217" w:lineRule="exact"/>
        <w:rPr>
          <w:sz w:val="20"/>
          <w:szCs w:val="20"/>
          <w:color w:val="auto"/>
        </w:rPr>
      </w:pPr>
    </w:p>
    <w:p>
      <w:pPr>
        <w:jc w:val="both"/>
        <w:ind w:right="440" w:firstLine="619"/>
        <w:spacing w:after="0" w:line="290" w:lineRule="auto"/>
        <w:rPr>
          <w:sz w:val="20"/>
          <w:szCs w:val="20"/>
          <w:color w:val="auto"/>
        </w:rPr>
      </w:pPr>
      <w:r>
        <w:rPr>
          <w:rFonts w:ascii="Arial" w:cs="Arial" w:eastAsia="Arial" w:hAnsi="Arial"/>
          <w:sz w:val="16"/>
          <w:szCs w:val="16"/>
          <w:color w:val="auto"/>
        </w:rPr>
        <w:t>I, Stuart Anthony Wilcox, hereby appoint Robert Petitt of Burns &amp; Levinson LLP of Boston, Massachusetts, and other designated attorneys, and Kathrine LeBlanc and Brittany Siter, each a paralegal of such firm, as well as Joshua Savitz, Associate General Counsel of Agrify Corporation, a Nevada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to be his true and lawful attorney-in-fact (his “</w:t>
      </w:r>
      <w:r>
        <w:rPr>
          <w:rFonts w:ascii="Arial" w:cs="Arial" w:eastAsia="Arial" w:hAnsi="Arial"/>
          <w:sz w:val="16"/>
          <w:szCs w:val="16"/>
          <w:b w:val="1"/>
          <w:bCs w:val="1"/>
          <w:u w:val="single" w:color="auto"/>
          <w:color w:val="auto"/>
        </w:rPr>
        <w:t>Attorney</w:t>
      </w:r>
      <w:r>
        <w:rPr>
          <w:rFonts w:ascii="Arial" w:cs="Arial" w:eastAsia="Arial" w:hAnsi="Arial"/>
          <w:sz w:val="16"/>
          <w:szCs w:val="16"/>
          <w:color w:val="auto"/>
        </w:rPr>
        <w:t>”) in his name and on his behalf to:</w:t>
      </w:r>
    </w:p>
    <w:p>
      <w:pPr>
        <w:spacing w:after="0" w:line="158" w:lineRule="exact"/>
        <w:rPr>
          <w:sz w:val="20"/>
          <w:szCs w:val="20"/>
          <w:color w:val="auto"/>
        </w:rPr>
      </w:pPr>
    </w:p>
    <w:p>
      <w:pPr>
        <w:ind w:right="40" w:firstLine="622"/>
        <w:spacing w:after="0" w:line="262" w:lineRule="auto"/>
        <w:tabs>
          <w:tab w:leader="none" w:pos="862"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622"/>
        <w:spacing w:after="0" w:line="262" w:lineRule="auto"/>
        <w:tabs>
          <w:tab w:leader="none" w:pos="862" w:val="left"/>
        </w:tabs>
        <w:numPr>
          <w:ilvl w:val="0"/>
          <w:numId w:val="3"/>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78" w:lineRule="exact"/>
        <w:rPr>
          <w:rFonts w:ascii="Arial" w:cs="Arial" w:eastAsia="Arial" w:hAnsi="Arial"/>
          <w:sz w:val="17"/>
          <w:szCs w:val="17"/>
          <w:color w:val="auto"/>
        </w:rPr>
      </w:pPr>
    </w:p>
    <w:p>
      <w:pPr>
        <w:ind w:right="260" w:firstLine="622"/>
        <w:spacing w:after="0" w:line="279" w:lineRule="auto"/>
        <w:tabs>
          <w:tab w:leader="none" w:pos="862"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perform any and all other acts which in the discretion of such attorney-in-fact are necessary or desirable for and on behalf of the undersigned in connection with the foregoing.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acknowledges and agrees that:</w:t>
      </w:r>
    </w:p>
    <w:p>
      <w:pPr>
        <w:spacing w:after="0" w:line="217" w:lineRule="exact"/>
        <w:rPr>
          <w:sz w:val="20"/>
          <w:szCs w:val="20"/>
          <w:color w:val="auto"/>
        </w:rPr>
      </w:pPr>
    </w:p>
    <w:p>
      <w:pPr>
        <w:ind w:right="120" w:firstLine="622"/>
        <w:spacing w:after="0" w:line="262" w:lineRule="auto"/>
        <w:tabs>
          <w:tab w:leader="none" w:pos="86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178" w:lineRule="exact"/>
        <w:rPr>
          <w:rFonts w:ascii="Arial" w:cs="Arial" w:eastAsia="Arial" w:hAnsi="Arial"/>
          <w:sz w:val="17"/>
          <w:szCs w:val="17"/>
          <w:color w:val="auto"/>
        </w:rPr>
      </w:pPr>
    </w:p>
    <w:p>
      <w:pPr>
        <w:ind w:right="80" w:firstLine="622"/>
        <w:spacing w:after="0" w:line="312" w:lineRule="auto"/>
        <w:tabs>
          <w:tab w:leader="none" w:pos="862"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696849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8490" cy="16510"/>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 w:name="page3"/>
    <w:bookmarkEnd w:id="2"/>
    <w:p>
      <w:pPr>
        <w:ind w:right="120" w:firstLine="622"/>
        <w:spacing w:after="0" w:line="266" w:lineRule="auto"/>
        <w:tabs>
          <w:tab w:leader="none" w:pos="862" w:val="left"/>
        </w:tabs>
        <w:numPr>
          <w:ilvl w:val="0"/>
          <w:numId w:val="5"/>
        </w:numPr>
        <w:rPr>
          <w:rFonts w:ascii="Arial" w:cs="Arial" w:eastAsia="Arial" w:hAnsi="Arial"/>
          <w:sz w:val="17"/>
          <w:szCs w:val="17"/>
          <w:color w:val="auto"/>
        </w:rPr>
      </w:pPr>
      <w:r>
        <w:rPr>
          <w:rFonts w:ascii="Arial" w:cs="Arial" w:eastAsia="Arial" w:hAnsi="Arial"/>
          <w:sz w:val="17"/>
          <w:szCs w:val="17"/>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75" w:lineRule="exact"/>
        <w:rPr>
          <w:rFonts w:ascii="Arial" w:cs="Arial" w:eastAsia="Arial" w:hAnsi="Arial"/>
          <w:sz w:val="17"/>
          <w:szCs w:val="17"/>
          <w:color w:val="auto"/>
        </w:rPr>
      </w:pPr>
    </w:p>
    <w:p>
      <w:pPr>
        <w:ind w:right="160" w:firstLine="622"/>
        <w:spacing w:after="0" w:line="279" w:lineRule="auto"/>
        <w:tabs>
          <w:tab w:leader="none" w:pos="86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64" w:lineRule="exact"/>
        <w:rPr>
          <w:rFonts w:ascii="Arial" w:cs="Arial" w:eastAsia="Arial" w:hAnsi="Arial"/>
          <w:sz w:val="17"/>
          <w:szCs w:val="17"/>
          <w:color w:val="auto"/>
        </w:rPr>
      </w:pPr>
    </w:p>
    <w:p>
      <w:pPr>
        <w:ind w:firstLine="622"/>
        <w:spacing w:after="0" w:line="262" w:lineRule="auto"/>
        <w:tabs>
          <w:tab w:leader="none" w:pos="86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78"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183"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this Limited Power of Attorney has been duly executed this 2nd day of February, 2022</w:t>
      </w:r>
    </w:p>
    <w:p>
      <w:pPr>
        <w:spacing w:after="0" w:line="21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/s/ Stuart Anthony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78384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83840" cy="16510"/>
                    </a:xfrm>
                    <a:prstGeom prst="rect">
                      <a:avLst/>
                    </a:prstGeom>
                    <a:noFill/>
                  </pic:spPr>
                </pic:pic>
              </a:graphicData>
            </a:graphic>
          </wp:anchor>
        </w:drawing>
      </w:r>
    </w:p>
    <w:p>
      <w:pPr>
        <w:spacing w:after="0" w:line="1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Stuart Anthony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696849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16510"/>
                    </a:xfrm>
                    <a:prstGeom prst="rect">
                      <a:avLst/>
                    </a:prstGeom>
                    <a:noFill/>
                  </pic:spPr>
                </pic:pic>
              </a:graphicData>
            </a:graphic>
          </wp:anchor>
        </w:drawing>
      </w:r>
    </w:p>
    <w:sectPr>
      <w:pgSz w:w="11900" w:h="16838" w:orient="portrait"/>
      <w:cols w:equalWidth="0" w:num="1">
        <w:col w:w="10980"/>
      </w:cols>
      <w:pgMar w:left="460" w:top="87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6578"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2022-02-02T19:57:09Z</dcterms:created>
  <dcterms:modified xsi:type="dcterms:W3CDTF">2022-02-02T19:57:09Z</dcterms:modified>
</cp:coreProperties>
</file>