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4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14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4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9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November 14, 2024</w:t>
            </w:r>
          </w:p>
        </w:tc>
        <w:tc>
          <w:tcPr>
            <w:tcW w:w="3140" w:type="dxa"/>
            <w:vAlign w:val="bottom"/>
          </w:tcPr>
          <w:p>
            <w:pPr>
              <w:spacing w:after="0"/>
              <w:rPr>
                <w:sz w:val="24"/>
                <w:szCs w:val="24"/>
                <w:color w:val="auto"/>
              </w:rPr>
            </w:pPr>
          </w:p>
        </w:tc>
      </w:tr>
      <w:tr>
        <w:trPr>
          <w:trHeight w:val="414"/>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1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8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40" w:type="dxa"/>
            <w:vAlign w:val="bottom"/>
          </w:tcPr>
          <w:p>
            <w:pPr>
              <w:spacing w:after="0"/>
              <w:rPr>
                <w:sz w:val="20"/>
                <w:szCs w:val="20"/>
                <w:color w:val="auto"/>
              </w:rPr>
            </w:pPr>
          </w:p>
        </w:tc>
      </w:tr>
      <w:tr>
        <w:trPr>
          <w:trHeight w:val="439"/>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0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140" w:type="dxa"/>
            <w:vAlign w:val="bottom"/>
            <w:tcBorders>
              <w:top w:val="single" w:sz="8" w:color="auto"/>
            </w:tcBorders>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jc w:val="center"/>
              <w:ind w:right="3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100" w:type="dxa"/>
            <w:vAlign w:val="bottom"/>
            <w:gridSpan w:val="8"/>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140" w:type="dxa"/>
            <w:vAlign w:val="bottom"/>
          </w:tcPr>
          <w:p>
            <w:pPr>
              <w:spacing w:after="0"/>
              <w:rPr>
                <w:sz w:val="24"/>
                <w:szCs w:val="24"/>
                <w:color w:val="auto"/>
              </w:rPr>
            </w:pPr>
          </w:p>
        </w:tc>
      </w:tr>
      <w:tr>
        <w:trPr>
          <w:trHeight w:val="245"/>
        </w:trPr>
        <w:tc>
          <w:tcPr>
            <w:tcW w:w="3140" w:type="dxa"/>
            <w:vAlign w:val="bottom"/>
            <w:tcBorders>
              <w:bottom w:val="single" w:sz="8" w:color="auto"/>
            </w:tcBorders>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60" w:type="dxa"/>
            <w:vAlign w:val="bottom"/>
            <w:gridSpan w:val="3"/>
          </w:tcPr>
          <w:p>
            <w:pPr>
              <w:spacing w:after="0"/>
              <w:rPr>
                <w:sz w:val="20"/>
                <w:szCs w:val="20"/>
                <w:color w:val="auto"/>
              </w:rPr>
            </w:pPr>
          </w:p>
        </w:tc>
        <w:tc>
          <w:tcPr>
            <w:tcW w:w="3140" w:type="dxa"/>
            <w:vAlign w:val="bottom"/>
          </w:tcPr>
          <w:p>
            <w:pPr>
              <w:jc w:val="center"/>
              <w:ind w:right="22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14, 2024, Agrify Corporation (the “Company”) issued a press release announcing financial results for the quarter ended September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release is attached as Exhibit 99.1.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Agrify Corporation dated November 14, 2024</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Announces Results for Third Quarter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TROY, Michigan, November 14, 2024 - Agrify Corporation (Nasdaq:AGFY) (“Agrify” or the “Company”), a leading provider of branded innovative solutions for the cannabis and hemp industries, today announced financial results for the quarter ended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 Summary</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$1.9 million for the third quarter of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$0.2 million for the third quarter of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third quarter of 2024 was $18.6 million, primarily attributed to a $15 million change in fair value of warrant liabilities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14, 2024, Agrify has approximately 1.5 million shares of common stock outstanding and 6.3 million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new convertible note financing of up to $20 million with an initial draw of $10 million from Green Thumb Industries on November 5, 2024</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Kovler was appointed Chairman and Interim CEO on November 5,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intent to acquire the Señorita brand of hemp-derived THC drinks (HDT) on November 12,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“Today really is Day One at Agrify,” said Chairman and Interim CEO Ben Kovler. “The hemp and cannabis industries are evolving fast and Agrify’s fortified balance sheet is ready to move on opportunities. We have a deep understanding of the consumer and plan to leverage that strength today to build Agrify’s value for tomorrow. With that in mind, we made our first strategic decision this week when we signed a non-binding letter of intent to acquire the Señorita brand of HDT beverages. While challenges in the industry remain, we are excited about the innovative aspects of this sector and see lots of opportunity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developer of branded innovative solutions for the cannabis and hemp industries in extraction, cultivation and more. Agrify’s proprietary micro-environment-controlled Vertical Farming Units (VFUs) enable cultivators to produce the highest quality products with unmatched consistency, yield, and return on investment at scale. Agrify’s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potential growth opportunities, the ability to consummate the Señorita transaction on a timely basis or at all, and Agrify’s ability to deliver solutions and services.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2023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Unaudited 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1"/>
                <w:szCs w:val="21"/>
                <w:color w:val="auto"/>
              </w:rPr>
            </w:pPr>
          </w:p>
        </w:tc>
        <w:tc>
          <w:tcPr>
            <w:tcW w:w="25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tcBorders>
              <w:top w:val="single" w:sz="8" w:color="auto"/>
            </w:tcBorders>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45"/>
        </w:trPr>
        <w:tc>
          <w:tcPr>
            <w:tcW w:w="59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6"/>
        </w:trPr>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tcPr>
          <w:p>
            <w:pPr>
              <w:spacing w:after="0"/>
              <w:rPr>
                <w:sz w:val="20"/>
                <w:szCs w:val="20"/>
                <w:color w:val="auto"/>
              </w:rPr>
            </w:pPr>
          </w:p>
        </w:tc>
      </w:tr>
      <w:tr>
        <w:trPr>
          <w:trHeight w:val="196"/>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14,009</w:t>
            </w: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(11,447)</w:t>
            </w:r>
          </w:p>
        </w:tc>
      </w:tr>
      <w:tr>
        <w:trPr>
          <w:trHeight w:val="216"/>
        </w:trPr>
        <w:tc>
          <w:tcPr>
            <w:tcW w:w="5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2,562</w:t>
            </w:r>
          </w:p>
        </w:tc>
      </w:tr>
      <w:tr>
        <w:trPr>
          <w:trHeight w:val="216"/>
        </w:trPr>
        <w:tc>
          <w:tcPr>
            <w:tcW w:w="5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Before Non-Controlling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Agrify Corporation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per share - basic and diluted </w:t>
      </w:r>
      <w:r>
        <w:rPr>
          <w:rFonts w:ascii="Times New Roman" w:cs="Times New Roman" w:eastAsia="Times New Roman" w:hAnsi="Times New Roman"/>
          <w:sz w:val="29"/>
          <w:szCs w:val="29"/>
          <w:b w:val="1"/>
          <w:bCs w:val="1"/>
          <w:color w:val="auto"/>
          <w:vertAlign w:val="superscript"/>
        </w:rPr>
        <w:t>(1)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Weighted average number of shares outstanding - 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3,890</w:t>
            </w:r>
          </w:p>
        </w:tc>
        <w:tc>
          <w:tcPr>
            <w:tcW w:w="3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5,552</w:t>
            </w:r>
          </w:p>
        </w:tc>
        <w:tc>
          <w:tcPr>
            <w:tcW w:w="2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3,405</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60" w:type="dxa"/>
            <w:vAlign w:val="bottom"/>
          </w:tcPr>
          <w:p>
            <w:pPr>
              <w:spacing w:after="0"/>
              <w:rPr>
                <w:sz w:val="20"/>
                <w:szCs w:val="20"/>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60" w:type="dxa"/>
            <w:vAlign w:val="bottom"/>
          </w:tcPr>
          <w:p>
            <w:pPr>
              <w:spacing w:after="0"/>
              <w:rPr>
                <w:sz w:val="19"/>
                <w:szCs w:val="19"/>
                <w:color w:val="auto"/>
              </w:rPr>
            </w:pPr>
          </w:p>
        </w:tc>
      </w:tr>
      <w:tr>
        <w:trPr>
          <w:trHeight w:val="446"/>
        </w:trPr>
        <w:tc>
          <w:tcPr>
            <w:tcW w:w="2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(3,665)</w:t>
            </w:r>
          </w:p>
        </w:tc>
        <w:tc>
          <w:tcPr>
            <w:tcW w:w="3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(4,578)</w:t>
            </w:r>
          </w:p>
        </w:tc>
        <w:tc>
          <w:tcPr>
            <w:tcW w:w="2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(1,888)</w:t>
            </w:r>
          </w:p>
        </w:tc>
        <w:tc>
          <w:tcPr>
            <w:tcW w:w="3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(17,506)</w:t>
            </w:r>
          </w:p>
        </w:tc>
      </w:tr>
      <w:tr>
        <w:trPr>
          <w:trHeight w:val="27"/>
        </w:trPr>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630"/>
        </w:trPr>
        <w:tc>
          <w:tcPr>
            <w:tcW w:w="2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(14,948)</w:t>
            </w:r>
          </w:p>
        </w:tc>
        <w:tc>
          <w:tcPr>
            <w:tcW w:w="3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2,849</w:t>
            </w:r>
          </w:p>
        </w:tc>
        <w:tc>
          <w:tcPr>
            <w:tcW w:w="2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(15,333)</w:t>
            </w:r>
          </w:p>
        </w:tc>
        <w:tc>
          <w:tcPr>
            <w:tcW w:w="3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8"/>
        </w:trPr>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7"/>
        </w:trPr>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6"/>
        </w:trPr>
        <w:tc>
          <w:tcPr>
            <w:tcW w:w="2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(14,986)</w:t>
            </w:r>
          </w:p>
        </w:tc>
        <w:tc>
          <w:tcPr>
            <w:tcW w:w="3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2,486</w:t>
            </w:r>
          </w:p>
        </w:tc>
        <w:tc>
          <w:tcPr>
            <w:tcW w:w="2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(15,499)</w:t>
            </w:r>
          </w:p>
        </w:tc>
        <w:tc>
          <w:tcPr>
            <w:tcW w:w="3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7"/>
        </w:trPr>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2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(18,651)</w:t>
            </w:r>
          </w:p>
        </w:tc>
        <w:tc>
          <w:tcPr>
            <w:tcW w:w="3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(2,092)</w:t>
            </w:r>
          </w:p>
        </w:tc>
        <w:tc>
          <w:tcPr>
            <w:tcW w:w="2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(17,387)</w:t>
            </w:r>
          </w:p>
        </w:tc>
        <w:tc>
          <w:tcPr>
            <w:tcW w:w="3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(19,226)</w:t>
            </w:r>
          </w:p>
        </w:tc>
      </w:tr>
      <w:tr>
        <w:trPr>
          <w:trHeight w:val="445"/>
        </w:trPr>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r>
      <w:tr>
        <w:trPr>
          <w:trHeight w:val="27"/>
        </w:trPr>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479"/>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(17,387)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(19,224)</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(16.82)</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(202.21)</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1,077,780</w:t>
            </w:r>
          </w:p>
        </w:tc>
        <w:tc>
          <w:tcPr>
            <w:tcW w:w="3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109,983</w:t>
            </w:r>
          </w:p>
        </w:tc>
        <w:tc>
          <w:tcPr>
            <w:tcW w:w="2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1,033,582</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95,068</w:t>
            </w:r>
          </w:p>
        </w:tc>
        <w:tc>
          <w:tcPr>
            <w:tcW w:w="6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-2811145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-2510790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-2228215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-1936750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-1636395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-1353820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-1062355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-736600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-367665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00" w:space="720"/>
            <w:col w:w="5320"/>
          </w:cols>
          <w:pgMar w:left="320" w:top="900" w:right="339" w:bottom="1440" w:gutter="0" w:footer="0" w:header="0"/>
          <w:type w:val="continuous"/>
        </w:sectPr>
      </w:pPr>
    </w:p>
    <w:p>
      <w:pPr>
        <w:jc w:val="both"/>
        <w:ind w:left="340" w:hanging="332"/>
        <w:spacing w:after="0" w:line="210"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Periods presented have been adjusted to retroactively reflect the 1-for-20 reverse stock split on July 5, 2023, and for the 1-for-15 reverse stock split on October 8, 2024. Additional information regarding the reverse stock splits may be found in Note 1 – Overview, Basis of Presentation, and Significant Accounting Policies, included in the notes to the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the Unaudited Condensed Consolidated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Net of Current Portion</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5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54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38,952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Debt, Net of Current Portion</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500" w:type="dxa"/>
            <w:vAlign w:val="bottom"/>
            <w:gridSpan w:val="2"/>
          </w:tcPr>
          <w:p>
            <w:pPr>
              <w:ind w:left="54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38,952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400" w:type="dxa"/>
            <w:vAlign w:val="bottom"/>
            <w:vMerge w:val="restart"/>
          </w:tcPr>
          <w:p>
            <w:pPr>
              <w:jc w:val="right"/>
              <w:ind w:right="427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6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2024-11-14T15:18:57Z</dcterms:created>
  <dcterms:modified xsi:type="dcterms:W3CDTF">2024-11-14T15:18:57Z</dcterms:modified>
</cp:coreProperties>
</file>