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333-262603</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154305</wp:posOffset>
            </wp:positionV>
            <wp:extent cx="1054100" cy="779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0" cy="779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7,036,739 Shares of Common Stock</w:t>
      </w:r>
    </w:p>
    <w:p>
      <w:pPr>
        <w:spacing w:after="0" w:line="229" w:lineRule="exact"/>
        <w:rPr>
          <w:sz w:val="24"/>
          <w:szCs w:val="24"/>
          <w:color w:val="auto"/>
        </w:rPr>
      </w:pPr>
    </w:p>
    <w:p>
      <w:pPr>
        <w:jc w:val="both"/>
        <w:spacing w:after="0" w:line="291" w:lineRule="auto"/>
        <w:rPr>
          <w:sz w:val="20"/>
          <w:szCs w:val="20"/>
          <w:color w:val="auto"/>
        </w:rPr>
      </w:pPr>
      <w:r>
        <w:rPr>
          <w:rFonts w:ascii="Arial" w:cs="Arial" w:eastAsia="Arial" w:hAnsi="Arial"/>
          <w:sz w:val="16"/>
          <w:szCs w:val="16"/>
          <w:color w:val="auto"/>
        </w:rPr>
        <w:t>This prospectus relates to the possible resale, from time to time, by the selling stockholders identified in this prospectus of up to (i) 2,450,350 shares of our common stock, par value $0.001 per share (the “Common Stock”), initially issued in a private placement on January 28, 2022 (the “Private Placement”),</w:t>
      </w:r>
    </w:p>
    <w:p>
      <w:pPr>
        <w:ind w:right="20" w:firstLine="8"/>
        <w:spacing w:after="0" w:line="260" w:lineRule="auto"/>
        <w:tabs>
          <w:tab w:leader="none" w:pos="288" w:val="left"/>
        </w:tabs>
        <w:numPr>
          <w:ilvl w:val="0"/>
          <w:numId w:val="1"/>
        </w:numPr>
        <w:rPr>
          <w:rFonts w:ascii="Arial" w:cs="Arial" w:eastAsia="Arial" w:hAnsi="Arial"/>
          <w:sz w:val="18"/>
          <w:szCs w:val="18"/>
          <w:color w:val="auto"/>
        </w:rPr>
      </w:pPr>
      <w:r>
        <w:rPr>
          <w:rFonts w:ascii="Arial" w:cs="Arial" w:eastAsia="Arial" w:hAnsi="Arial"/>
          <w:sz w:val="18"/>
          <w:szCs w:val="18"/>
          <w:color w:val="auto"/>
        </w:rPr>
        <w:t>1,570,644 shares of Common Stock underlying pre-funded warrants issued in the Private Placement, and (iii) 3,015,745 shares of Common Stock underlying common stock purchase warrants issued in the Private Placement.</w:t>
      </w:r>
    </w:p>
    <w:p>
      <w:pPr>
        <w:spacing w:after="0" w:line="185"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The selling stockholders may offer the shares from time to time as each selling stockholder may determine through public or private transactions or through other means described in the section entitled “Plan of Distribution” or a supplement to this prospectus. Each selling stockholder may also sell shares under Rule 144 under the Securities Act of 1933, as amended, if available, rather than under this prospectus.</w:t>
      </w:r>
    </w:p>
    <w:p>
      <w:pPr>
        <w:spacing w:after="0" w:line="16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registration of these shares does not necessarily mean that any holders will sell any of their shares or exercise their warrants. We are not offering for sale any shares of our Common Stock pursuant to this prospectus. We will not receive any proceeds from the sale of these shares. We will, however, receive cash proceeds equal to the total exercise price of warrants that are exercised for cash.</w:t>
      </w:r>
    </w:p>
    <w:p>
      <w:pPr>
        <w:spacing w:after="0" w:line="18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“AGFY.” On February 11, 2022, the closing price for our Common Stock, as reported on The Nasdaq Capital Market, was $8.51 per share.</w:t>
      </w:r>
    </w:p>
    <w:p>
      <w:pPr>
        <w:spacing w:after="0" w:line="166"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“Risk Factors” contained in this prospectus beginning on page 5, and under similar headings in the other documents that are incorporated by reference into this prospectus.</w:t>
      </w:r>
    </w:p>
    <w:p>
      <w:pPr>
        <w:spacing w:after="0" w:line="176"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00" w:type="dxa"/>
            <w:vAlign w:val="bottom"/>
            <w:gridSpan w:val="3"/>
          </w:tcPr>
          <w:p>
            <w:pPr>
              <w:ind w:left="8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ii</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THE OFFERING</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SPECIAL NOTE REGARDING FORWARD-LOOKING STATEMENTS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SELLING STOCKHOLDERS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PLAN OF DISTRIBUTION</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DETERMINATION OF OFFERING PRICE</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CAPITAL STOCK</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LEGAL MATTERS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EXPERTS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WHERE YOU CAN FIND MORE INFORMATION</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INCORPORATION OF CERTAIN DOCUMENTS BY REFERENCE</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prospectus is part of a registration statement that we have filed with the Securities and Exchange Commission (the “SEC”) pursuant to which the selling stockholders named herein may, from time to time, offer and sell or otherwise dispose of the securities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securities are sold or otherwise disposed of on a later date. It is important for you to read and consider all information contained in this prospectus, including the Information Incorporated by Reference herein, in making your investment decision. You should also read and consider the information in the documents to which we have referred you under the captions “Where You Can Find More Information” and “Incorporation of Information by Reference” in this prospectus.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we nor the selling stockholders have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securities other than the securities covered hereby, nor does this prospectus constitute an offer to sell or the solicitation of an offer to buy any securities in any jurisdiction to any person to whom it is unlawful to make such offer or solicitation in such jurisdiction. Persons who come into possession of this prospectus in jurisdictions outside the United States are required to inform themselves about, and to observe, any restrictions as to the offering and the distribution of this prospectus applicable to those jurisdictions.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5790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5790565"/>
                    </a:xfrm>
                    <a:prstGeom prst="rect">
                      <a:avLst/>
                    </a:prstGeom>
                    <a:noFill/>
                  </pic:spPr>
                </pic:pic>
              </a:graphicData>
            </a:graphic>
          </wp:anchor>
        </w:drawing>
        <w:t>PROSPECTUS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elsewhere in this prospectus. It may not contain all of the information that is important to you. You should read the entire prospectus carefully, especially the discussion regarding the risks of investing in our securities under the heading “Risk Factors,” before investing in our securities. All references to “Company” “we,” “our” or “us” refer solely to Agrify Corporation and its subsidiaries and not to the persons who manage us or sit on our Board of Directors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rapidly growing developer of highly advanced proprietary hardware and software cultivation and extraction solutions for the cannabis and hemp industry. We also believe that our data-driven Agrify total turnkey solution (“Agrify TTK Solution”) for cultivation solutions is unlike any other customer solution being offered and enables our customers to get to market faster by providing them with our seamlessly integrated hardware and software offerings as well as access to capital and a wide range of associated services from experts including consulting, training, design, engineering, and construction to form what we believe is the most complete solution available from a single provider. We believe the Agrify TTK Solution will enable our customers to consistently cultivate and operate a high-quality cannabis and hemp production business while potentially establishing a long-term revenue generation model for us. The totality of our smart product mix and service capabilities form an integrated ecosystem in what has historically been an extremely fragmented market for the various components needed for indoor agriculture and processing. As a result, we believe we are well situated to create a dominant market position in the cannabis and hemp cultivation and extraction sectors.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Not only do we provide our valued customers with the benefit of working with a single provider in what has historically been a decentralized market full of piecemeal solutions that were not necessarily designed and engineered to work harmoniously with one another, we have also elevated the entire indoor growing and processing experience. Moreover, despite the fact that the cannabis and hemp space is rapidly expanding, our grower and processor customers face significant obstacles to their operations that pose a serious threat to their long-term profitability. Through our data-driven grow and extraction solutions, we believe that we give our customers the keys they need to operate their cannabis grow and processing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we do not cultivate, come in contact with, distribute, process, or dispense cannabis or any cannabis derivatives that are currently prohibited under United States federal law, our equipment and business solutions can be used within indoor grow and processing facilities by fully licensed cannabis and hemp cultivators and processors or in some cases, by individual processors for individual use in compliance with applicable law. We place a heavy emphasis on the qualification process to ensure that all active opportunities in our qualified pipeline have been meticulously vetted. The resulting qualified pipeline is a byproduct of the due diligence investigation we conduct to get to know our potential customers. We believe our consultative sales process helps us ensure that our prospective buyers would significantly benefit from our solutions, and that they have all the means (or a concrete plan to acquire the means) necessary to make a purchasing decision within 12 months. Key vetting criteria in our cultivation due diligence analysis includes the potential customer’s financial resources, its ability to identify and secure a suitable cultivation facility site, and the likelihood it will be able to obtain all of the necessary local and state provisional licenses. Our qualified pipeline is intended to show only the opportunities that we expect to close within a 12-month period. All other opportunities are engaged in our sales funnel. Although we have a high level of confidence that our qualified pipeline will translate into bookings over the next 12 months, there can be no assurance that we will be successful in such pursuits.</w:t>
      </w: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39" w:right="439" w:bottom="1440" w:gutter="0" w:footer="0" w:header="0"/>
        </w:sectPr>
      </w:pPr>
    </w:p>
    <w:bookmarkStart w:id="4" w:name="page5"/>
    <w:bookmarkEnd w:id="4"/>
    <w:p>
      <w:pPr>
        <w:jc w:val="both"/>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5653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5653405"/>
                    </a:xfrm>
                    <a:prstGeom prst="rect">
                      <a:avLst/>
                    </a:prstGeom>
                    <a:noFill/>
                  </pic:spPr>
                </pic:pic>
              </a:graphicData>
            </a:graphic>
          </wp:anchor>
        </w:drawing>
        <w:t>We generally target large scale high-value enterprise sales versus high-volume sales, and we believe that we will be able to significantly scale our business in the coming years without needing to significantly increase our headcount. We are consistently updating our capabilities and partnerships around facility design, engineering, design, construction, and have added an extraction division through acquisitions in 2021 and 2022, which we intend to invest heavily in. Ultimately, we are confident that our ability to support our customers with a full range of indoor grow and extraction solutions and services should position us to be the provider of choice in the market.</w:t>
      </w:r>
    </w:p>
    <w:p>
      <w:pPr>
        <w:spacing w:after="0" w:line="188"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We also believe that the development of stronger business, operational and compliance practices around cannabis and hemp processing and cultivation is inevitable as the sector continues to evolve and mature, making our integrated, Agrify TTK Solution even more attractive to customers. We have witnessed first-hand that indoor agriculture and processing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cultivation and extraction solutions, our customers gain the ability and huge advantage to create consistent high-quality products with repeatability across all of their operations, wherever located, similar to any other premium consumer product company such as branded food or drink product companies.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Our principal executive offices are located at 76 Treble Cove Road, Building 3, Unit 3, Billerica, MA 01862, and our telephone number is (617) 896-5243. Our website address is </w:t>
      </w:r>
      <w:r>
        <w:rPr>
          <w:rFonts w:ascii="Arial" w:cs="Arial" w:eastAsia="Arial" w:hAnsi="Arial"/>
          <w:sz w:val="18"/>
          <w:szCs w:val="18"/>
          <w:i w:val="1"/>
          <w:iCs w:val="1"/>
          <w:color w:val="auto"/>
        </w:rPr>
        <w:t>www.agrify.com.</w:t>
      </w:r>
      <w:r>
        <w:rPr>
          <w:rFonts w:ascii="Arial" w:cs="Arial" w:eastAsia="Arial" w:hAnsi="Arial"/>
          <w:sz w:val="18"/>
          <w:szCs w:val="18"/>
          <w:color w:val="auto"/>
        </w:rPr>
        <w:t xml:space="preserve"> Our website and the information contained in, or accessible through, our website will not be deemed to be incorporated by reference into this prospectus and does not constitute part of this prospectus. You should not rely on any such information in making your decision whether to purchase our securities.</w:t>
      </w:r>
    </w:p>
    <w:p>
      <w:pPr>
        <w:spacing w:after="0" w:line="18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highlight w:val="white"/>
        </w:rPr>
        <w:t>We have eight wholly-owned subsidiaries, AGM Service Corp LLC (formerly AGM Service Corp Inc.), TriGrow Systems, LLC (“TriGrow”, which acted as our exclusive distributor and which was acquired in January 2020 as TriGrow Systems, Inc. and converted to TriGrow Systems, LLC in May 2020), Harbor Mountain Holdings, LLC (“HMH”, which assembled and produced many of our products and which was acquired in July 2020), Ariafy Finance, LLC, Agxion, LLC, Cascade Sciences, LLC, Precision Extraction NewCo, LLC and Lab Society NewCo, LLC. We also own 50% of Teejan Podponics International LLC (“TPI”) since December 2018; 60% of Agrify-Valiant, LLC, formed in December 2019; and 75% of Agrify Brands, LLC (formerly TriGrow Brands, LLC, which was acquired as part of the January 2020 acquisition of TriGrow).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PurePressure Acquisition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31, 2021, we entered into a Membership Interest Purchase Agreement with PurePressure, LLC (“PurePressure”) and each of its members. Concurrently with the execution of the agreement, we consummated the acquisition of all the outstanding equity interests of PurePressure, such that immediately after the consummation of the purchase, PurePressure became our wholly-owned subsidiary of the Company. The aggregate consideration for the PurePressure acquisition consisted of: (a) $4.0 million in cash, subject to certain adjustments for working capital, cash and indebtedness of PurePressure at closing; (b) 329,179 shares of Common Stock, of which 88,878 are being held back for one year to satisfy post-closing adjustments or indemnification claims; and (c) earn-out consideration of up to $3.0 million based on eligible net revenues of the PurePressure business during 2022 and 2023, payable 40% in cash and 60% in shares of Common Stock.</w:t>
      </w:r>
    </w:p>
    <w:p>
      <w:pPr>
        <w:spacing w:after="0" w:line="200" w:lineRule="exact"/>
        <w:rPr>
          <w:sz w:val="20"/>
          <w:szCs w:val="20"/>
          <w:color w:val="auto"/>
        </w:rPr>
      </w:pPr>
    </w:p>
    <w:p>
      <w:pPr>
        <w:spacing w:after="0" w:line="3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1043"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3596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3596005"/>
                    </a:xfrm>
                    <a:prstGeom prst="rect">
                      <a:avLst/>
                    </a:prstGeom>
                    <a:noFill/>
                  </pic:spPr>
                </pic:pic>
              </a:graphicData>
            </a:graphic>
          </wp:anchor>
        </w:drawing>
        <w:t>Lab Society Acquisition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February 1, 2022, we entered into an Agreement and Plan of Merger with LS Holdings Corp. (“Lab Society”), each of its shareholders and our wholly-owned subsidiary, Lab Society NewCo, LLC (“Merger Sub”). Concurrently with the execution of the agreement, we consummated the acquisition of Lab Society by the merger of Lab Society with and into Merger Sub, </w:t>
      </w:r>
      <w:r>
        <w:rPr>
          <w:rFonts w:ascii="Arial" w:cs="Arial" w:eastAsia="Arial" w:hAnsi="Arial"/>
          <w:sz w:val="17"/>
          <w:szCs w:val="17"/>
          <w:color w:val="auto"/>
          <w:highlight w:val="white"/>
        </w:rPr>
        <w:t>with Merger Sub surviving the merger as our wholly-owned</w:t>
      </w:r>
      <w:r>
        <w:rPr>
          <w:rFonts w:ascii="Arial" w:cs="Arial" w:eastAsia="Arial" w:hAnsi="Arial"/>
          <w:sz w:val="17"/>
          <w:szCs w:val="17"/>
          <w:color w:val="auto"/>
        </w:rPr>
        <w:t xml:space="preserve"> </w:t>
      </w:r>
      <w:r>
        <w:rPr>
          <w:rFonts w:ascii="Arial" w:cs="Arial" w:eastAsia="Arial" w:hAnsi="Arial"/>
          <w:sz w:val="17"/>
          <w:szCs w:val="17"/>
          <w:color w:val="auto"/>
          <w:highlight w:val="white"/>
        </w:rPr>
        <w:t xml:space="preserve">subsidiary. </w:t>
      </w:r>
      <w:r>
        <w:rPr>
          <w:rFonts w:ascii="Arial" w:cs="Arial" w:eastAsia="Arial" w:hAnsi="Arial"/>
          <w:sz w:val="17"/>
          <w:szCs w:val="17"/>
          <w:color w:val="auto"/>
        </w:rPr>
        <w:t>The aggregate consideration for the Lab Society acquisition consisted of: (a) $4.0 million in cash, subject to certain adjustments for working</w:t>
      </w:r>
      <w:r>
        <w:rPr>
          <w:rFonts w:ascii="Arial" w:cs="Arial" w:eastAsia="Arial" w:hAnsi="Arial"/>
          <w:sz w:val="17"/>
          <w:szCs w:val="17"/>
          <w:color w:val="auto"/>
          <w:highlight w:val="white"/>
        </w:rPr>
        <w:t xml:space="preserve"> </w:t>
      </w:r>
      <w:r>
        <w:rPr>
          <w:rFonts w:ascii="Arial" w:cs="Arial" w:eastAsia="Arial" w:hAnsi="Arial"/>
          <w:sz w:val="17"/>
          <w:szCs w:val="17"/>
          <w:color w:val="auto"/>
        </w:rPr>
        <w:t xml:space="preserve">capital, cash and indebtedness of PurePressure at closing; (b) </w:t>
      </w:r>
      <w:r>
        <w:rPr>
          <w:rFonts w:ascii="Arial" w:cs="Arial" w:eastAsia="Arial" w:hAnsi="Arial"/>
          <w:sz w:val="17"/>
          <w:szCs w:val="17"/>
          <w:color w:val="auto"/>
          <w:highlight w:val="white"/>
        </w:rPr>
        <w:t>425,611</w:t>
      </w:r>
      <w:r>
        <w:rPr>
          <w:rFonts w:ascii="Arial" w:cs="Arial" w:eastAsia="Arial" w:hAnsi="Arial"/>
          <w:sz w:val="17"/>
          <w:szCs w:val="17"/>
          <w:color w:val="auto"/>
        </w:rPr>
        <w:t xml:space="preserve"> shares of Common Stock, of which 127,682 are being held back for one year to satisfy post-closing adjustments or indemnification claims; and (c) earn-out consideration of up to $3.5 million based on eligible net revenues of the Lab Society business during 2022 and 2023, payable 50% in cash and 50% in shares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On January 28, 2022, we completed a private placement of </w:t>
      </w:r>
      <w:r>
        <w:rPr>
          <w:rFonts w:ascii="Arial" w:cs="Arial" w:eastAsia="Arial" w:hAnsi="Arial"/>
          <w:sz w:val="16"/>
          <w:szCs w:val="16"/>
          <w:color w:val="auto"/>
          <w:highlight w:val="white"/>
        </w:rPr>
        <w:t>(i) 2,450,350 shares of our common stock, par value $0.001 per share (the “Common</w:t>
      </w:r>
      <w:r>
        <w:rPr>
          <w:rFonts w:ascii="Arial" w:cs="Arial" w:eastAsia="Arial" w:hAnsi="Arial"/>
          <w:sz w:val="16"/>
          <w:szCs w:val="16"/>
          <w:color w:val="auto"/>
        </w:rPr>
        <w:t xml:space="preserve"> </w:t>
      </w:r>
      <w:r>
        <w:rPr>
          <w:rFonts w:ascii="Arial" w:cs="Arial" w:eastAsia="Arial" w:hAnsi="Arial"/>
          <w:sz w:val="16"/>
          <w:szCs w:val="16"/>
          <w:color w:val="auto"/>
          <w:highlight w:val="white"/>
        </w:rPr>
        <w:t>Stock”), (ii) pre-funded warrants to purchase up to an aggregate of 1,570,644 shares of Common Stock and (iii) common stock purchase warrants to purchase up to an aggregate of 3,015,745 shares of Common Stock (the “Private Placement”)</w:t>
      </w:r>
      <w:r>
        <w:rPr>
          <w:rFonts w:ascii="Arial" w:cs="Arial" w:eastAsia="Arial" w:hAnsi="Arial"/>
          <w:sz w:val="16"/>
          <w:szCs w:val="16"/>
          <w:color w:val="auto"/>
        </w:rPr>
        <w:t>. The total gross proceeds from the Private Placement were</w:t>
      </w:r>
      <w:r>
        <w:rPr>
          <w:rFonts w:ascii="Arial" w:cs="Arial" w:eastAsia="Arial" w:hAnsi="Arial"/>
          <w:sz w:val="16"/>
          <w:szCs w:val="16"/>
          <w:color w:val="auto"/>
          <w:highlight w:val="white"/>
        </w:rPr>
        <w:t xml:space="preserve"> </w:t>
      </w:r>
      <w:r>
        <w:rPr>
          <w:rFonts w:ascii="Arial" w:cs="Arial" w:eastAsia="Arial" w:hAnsi="Arial"/>
          <w:sz w:val="16"/>
          <w:szCs w:val="16"/>
          <w:color w:val="auto"/>
        </w:rPr>
        <w:t>approximately $27.3 million. The warrants have an exercise price of $7.48 per share, subject to adjustments as provided under the terms of the warrants, and will be exercisable on the six month anniversary of their issuance date. The warrants are exercisable for five years from the initial exercise date.</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shares of Common Stock, the warrants and the shares of Common Stock issuable upon the exercise of the warrants issued in the Private Placement, were in each case sold and issued without registration under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 This prospectus relates to the resale of (i) 2,450,350 shares of Common Stock issued in the Private Placement, (ii) </w:t>
      </w:r>
      <w:r>
        <w:rPr>
          <w:rFonts w:ascii="Arial" w:cs="Arial" w:eastAsia="Arial" w:hAnsi="Arial"/>
          <w:sz w:val="17"/>
          <w:szCs w:val="17"/>
          <w:color w:val="auto"/>
          <w:highlight w:val="white"/>
        </w:rPr>
        <w:t>1,570,644</w:t>
      </w:r>
      <w:r>
        <w:rPr>
          <w:rFonts w:ascii="Arial" w:cs="Arial" w:eastAsia="Arial" w:hAnsi="Arial"/>
          <w:sz w:val="17"/>
          <w:szCs w:val="17"/>
          <w:color w:val="auto"/>
        </w:rPr>
        <w:t xml:space="preserve"> shares of Common Stock underlying pre-funded warrants issued in the Private Placement, and (iii) </w:t>
      </w:r>
      <w:r>
        <w:rPr>
          <w:rFonts w:ascii="Arial" w:cs="Arial" w:eastAsia="Arial" w:hAnsi="Arial"/>
          <w:sz w:val="17"/>
          <w:szCs w:val="17"/>
          <w:color w:val="auto"/>
          <w:highlight w:val="white"/>
        </w:rPr>
        <w:t>3,015,745</w:t>
      </w:r>
      <w:r>
        <w:rPr>
          <w:rFonts w:ascii="Arial" w:cs="Arial" w:eastAsia="Arial" w:hAnsi="Arial"/>
          <w:sz w:val="17"/>
          <w:szCs w:val="17"/>
          <w:color w:val="auto"/>
        </w:rPr>
        <w:t xml:space="preserve"> shares of Common Stock underlying the common stock purchase warrants issued in the Private Placement.</w:t>
      </w: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43" w:right="4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414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144645"/>
                    </a:xfrm>
                    <a:prstGeom prst="rect">
                      <a:avLst/>
                    </a:prstGeom>
                    <a:noFill/>
                  </pic:spPr>
                </pic:pic>
              </a:graphicData>
            </a:graphic>
          </wp:anchor>
        </w:drawing>
        <w:t>THE OFFERING</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7"/>
          <w:szCs w:val="17"/>
          <w:color w:val="auto"/>
          <w:highlight w:val="white"/>
        </w:rPr>
        <w:t xml:space="preserve">We are registering for resale by </w:t>
      </w:r>
      <w:r>
        <w:rPr>
          <w:rFonts w:ascii="Arial" w:cs="Arial" w:eastAsia="Arial" w:hAnsi="Arial"/>
          <w:sz w:val="17"/>
          <w:szCs w:val="17"/>
          <w:color w:val="auto"/>
        </w:rPr>
        <w:t>the selling stockholders</w:t>
      </w:r>
      <w:r>
        <w:rPr>
          <w:rFonts w:ascii="Arial" w:cs="Arial" w:eastAsia="Arial" w:hAnsi="Arial"/>
          <w:sz w:val="17"/>
          <w:szCs w:val="17"/>
          <w:color w:val="auto"/>
          <w:highlight w:val="white"/>
        </w:rPr>
        <w:t xml:space="preserve"> named herein an aggregate of </w:t>
      </w:r>
      <w:r>
        <w:rPr>
          <w:rFonts w:ascii="Arial" w:cs="Arial" w:eastAsia="Arial" w:hAnsi="Arial"/>
          <w:sz w:val="17"/>
          <w:szCs w:val="17"/>
          <w:color w:val="auto"/>
        </w:rPr>
        <w:t>7,036,739</w:t>
      </w:r>
      <w:r>
        <w:rPr>
          <w:rFonts w:ascii="Arial" w:cs="Arial" w:eastAsia="Arial" w:hAnsi="Arial"/>
          <w:sz w:val="17"/>
          <w:szCs w:val="17"/>
          <w:color w:val="auto"/>
          <w:highlight w:val="white"/>
        </w:rPr>
        <w:t xml:space="preserve"> shares of our Common Stock as described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Securities being offered:</w:t>
            </w: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3"/>
              </w:rPr>
              <w:t>7,036,739 shares of our Common Stock, including (i) 2,450,350 shares</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of Common Stock issued to the selling stockholders in the Private</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9"/>
              </w:rPr>
              <w:t>Placement, (ii) 1,570,644 shares of Common Stock underlying pre-</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funded warrants issued to the selling stockholders in the Private</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8"/>
              </w:rPr>
              <w:t>Placement, and (iii) 3,015,745 shares of Common Stock underlying</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4"/>
              </w:rPr>
              <w:t>common stock purchase warrants issued to the selling stockholders in</w:t>
            </w: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the Private Placement.</w:t>
            </w:r>
          </w:p>
        </w:tc>
      </w:tr>
      <w:tr>
        <w:trPr>
          <w:trHeight w:val="418"/>
        </w:trPr>
        <w:tc>
          <w:tcPr>
            <w:tcW w:w="20" w:type="dxa"/>
            <w:vAlign w:val="bottom"/>
          </w:tcPr>
          <w:p>
            <w:pPr>
              <w:spacing w:after="0"/>
              <w:rPr>
                <w:sz w:val="24"/>
                <w:szCs w:val="24"/>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highlight w:val="white"/>
              </w:rPr>
              <w:t>We will not receive any of the proceeds from the sale or other</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highlight w:val="white"/>
                <w:w w:val="93"/>
              </w:rPr>
              <w:t xml:space="preserve">disposition of shares of our Common Stock by </w:t>
            </w:r>
            <w:r>
              <w:rPr>
                <w:rFonts w:ascii="Arial" w:cs="Arial" w:eastAsia="Arial" w:hAnsi="Arial"/>
                <w:sz w:val="18"/>
                <w:szCs w:val="18"/>
                <w:color w:val="auto"/>
                <w:w w:val="93"/>
              </w:rPr>
              <w:t>the selling stockholders.</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highlight w:val="white"/>
              </w:rPr>
              <w:t>We  may  receive  proceeds  upon  any  exercise  for  cash  of</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highlight w:val="white"/>
                <w:w w:val="99"/>
              </w:rPr>
              <w:t xml:space="preserve">outstanding </w:t>
            </w:r>
            <w:r>
              <w:rPr>
                <w:rFonts w:ascii="Arial" w:cs="Arial" w:eastAsia="Arial" w:hAnsi="Arial"/>
                <w:sz w:val="18"/>
                <w:szCs w:val="18"/>
                <w:color w:val="auto"/>
                <w:w w:val="99"/>
              </w:rPr>
              <w:t>warrants,</w:t>
            </w:r>
            <w:r>
              <w:rPr>
                <w:rFonts w:ascii="Arial" w:cs="Arial" w:eastAsia="Arial" w:hAnsi="Arial"/>
                <w:sz w:val="18"/>
                <w:szCs w:val="18"/>
                <w:color w:val="auto"/>
                <w:highlight w:val="white"/>
                <w:w w:val="99"/>
              </w:rPr>
              <w:t xml:space="preserve"> in which case such proceeds will be used for</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highlight w:val="white"/>
                <w:w w:val="99"/>
              </w:rPr>
              <w:t xml:space="preserve">working capital and other general corporate purposes. </w:t>
            </w:r>
            <w:r>
              <w:rPr>
                <w:rFonts w:ascii="Arial" w:cs="Arial" w:eastAsia="Arial" w:hAnsi="Arial"/>
                <w:sz w:val="18"/>
                <w:szCs w:val="18"/>
                <w:color w:val="auto"/>
                <w:w w:val="99"/>
              </w:rPr>
              <w:t>See “Use of</w:t>
            </w: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Proceeds” on page 7.</w:t>
            </w:r>
          </w:p>
        </w:tc>
      </w:tr>
      <w:tr>
        <w:trPr>
          <w:trHeight w:val="418"/>
        </w:trPr>
        <w:tc>
          <w:tcPr>
            <w:tcW w:w="20" w:type="dxa"/>
            <w:vAlign w:val="bottom"/>
          </w:tcPr>
          <w:p>
            <w:pPr>
              <w:spacing w:after="0"/>
              <w:rPr>
                <w:sz w:val="24"/>
                <w:szCs w:val="24"/>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Market for common stock:</w:t>
            </w: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5"/>
              </w:rPr>
              <w:t>Our Common Stock is listed on The Nasdaq Capital Market under the</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5"/>
              </w:rPr>
              <w:t>symbol “AGFY.” On February 11, 2022, the last reported sale price of</w:t>
            </w: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our Common Stock on The Nasdaq Capital Market was $8.51.</w:t>
            </w:r>
          </w:p>
        </w:tc>
      </w:tr>
      <w:tr>
        <w:trPr>
          <w:trHeight w:val="418"/>
        </w:trPr>
        <w:tc>
          <w:tcPr>
            <w:tcW w:w="20" w:type="dxa"/>
            <w:vAlign w:val="bottom"/>
          </w:tcPr>
          <w:p>
            <w:pPr>
              <w:spacing w:after="0"/>
              <w:rPr>
                <w:sz w:val="24"/>
                <w:szCs w:val="24"/>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9"/>
              </w:rPr>
              <w:t>This investment involves a high degree of risk. See the information</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8"/>
              </w:rPr>
              <w:t>contained  in  or  incorporated  by  reference  under  “Risk  Factors”</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w w:val="98"/>
              </w:rPr>
              <w:t>beginning  on  page  5  of  this  prospectus  and  in  the  documents</w:t>
            </w: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460" w:type="dxa"/>
            <w:vAlign w:val="bottom"/>
            <w:gridSpan w:val="2"/>
          </w:tcPr>
          <w:p>
            <w:pPr>
              <w:ind w:left="2160"/>
              <w:spacing w:after="0"/>
              <w:rPr>
                <w:sz w:val="20"/>
                <w:szCs w:val="20"/>
                <w:color w:val="auto"/>
              </w:rPr>
            </w:pPr>
            <w:r>
              <w:rPr>
                <w:rFonts w:ascii="Arial" w:cs="Arial" w:eastAsia="Arial" w:hAnsi="Arial"/>
                <w:sz w:val="18"/>
                <w:szCs w:val="18"/>
                <w:color w:val="auto"/>
              </w:rPr>
              <w:t>incorporated by reference into this prospectus.</w:t>
            </w:r>
          </w:p>
        </w:tc>
      </w:tr>
      <w:tr>
        <w:trPr>
          <w:trHeight w:val="328"/>
        </w:trPr>
        <w:tc>
          <w:tcPr>
            <w:tcW w:w="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bl>
    <w:p>
      <w:pPr>
        <w:sectPr>
          <w:pgSz w:w="11900" w:h="16838" w:orient="portrait"/>
          <w:cols w:equalWidth="0" w:num="1">
            <w:col w:w="11280"/>
          </w:cols>
          <w:pgMar w:left="320" w:top="1039"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described herein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herein and in the documents incorporated herein by reference, including (i) our most recent annual report on Form 10-K which is on file with the SEC and is incorporated herein by reference and (ii) other documents we file with the SEC that are deemed incorporated by reference into this prospectus.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31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prospectus contains, and the documents incorporated herein by reference contain, forward-looking statements and information relating to Agrify Corporation.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7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increase our number of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future growth of the indoor agriculture industry and demands of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integration of complementary businesses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new or modified laws and regulations that currently apply or become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key employees or management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receive no proceeds from the sale of shares of Common Stock by the selling stockholders.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portion of the shares of Common Stock covered by this prospectus are issuable upon exercise of warrants issued to the selling stockholders. The exercise price of the outstanding warrants is $7.48 per share with respect to the common stock purchase warrants and $0.001 with respect to the pre-funded warrants. The exercise price and number of shares of Common Stock issuable upon exercise of the warrants may be adjusted in certain circumstances, including stock splits or dividends, mergers, or reclassifications or similar events. Upon any exercise of outstanding warrants, the applicable selling stockholders will pay us the exercise price.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the extent we receive proceeds from the cash exercise of outstanding warrants, we intend to use the proceeds for working capital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common stock being offered by the selling shareholders are those previously issued to the selling shareholders, and those issuable to the selling shareholders, upon exercise of the warrants. For additional information regarding the issuances of those shares of common stock and warrants, see “Prospectus Summary—Recent Developments—Private Placement” above. We are registering the shares of common stock in order to permit the selling shareholders to offer the shares for resale from time to time. Except for the ownership of the shares of common stock and the warrants and except as disclosed herein, the selling shareholders have not had any material relationship with us within the past three years.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and warrants, as of February 1, 2022, assuming exercise of the warrants held by the selling shareholders on that date, without regard to any limitations on exercises.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the terms of a registration rights agreement with the selling shareholders, this prospectus generally covers the resale of the sum of (i) the number of shares of common stock issued to the selling shareholders in the “Prospectus Summary—Recent Developments—Private Placement”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shareholders pursuant to this prospectus.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terms of the warrants, a selling shareholder may not exercise the warrants to the extent such exercise would cause such selling shareholder,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shareholders may sell all, some or none of their shares in this offering. See “Plan of Distribution.”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Maximum Number of</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Number of shares of</w:t>
            </w:r>
          </w:p>
        </w:tc>
        <w:tc>
          <w:tcPr>
            <w:tcW w:w="2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shares of Common Stock</w:t>
            </w: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shares of</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Common Stock Owned</w:t>
            </w: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to be Sold Pursuant to this</w:t>
            </w:r>
          </w:p>
        </w:tc>
        <w:tc>
          <w:tcPr>
            <w:tcW w:w="2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Common Stock Owned After</w:t>
            </w:r>
          </w:p>
        </w:tc>
      </w:tr>
      <w:tr>
        <w:trPr>
          <w:trHeight w:val="241"/>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Shareholder</w:t>
            </w:r>
          </w:p>
        </w:tc>
        <w:tc>
          <w:tcPr>
            <w:tcW w:w="2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Prior to Offering</w:t>
            </w:r>
          </w:p>
        </w:tc>
        <w:tc>
          <w:tcPr>
            <w:tcW w:w="2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Prospectus (1)</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Offering</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Armistice Capital Master Fund Ltd. (1)</w:t>
            </w:r>
          </w:p>
        </w:tc>
        <w:tc>
          <w:tcPr>
            <w:tcW w:w="1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6,433,825</w:t>
            </w:r>
          </w:p>
        </w:tc>
        <w:tc>
          <w:tcPr>
            <w:tcW w:w="2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6,433,825</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Li Chen</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205,882</w:t>
            </w: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205,882</w:t>
            </w: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Clean Sweep Acquisition Corp.</w:t>
            </w:r>
          </w:p>
        </w:tc>
        <w:tc>
          <w:tcPr>
            <w:tcW w:w="2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193,014</w:t>
            </w: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193,014</w:t>
            </w:r>
          </w:p>
        </w:tc>
        <w:tc>
          <w:tcPr>
            <w:tcW w:w="2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Full Chance Finance Limited</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77,206</w:t>
            </w: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77,206</w:t>
            </w: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RTC3 2020 Irrevocable Family Trust (2)</w:t>
            </w:r>
          </w:p>
        </w:tc>
        <w:tc>
          <w:tcPr>
            <w:tcW w:w="2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594,247</w:t>
            </w: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63,406</w:t>
            </w:r>
          </w:p>
        </w:tc>
        <w:tc>
          <w:tcPr>
            <w:tcW w:w="2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530,841</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Stuart Wilcox (3)</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81,462</w:t>
            </w: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63,406</w:t>
            </w: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18,056</w:t>
            </w:r>
          </w:p>
        </w:tc>
      </w:tr>
    </w:tbl>
    <w:p>
      <w:pPr>
        <w:spacing w:after="0" w:line="187" w:lineRule="exact"/>
        <w:rPr>
          <w:sz w:val="20"/>
          <w:szCs w:val="20"/>
          <w:color w:val="auto"/>
        </w:rPr>
      </w:pPr>
    </w:p>
    <w:p>
      <w:pPr>
        <w:jc w:val="both"/>
        <w:ind w:left="340" w:hanging="332"/>
        <w:spacing w:after="0" w:line="273"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Armistice Capital Master Fund Ltd., a Cayman Islands exempted company (the “Master Fund”) holds (i) 2,105,827 shares of common stock, (ii) pre-funded warrants to purchase 1,570,644 shares of common stock, and (iii) common stock purchase warrants to purchase up to 2,757,354 shares of common stock. The securities held by the Master Fund may be deemed to be indirectly beneficially owned by: (i) Armistice Capital, LLC (“Armistice Capital”), as the investment manager of the Master Fund, and (ii) Steven Boyd, as the Managing Member of Armistice Capital. Armistice Capital and Mr. Boyd disclaim beneficial ownership of the securities except to the extent of their respective pecuniary interests therein. The Master Fund’s address is c/o Armistice Capital, LLC, 510 Madison Avenue, 7th Floor, New York, NY 10022.</w:t>
      </w:r>
    </w:p>
    <w:p>
      <w:pPr>
        <w:spacing w:after="0" w:line="177"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(i) 503,854 shares of common stock held by RTC3 2020 Irrevocable Family Trust (the “Trust”), and (ii) warrants to purchase 90,393 shares of common stock held by the Trust. Raymond Chang retains the authority to remove the independent trustee, and therefore such securities may be deemed to be beneficially owned by Mr. Chang. Mr. Chang disclaims beneficial ownership of the securities except to the extent of his pecuniary interests therein.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(i) 36,232 shares of common stock, and (ii) warrants to purchase 27,174 shares of common stock and (iii) options to purchase 18,056 shares of common stock that are exercisable within 60 days of February 9,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of Directors and Officers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the selling stockholders currently serve as officers and/or members of our Board of Directors, including Raymond Chang, our Chairman and Chief Executive Officer, and Stuart Wilcox, a member of our Board of Directors. Mr. Chang has the ability to remove the independent trustee of RTC3 2020 Irrevocable Family Trust, and is therefore deemed to beneficially own the shares and warrants held by such trust.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selling stockholder (collectively, the “</w:t>
      </w:r>
      <w:r>
        <w:rPr>
          <w:rFonts w:ascii="Arial" w:cs="Arial" w:eastAsia="Arial" w:hAnsi="Arial"/>
          <w:sz w:val="18"/>
          <w:szCs w:val="18"/>
          <w:u w:val="single" w:color="auto"/>
          <w:color w:val="auto"/>
        </w:rPr>
        <w:t>Selling Stockholders</w:t>
      </w:r>
      <w:r>
        <w:rPr>
          <w:rFonts w:ascii="Arial" w:cs="Arial" w:eastAsia="Arial" w:hAnsi="Arial"/>
          <w:sz w:val="18"/>
          <w:szCs w:val="18"/>
          <w:color w:val="auto"/>
        </w:rPr>
        <w:t>”) of the securities and any of their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Stockholders to sell a specified number of such securities at a stipulated price per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Stockholders may also sell securities under Rule 144 or any other exemption from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if available, rather than under this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spacing w:after="0" w:line="308" w:lineRule="auto"/>
        <w:rPr>
          <w:sz w:val="20"/>
          <w:szCs w:val="20"/>
          <w:color w:val="auto"/>
        </w:rPr>
      </w:pPr>
      <w:r>
        <w:rPr>
          <w:rFonts w:ascii="Arial" w:cs="Arial" w:eastAsia="Arial" w:hAnsi="Arial"/>
          <w:sz w:val="17"/>
          <w:szCs w:val="17"/>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prices at which the shares of Common Stock covered by this prospectus may actually be sold will be determined by the prevailing public market price for shares of Common Stock, by negotiations between the selling stockholders and buyers of our Common Stock in private transactions or as otherwise described in “Plan of Distribution.”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articles of incorporation authorizes the issuance of up to 50,000,000 shares of common stock, par value $0.001 per share, and 3,000,000 shares of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of this prospectus, there were 24,797,342 shares of common stock outstanding, warrants to purchase 4,845,589 shares of our common stock and 3,326,110 shares of common stock subject to outstanding options.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 Broadridge Corporate Issuer Solutions, Inc., 51 Mercedes Way, Edgewood, New York 11717.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shares of common stock are listed on the NASDAQ Capital Market under the symbol “AGFY.”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Articles of Incorporation and By-laws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could render more difficult or discourage an attempt to obtain control of our company by means of a proxy contest, tender offer, merger,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Nevada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69" w:lineRule="auto"/>
        <w:rPr>
          <w:sz w:val="20"/>
          <w:szCs w:val="20"/>
          <w:color w:val="auto"/>
        </w:rPr>
      </w:pPr>
      <w:r>
        <w:rPr>
          <w:rFonts w:ascii="Arial" w:cs="Arial" w:eastAsia="Arial" w:hAnsi="Arial"/>
          <w:sz w:val="17"/>
          <w:szCs w:val="17"/>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business combination provisions do not apply to a person after the expiration of four years after the person first became an interested stockholder.</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Share Acquisitions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spacing w:after="0" w:line="271" w:lineRule="auto"/>
        <w:rPr>
          <w:sz w:val="20"/>
          <w:szCs w:val="20"/>
          <w:color w:val="auto"/>
        </w:rPr>
      </w:pPr>
      <w:r>
        <w:rPr>
          <w:rFonts w:ascii="Arial" w:cs="Arial" w:eastAsia="Arial" w:hAnsi="Arial"/>
          <w:sz w:val="17"/>
          <w:szCs w:val="17"/>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in connection with this offering will be passed upon for us by Sherman &amp; Howard L.L.C., Las Vegas, Nevada.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Marcum LLP, independent registered public accounting firm, has audited our financial statements at December 31, 2020 and 2019 as set forth in their report dated April 2, 2021. We have included our financial statements in the prospectus and elsewhere in the registration statement in reliance on Marcum LLP’s report, given on their authority as experts in accounting and auditing. The balance sheets of Cascade Sciences, LLC as of December 31, 2020 and 2019 and the related statements of income, members’ equity and cash flows for the years then ended, have been audited by Baker Tilly US LLP, independent registered public accounting firm, as stated in their report dated December 8, 2021, which is incorporated by reference herein. The consolidated balance sheets of Mass2Media, LLC dba PC2 Holdings, LLC and Affiliate as of December 31, 2020 and 2019 and the related consolidated statements of net loss, members’ equity (deficit) and cash flows for the years then ended, have been audited by Baker Tilly US LLP, independent registered public accounting firm, as stated in their report dated December 8, 2021, which is incorporated by reference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filed with the SEC a registration statement on Form S-3 under the Securities Act, of which this prospectus forms a part. The rules and regulations of the SEC allow us to omit from this prospectus certain information included in the registration statement. For further information about us and our securities,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We file reports, proxy statements and other information with the SEC under the Exchange Act. The SEC maintains an Internet website that contains reports, proxy statements and other information about issuers, like us, that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 allows us to incorporate by reference the information and reports we file with them, which means that we can disclose important information to you by referring you to those publicly available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except as to any portion of any future report or document that is not deemed filed under such provisions, prior to the completion or termination of the offering of the securities described in this prospectus:</w:t>
      </w:r>
    </w:p>
    <w:p>
      <w:pPr>
        <w:spacing w:after="0" w:line="17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April 2, 2021;</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fiscal quarter ended March 31, 2021 filed with the SEC on </w:t>
      </w:r>
      <w:hyperlink r:id="rId30">
        <w:r>
          <w:rPr>
            <w:rFonts w:ascii="Arial" w:cs="Arial" w:eastAsia="Arial" w:hAnsi="Arial"/>
            <w:sz w:val="18"/>
            <w:szCs w:val="18"/>
            <w:u w:val="single" w:color="auto"/>
            <w:color w:val="0000EE"/>
          </w:rPr>
          <w:t>May 17, 2021</w:t>
        </w:r>
      </w:hyperlink>
      <w:r>
        <w:rPr>
          <w:rFonts w:ascii="Arial" w:cs="Arial" w:eastAsia="Arial" w:hAnsi="Arial"/>
          <w:sz w:val="18"/>
          <w:szCs w:val="18"/>
          <w:color w:val="auto"/>
        </w:rPr>
        <w:t xml:space="preserve">, for the fiscal quarter ended </w:t>
      </w:r>
      <w:hyperlink r:id="rId31">
        <w:r>
          <w:rPr>
            <w:rFonts w:ascii="Arial" w:cs="Arial" w:eastAsia="Arial" w:hAnsi="Arial"/>
            <w:sz w:val="18"/>
            <w:szCs w:val="18"/>
            <w:color w:val="auto"/>
          </w:rPr>
          <w:t xml:space="preserve">June 30, 2021 filed with the SEC on </w:t>
        </w:r>
        <w:r>
          <w:rPr>
            <w:rFonts w:ascii="Arial" w:cs="Arial" w:eastAsia="Arial" w:hAnsi="Arial"/>
            <w:sz w:val="18"/>
            <w:szCs w:val="18"/>
            <w:u w:val="single" w:color="auto"/>
            <w:color w:val="0000EE"/>
          </w:rPr>
          <w:t>August 13, 2021</w:t>
        </w:r>
        <w:r>
          <w:rPr>
            <w:rFonts w:ascii="Arial" w:cs="Arial" w:eastAsia="Arial" w:hAnsi="Arial"/>
            <w:sz w:val="18"/>
            <w:szCs w:val="18"/>
            <w:color w:val="auto"/>
          </w:rPr>
          <w:t xml:space="preserve">, and for the fiscal quarter ended September 30, 2021 filed with the SEC on </w:t>
        </w:r>
        <w:r>
          <w:rPr>
            <w:rFonts w:ascii="Arial" w:cs="Arial" w:eastAsia="Arial" w:hAnsi="Arial"/>
            <w:sz w:val="18"/>
            <w:szCs w:val="18"/>
            <w:u w:val="single" w:color="auto"/>
            <w:color w:val="0000EE"/>
          </w:rPr>
          <w:t>November 12,</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2021</w:t>
        </w:r>
        <w:r>
          <w:rPr>
            <w:rFonts w:ascii="Arial" w:cs="Arial" w:eastAsia="Arial" w:hAnsi="Arial"/>
            <w:sz w:val="18"/>
            <w:szCs w:val="18"/>
            <w:color w:val="000000"/>
          </w:rPr>
          <w:t>.</w:t>
        </w:r>
      </w:hyperlink>
    </w:p>
    <w:p>
      <w:pPr>
        <w:spacing w:after="0" w:line="183" w:lineRule="exact"/>
        <w:rPr>
          <w:rFonts w:ascii="Arial" w:cs="Arial" w:eastAsia="Arial" w:hAnsi="Arial"/>
          <w:sz w:val="18"/>
          <w:szCs w:val="18"/>
          <w:color w:val="0000EE"/>
        </w:rPr>
      </w:pPr>
    </w:p>
    <w:p>
      <w:pPr>
        <w:jc w:val="both"/>
        <w:ind w:left="660" w:right="20" w:hanging="328"/>
        <w:spacing w:after="0" w:line="286" w:lineRule="auto"/>
        <w:tabs>
          <w:tab w:leader="none" w:pos="660" w:val="left"/>
        </w:tabs>
        <w:numPr>
          <w:ilvl w:val="0"/>
          <w:numId w:val="5"/>
        </w:numPr>
        <w:rPr>
          <w:rFonts w:ascii="Arial" w:cs="Arial" w:eastAsia="Arial" w:hAnsi="Arial"/>
          <w:sz w:val="17"/>
          <w:szCs w:val="17"/>
          <w:color w:val="0000EE"/>
        </w:rPr>
      </w:pPr>
      <w:hyperlink r:id="rId32">
        <w:r>
          <w:rPr>
            <w:rFonts w:ascii="Arial" w:cs="Arial" w:eastAsia="Arial" w:hAnsi="Arial"/>
            <w:sz w:val="17"/>
            <w:szCs w:val="17"/>
            <w:color w:val="auto"/>
          </w:rPr>
          <w:t xml:space="preserve">Our Current Reports on Form 8-K filed with the SEC on </w:t>
        </w:r>
        <w:r>
          <w:rPr>
            <w:rFonts w:ascii="Arial" w:cs="Arial" w:eastAsia="Arial" w:hAnsi="Arial"/>
            <w:sz w:val="17"/>
            <w:szCs w:val="17"/>
            <w:u w:val="single" w:color="auto"/>
            <w:color w:val="0000EE"/>
          </w:rPr>
          <w:t>February 2,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4,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19,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22,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22,</w:t>
        </w:r>
      </w:hyperlink>
      <w:r>
        <w:rPr>
          <w:rFonts w:ascii="Arial" w:cs="Arial" w:eastAsia="Arial" w:hAnsi="Arial"/>
          <w:sz w:val="17"/>
          <w:szCs w:val="17"/>
          <w:color w:val="auto"/>
        </w:rPr>
        <w:t xml:space="preserve"> </w:t>
      </w:r>
      <w:hyperlink r:id="rId32">
        <w:r>
          <w:rPr>
            <w:rFonts w:ascii="Arial" w:cs="Arial" w:eastAsia="Arial" w:hAnsi="Arial"/>
            <w:sz w:val="17"/>
            <w:szCs w:val="17"/>
            <w:u w:val="single" w:color="auto"/>
            <w:color w:val="0000EE"/>
          </w:rPr>
          <w:t>2021</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3">
        <w:r>
          <w:rPr>
            <w:rFonts w:ascii="Arial" w:cs="Arial" w:eastAsia="Arial" w:hAnsi="Arial"/>
            <w:sz w:val="17"/>
            <w:szCs w:val="17"/>
            <w:u w:val="single" w:color="auto"/>
            <w:color w:val="0000EE"/>
          </w:rPr>
          <w:t>September 20, 2021</w:t>
        </w:r>
      </w:hyperlink>
      <w:hyperlink r:id="rId3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4">
        <w:r>
          <w:rPr>
            <w:rFonts w:ascii="Arial" w:cs="Arial" w:eastAsia="Arial" w:hAnsi="Arial"/>
            <w:sz w:val="17"/>
            <w:szCs w:val="17"/>
            <w:u w:val="single" w:color="auto"/>
            <w:color w:val="0000EE"/>
          </w:rPr>
          <w:t xml:space="preserve">October 5, 2021 </w:t>
        </w:r>
      </w:hyperlink>
      <w:hyperlink r:id="rId32">
        <w:r>
          <w:rPr>
            <w:rFonts w:ascii="Arial" w:cs="Arial" w:eastAsia="Arial" w:hAnsi="Arial"/>
            <w:sz w:val="17"/>
            <w:szCs w:val="17"/>
            <w:color w:val="000000"/>
          </w:rPr>
          <w:t>(and the amendment thereto filed with the SEC on</w:t>
        </w:r>
        <w:r>
          <w:rPr>
            <w:rFonts w:ascii="Arial" w:cs="Arial" w:eastAsia="Arial" w:hAnsi="Arial"/>
            <w:sz w:val="17"/>
            <w:szCs w:val="17"/>
            <w:color w:val="0000EE"/>
          </w:rPr>
          <w:t xml:space="preserve"> </w:t>
        </w:r>
      </w:hyperlink>
      <w:hyperlink r:id="rId35">
        <w:r>
          <w:rPr>
            <w:rFonts w:ascii="Arial" w:cs="Arial" w:eastAsia="Arial" w:hAnsi="Arial"/>
            <w:sz w:val="17"/>
            <w:szCs w:val="17"/>
            <w:u w:val="single" w:color="auto"/>
            <w:color w:val="0000EE"/>
          </w:rPr>
          <w:t>December 17, 2021</w:t>
        </w:r>
      </w:hyperlink>
      <w:hyperlink r:id="rId3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6">
        <w:r>
          <w:rPr>
            <w:rFonts w:ascii="Arial" w:cs="Arial" w:eastAsia="Arial" w:hAnsi="Arial"/>
            <w:sz w:val="17"/>
            <w:szCs w:val="17"/>
            <w:u w:val="single" w:color="auto"/>
            <w:color w:val="0000EE"/>
          </w:rPr>
          <w:t>November 15, 2021</w:t>
        </w:r>
      </w:hyperlink>
      <w:hyperlink r:id="rId32">
        <w:r>
          <w:rPr>
            <w:rFonts w:ascii="Arial" w:cs="Arial" w:eastAsia="Arial" w:hAnsi="Arial"/>
            <w:sz w:val="17"/>
            <w:szCs w:val="17"/>
            <w:color w:val="000000"/>
          </w:rPr>
          <w:t>,</w:t>
        </w:r>
      </w:hyperlink>
      <w:r>
        <w:rPr>
          <w:rFonts w:ascii="Arial" w:cs="Arial" w:eastAsia="Arial" w:hAnsi="Arial"/>
          <w:sz w:val="17"/>
          <w:szCs w:val="17"/>
          <w:color w:val="0000EE"/>
        </w:rPr>
        <w:t xml:space="preserve"> </w:t>
      </w:r>
      <w:hyperlink r:id="rId37">
        <w:r>
          <w:rPr>
            <w:rFonts w:ascii="Arial" w:cs="Arial" w:eastAsia="Arial" w:hAnsi="Arial"/>
            <w:sz w:val="17"/>
            <w:szCs w:val="17"/>
            <w:u w:val="single" w:color="auto"/>
            <w:color w:val="0000EE"/>
          </w:rPr>
          <w:t>December 8,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38">
        <w:r>
          <w:rPr>
            <w:rFonts w:ascii="Arial" w:cs="Arial" w:eastAsia="Arial" w:hAnsi="Arial"/>
            <w:sz w:val="17"/>
            <w:szCs w:val="17"/>
            <w:u w:val="single" w:color="auto"/>
            <w:color w:val="0000EE"/>
          </w:rPr>
          <w:t>December 14,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39">
        <w:r>
          <w:rPr>
            <w:rFonts w:ascii="Arial" w:cs="Arial" w:eastAsia="Arial" w:hAnsi="Arial"/>
            <w:sz w:val="17"/>
            <w:szCs w:val="17"/>
            <w:u w:val="single" w:color="auto"/>
            <w:color w:val="0000EE"/>
          </w:rPr>
          <w:t>December 27,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40">
        <w:r>
          <w:rPr>
            <w:rFonts w:ascii="Arial" w:cs="Arial" w:eastAsia="Arial" w:hAnsi="Arial"/>
            <w:sz w:val="17"/>
            <w:szCs w:val="17"/>
            <w:u w:val="single" w:color="auto"/>
            <w:color w:val="0000EE"/>
          </w:rPr>
          <w:t>January 5, 2022</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41">
        <w:r>
          <w:rPr>
            <w:rFonts w:ascii="Arial" w:cs="Arial" w:eastAsia="Arial" w:hAnsi="Arial"/>
            <w:sz w:val="17"/>
            <w:szCs w:val="17"/>
            <w:u w:val="single" w:color="auto"/>
            <w:color w:val="0000EE"/>
          </w:rPr>
          <w:t xml:space="preserve">January 26, 2022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42">
        <w:r>
          <w:rPr>
            <w:rFonts w:ascii="Arial" w:cs="Arial" w:eastAsia="Arial" w:hAnsi="Arial"/>
            <w:sz w:val="17"/>
            <w:szCs w:val="17"/>
            <w:u w:val="single" w:color="auto"/>
            <w:color w:val="0000EE"/>
          </w:rPr>
          <w:t>February 2, 2022</w:t>
        </w:r>
      </w:hyperlink>
      <w:r>
        <w:rPr>
          <w:rFonts w:ascii="Arial" w:cs="Arial" w:eastAsia="Arial" w:hAnsi="Arial"/>
          <w:sz w:val="17"/>
          <w:szCs w:val="17"/>
          <w:color w:val="000000"/>
        </w:rPr>
        <w:t>.</w:t>
      </w:r>
    </w:p>
    <w:p>
      <w:pPr>
        <w:spacing w:after="0" w:line="165" w:lineRule="exact"/>
        <w:rPr>
          <w:rFonts w:ascii="Arial" w:cs="Arial" w:eastAsia="Arial" w:hAnsi="Arial"/>
          <w:sz w:val="17"/>
          <w:szCs w:val="17"/>
          <w:color w:val="0000EE"/>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43">
        <w:r>
          <w:rPr>
            <w:rFonts w:ascii="Arial" w:cs="Arial" w:eastAsia="Arial" w:hAnsi="Arial"/>
            <w:sz w:val="17"/>
            <w:szCs w:val="17"/>
            <w:u w:val="single" w:color="auto"/>
            <w:color w:val="0000EE"/>
          </w:rPr>
          <w:t>Form 8-A12B</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SEC on January 26, 2021.</w:t>
      </w:r>
    </w:p>
    <w:p>
      <w:pPr>
        <w:spacing w:after="0" w:line="237" w:lineRule="exact"/>
        <w:rPr>
          <w:rFonts w:ascii="Arial" w:cs="Arial" w:eastAsia="Arial" w:hAnsi="Arial"/>
          <w:sz w:val="17"/>
          <w:szCs w:val="17"/>
          <w:color w:val="0000EE"/>
        </w:rPr>
      </w:pPr>
    </w:p>
    <w:p>
      <w:pPr>
        <w:jc w:val="both"/>
        <w:spacing w:after="0" w:line="263"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84" w:lineRule="exact"/>
        <w:rPr>
          <w:rFonts w:ascii="Arial" w:cs="Arial" w:eastAsia="Arial" w:hAnsi="Arial"/>
          <w:sz w:val="17"/>
          <w:szCs w:val="17"/>
          <w:color w:val="0000EE"/>
        </w:rPr>
      </w:pPr>
    </w:p>
    <w:p>
      <w:pPr>
        <w:jc w:val="both"/>
        <w:spacing w:after="0" w:line="263" w:lineRule="auto"/>
        <w:rPr>
          <w:sz w:val="20"/>
          <w:szCs w:val="20"/>
          <w:color w:val="auto"/>
        </w:rPr>
      </w:pPr>
      <w:r>
        <w:rPr>
          <w:rFonts w:ascii="Arial" w:cs="Arial" w:eastAsia="Arial" w:hAnsi="Arial"/>
          <w:sz w:val="18"/>
          <w:szCs w:val="18"/>
          <w:color w:val="auto"/>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84" w:lineRule="exact"/>
        <w:rPr>
          <w:rFonts w:ascii="Arial" w:cs="Arial" w:eastAsia="Arial" w:hAnsi="Arial"/>
          <w:sz w:val="17"/>
          <w:szCs w:val="17"/>
          <w:color w:val="0000EE"/>
        </w:rPr>
      </w:pPr>
    </w:p>
    <w:p>
      <w:pPr>
        <w:ind w:left="1300"/>
        <w:spacing w:after="0"/>
        <w:rPr>
          <w:sz w:val="20"/>
          <w:szCs w:val="20"/>
          <w:color w:val="auto"/>
        </w:rPr>
      </w:pPr>
      <w:r>
        <w:rPr>
          <w:rFonts w:ascii="Arial" w:cs="Arial" w:eastAsia="Arial" w:hAnsi="Arial"/>
          <w:sz w:val="18"/>
          <w:szCs w:val="18"/>
          <w:color w:val="auto"/>
        </w:rPr>
        <w:t>Agrify Corporation</w:t>
      </w:r>
    </w:p>
    <w:p>
      <w:pPr>
        <w:spacing w:after="0" w:line="23" w:lineRule="exact"/>
        <w:rPr>
          <w:rFonts w:ascii="Arial" w:cs="Arial" w:eastAsia="Arial" w:hAnsi="Arial"/>
          <w:sz w:val="17"/>
          <w:szCs w:val="17"/>
          <w:color w:val="0000EE"/>
        </w:rPr>
      </w:pPr>
    </w:p>
    <w:p>
      <w:pPr>
        <w:ind w:left="1300"/>
        <w:spacing w:after="0"/>
        <w:rPr>
          <w:sz w:val="20"/>
          <w:szCs w:val="20"/>
          <w:color w:val="auto"/>
        </w:rPr>
      </w:pPr>
      <w:r>
        <w:rPr>
          <w:rFonts w:ascii="Arial" w:cs="Arial" w:eastAsia="Arial" w:hAnsi="Arial"/>
          <w:sz w:val="18"/>
          <w:szCs w:val="18"/>
          <w:color w:val="auto"/>
        </w:rPr>
        <w:t>76 Treble Cove Road, Building 3</w:t>
      </w:r>
    </w:p>
    <w:p>
      <w:pPr>
        <w:spacing w:after="0" w:line="9" w:lineRule="exact"/>
        <w:rPr>
          <w:rFonts w:ascii="Arial" w:cs="Arial" w:eastAsia="Arial" w:hAnsi="Arial"/>
          <w:sz w:val="17"/>
          <w:szCs w:val="17"/>
          <w:color w:val="0000EE"/>
        </w:rPr>
      </w:pPr>
    </w:p>
    <w:p>
      <w:pPr>
        <w:ind w:left="1300"/>
        <w:spacing w:after="0"/>
        <w:rPr>
          <w:sz w:val="20"/>
          <w:szCs w:val="20"/>
          <w:color w:val="auto"/>
        </w:rPr>
      </w:pPr>
      <w:r>
        <w:rPr>
          <w:rFonts w:ascii="Arial" w:cs="Arial" w:eastAsia="Arial" w:hAnsi="Arial"/>
          <w:sz w:val="18"/>
          <w:szCs w:val="18"/>
          <w:color w:val="auto"/>
        </w:rPr>
        <w:t>Billerica, MA 01862</w:t>
      </w:r>
    </w:p>
    <w:p>
      <w:pPr>
        <w:spacing w:after="0" w:line="9" w:lineRule="exact"/>
        <w:rPr>
          <w:rFonts w:ascii="Arial" w:cs="Arial" w:eastAsia="Arial" w:hAnsi="Arial"/>
          <w:sz w:val="17"/>
          <w:szCs w:val="17"/>
          <w:color w:val="0000EE"/>
        </w:rPr>
      </w:pPr>
    </w:p>
    <w:p>
      <w:pPr>
        <w:ind w:left="1300"/>
        <w:spacing w:after="0"/>
        <w:rPr>
          <w:sz w:val="20"/>
          <w:szCs w:val="20"/>
          <w:color w:val="auto"/>
        </w:rPr>
      </w:pPr>
      <w:r>
        <w:rPr>
          <w:rFonts w:ascii="Arial" w:cs="Arial" w:eastAsia="Arial" w:hAnsi="Arial"/>
          <w:sz w:val="18"/>
          <w:szCs w:val="18"/>
          <w:color w:val="auto"/>
        </w:rPr>
        <w:t>Telephone: (617) 896-5243</w:t>
      </w:r>
    </w:p>
    <w:p>
      <w:pPr>
        <w:spacing w:after="0" w:line="211" w:lineRule="exact"/>
        <w:rPr>
          <w:rFonts w:ascii="Arial" w:cs="Arial" w:eastAsia="Arial" w:hAnsi="Arial"/>
          <w:sz w:val="17"/>
          <w:szCs w:val="17"/>
          <w:color w:val="0000EE"/>
        </w:rPr>
      </w:pPr>
    </w:p>
    <w:p>
      <w:pPr>
        <w:jc w:val="both"/>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rFonts w:ascii="Arial" w:cs="Arial" w:eastAsia="Arial" w:hAnsi="Arial"/>
          <w:sz w:val="17"/>
          <w:szCs w:val="17"/>
          <w:color w:val="0000EE"/>
        </w:rPr>
      </w:pPr>
    </w:p>
    <w:p>
      <w:pPr>
        <w:jc w:val="both"/>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Arial" w:cs="Arial" w:eastAsia="Arial" w:hAnsi="Arial"/>
          <w:sz w:val="17"/>
          <w:szCs w:val="17"/>
          <w:color w:val="0000EE"/>
        </w:rPr>
      </w:pPr>
    </w:p>
    <w:p>
      <w:pPr>
        <w:spacing w:after="0" w:line="203" w:lineRule="exact"/>
        <w:rPr>
          <w:rFonts w:ascii="Arial" w:cs="Arial" w:eastAsia="Arial" w:hAnsi="Arial"/>
          <w:sz w:val="17"/>
          <w:szCs w:val="17"/>
          <w:color w:val="0000EE"/>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3234055</wp:posOffset>
            </wp:positionH>
            <wp:positionV relativeFrom="page">
              <wp:posOffset>860425</wp:posOffset>
            </wp:positionV>
            <wp:extent cx="1054100" cy="779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05410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7,036,739 Shares of Common Stock</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jpeg"/><Relationship Id="rId46" Type="http://schemas.openxmlformats.org/officeDocument/2006/relationships/image" Target="media/image24.png"/><Relationship Id="rId29" Type="http://schemas.openxmlformats.org/officeDocument/2006/relationships/hyperlink" Target="http://www.sec.gov/Archives/edgar/data/1800637/000121390021019992/f10k2020_agrifycorporation.htm" TargetMode="External"/><Relationship Id="rId30" Type="http://schemas.openxmlformats.org/officeDocument/2006/relationships/hyperlink" Target="http://www.sec.gov/Archives/edgar/data/1800637/000121390021027153/f10q0321_agrifycorporation.htm" TargetMode="External"/><Relationship Id="rId31" Type="http://schemas.openxmlformats.org/officeDocument/2006/relationships/hyperlink" Target="http://www.sec.gov/ix?doc=/Archives/edgar/data/1800637/000121390021058223/f10q0921_agrifycorp.htm" TargetMode="External"/><Relationship Id="rId32" Type="http://schemas.openxmlformats.org/officeDocument/2006/relationships/hyperlink" Target="http://www.sec.gov/Archives/edgar/data/1800637/000121390021016960/ea138197_8k-agrify.htm" TargetMode="External"/><Relationship Id="rId33" Type="http://schemas.openxmlformats.org/officeDocument/2006/relationships/hyperlink" Target="http://www.sec.gov/ix?doc=/Archives/edgar/data/1800637/000121390021048850/ea147578-8k_agrifycorp.htm" TargetMode="External"/><Relationship Id="rId34" Type="http://schemas.openxmlformats.org/officeDocument/2006/relationships/hyperlink" Target="http://www.sec.gov/ix?doc=/Archives/edgar/data/1800637/000101376221000191/ea148348-8k_agrifycorp.htm" TargetMode="External"/><Relationship Id="rId35" Type="http://schemas.openxmlformats.org/officeDocument/2006/relationships/hyperlink" Target="http://www.sec.gov/ix?doc=/Archives/edgar/data/1800637/000162828021025312/agfy-20210929.htm" TargetMode="External"/><Relationship Id="rId36" Type="http://schemas.openxmlformats.org/officeDocument/2006/relationships/hyperlink" Target="http://www.sec.gov/ix?doc=/Archives/edgar/data/1800637/000121390021059567/ea150577-8k_agrifycorp.htm" TargetMode="External"/><Relationship Id="rId37" Type="http://schemas.openxmlformats.org/officeDocument/2006/relationships/hyperlink" Target="http://www.sec.gov/ix?doc=/Archives/edgar/data/1800637/000121390021064077/ea151827-8k_agrifycorp.htm" TargetMode="External"/><Relationship Id="rId38" Type="http://schemas.openxmlformats.org/officeDocument/2006/relationships/hyperlink" Target="http://www.sec.gov/ix?doc=/Archives/edgar/data/1800637/000121390021065083/ea152256-8k_agrifycorp.htm" TargetMode="External"/><Relationship Id="rId39" Type="http://schemas.openxmlformats.org/officeDocument/2006/relationships/hyperlink" Target="http://www.sec.gov/ix?doc=/Archives/edgar/data/1800637/000121390021067576/ea153040-8k_agrifycorp.htm" TargetMode="External"/><Relationship Id="rId40" Type="http://schemas.openxmlformats.org/officeDocument/2006/relationships/hyperlink" Target="http://www.sec.gov/ix?doc=/Archives/edgar/data/1800637/000121390022000601/ea153490-8k_agrifycorp.htm" TargetMode="External"/><Relationship Id="rId41" Type="http://schemas.openxmlformats.org/officeDocument/2006/relationships/hyperlink" Target="http://www.sec.gov/ix?doc=/Archives/edgar/data/1800637/000121390022003773/ea154520-8k_agrifycorp.htm" TargetMode="External"/><Relationship Id="rId42" Type="http://schemas.openxmlformats.org/officeDocument/2006/relationships/hyperlink" Target="http://www.sec.gov/ix?doc=/Archives/edgar/data/1800637/000121390022004925/ea154783-8k_agrifycorp.htm" TargetMode="External"/><Relationship Id="rId43" Type="http://schemas.openxmlformats.org/officeDocument/2006/relationships/hyperlink" Target="http://www.sec.gov/Archives/edgar/data/1800637/000121390021004285/ea133941-8a12b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2022-02-12T03:20:30Z</dcterms:created>
  <dcterms:modified xsi:type="dcterms:W3CDTF">2022-02-12T03:20:30Z</dcterms:modified>
</cp:coreProperties>
</file>