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23495</wp:posOffset>
            </wp:positionV>
            <wp:extent cx="6993255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Varier Krishnan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6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Agrify Corp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AGFY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AGRIFY CORPORATION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07/14/2022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 TREBLE COVE ROAD, BUILDING 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BILLERICA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01862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5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53,459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07/14/2022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53,459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53,459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-2028825</wp:posOffset>
            </wp:positionV>
            <wp:extent cx="29210" cy="20339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33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under to the Agrify Corporation 2022 Omnibus Equity Incentive Plan.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share of common stock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restricted stock units will on July 14, 2023, subject to the reporting person's continuous service through such vesting date.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Josh Savitz, attorney-in-fact 07/18/2022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87896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834250" TargetMode="External"/><Relationship Id="rId13" Type="http://schemas.openxmlformats.org/officeDocument/2006/relationships/hyperlink" Target="http://www.sec.gov/cgi-bin/browse-edgar?action=getcompany&amp;CIK=0001800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2022-07-18T15:53:17Z</dcterms:created>
  <dcterms:modified xsi:type="dcterms:W3CDTF">2022-07-18T15:53:17Z</dcterms:modified>
</cp:coreProperties>
</file>