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636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362065"/>
                    </a:xfrm>
                    <a:prstGeom prst="rect">
                      <a:avLst/>
                    </a:prstGeom>
                    <a:noFill/>
                  </pic:spPr>
                </pic:pic>
              </a:graphicData>
            </a:graphic>
          </wp:anchor>
        </w:drawing>
      </w:r>
    </w:p>
    <w:p>
      <w:pPr>
        <w:spacing w:after="0" w:line="1152" w:lineRule="exact"/>
        <w:rPr>
          <w:sz w:val="24"/>
          <w:szCs w:val="24"/>
          <w:color w:val="auto"/>
        </w:rPr>
      </w:pPr>
    </w:p>
    <w:p>
      <w:pPr>
        <w:sectPr>
          <w:pgSz w:w="11900" w:h="16838" w:orient="portrait"/>
          <w:cols w:equalWidth="0" w:num="2">
            <w:col w:w="2280" w:space="360"/>
            <w:col w:w="8440"/>
          </w:cols>
          <w:pgMar w:left="460" w:top="215" w:right="359" w:bottom="15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Chan I-Tseng Jenny</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1"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Agrify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AGFY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08/30/2024</w:t>
            </w:r>
          </w:p>
        </w:tc>
        <w:tc>
          <w:tcPr>
            <w:tcW w:w="2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AGRIFY CORPORATION</w:t>
            </w:r>
          </w:p>
        </w:tc>
        <w:tc>
          <w:tcPr>
            <w:tcW w:w="1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2468 INDUSTRIAL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15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48084</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38" w:orient="portrait"/>
          <w:cols w:equalWidth="0" w:num="2">
            <w:col w:w="7560" w:space="720"/>
            <w:col w:w="2800"/>
          </w:cols>
          <w:pgMar w:left="460" w:top="215" w:right="359" w:bottom="15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20" w:type="dxa"/>
            <w:vAlign w:val="bottom"/>
            <w:gridSpan w:val="2"/>
            <w:vMerge w:val="restart"/>
          </w:tcPr>
          <w:p>
            <w:pPr>
              <w:jc w:val="center"/>
              <w:ind w:left="653"/>
              <w:spacing w:after="0"/>
              <w:rPr>
                <w:sz w:val="20"/>
                <w:szCs w:val="20"/>
                <w:color w:val="auto"/>
              </w:rPr>
            </w:pPr>
            <w:r>
              <w:rPr>
                <w:rFonts w:ascii="Times New Roman" w:cs="Times New Roman" w:eastAsia="Times New Roman" w:hAnsi="Times New Roman"/>
                <w:sz w:val="16"/>
                <w:szCs w:val="16"/>
                <w:color w:val="0000FF"/>
              </w:rPr>
              <w:t>08/30/2024</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574,690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1280" w:type="dxa"/>
            <w:vAlign w:val="bottom"/>
            <w:gridSpan w:val="3"/>
            <w:vMerge w:val="restart"/>
          </w:tcPr>
          <w:p>
            <w:pPr>
              <w:jc w:val="right"/>
              <w:ind w:right="242"/>
              <w:spacing w:after="0"/>
              <w:rPr>
                <w:sz w:val="20"/>
                <w:szCs w:val="20"/>
                <w:color w:val="auto"/>
              </w:rPr>
            </w:pPr>
            <w:r>
              <w:rPr>
                <w:rFonts w:ascii="Times New Roman" w:cs="Times New Roman" w:eastAsia="Times New Roman" w:hAnsi="Times New Roman"/>
                <w:sz w:val="16"/>
                <w:szCs w:val="16"/>
                <w:color w:val="0000FF"/>
              </w:rPr>
              <w:t>1,019,962</w:t>
            </w:r>
          </w:p>
        </w:tc>
        <w:tc>
          <w:tcPr>
            <w:tcW w:w="220" w:type="dxa"/>
            <w:vAlign w:val="bottom"/>
          </w:tcPr>
          <w:p>
            <w:pPr>
              <w:spacing w:after="0"/>
              <w:rPr>
                <w:sz w:val="17"/>
                <w:szCs w:val="1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20" w:type="dxa"/>
            <w:vAlign w:val="bottom"/>
            <w:gridSpan w:val="2"/>
            <w:vMerge w:val="restart"/>
          </w:tcPr>
          <w:p>
            <w:pPr>
              <w:jc w:val="center"/>
              <w:ind w:left="653"/>
              <w:spacing w:after="0"/>
              <w:rPr>
                <w:sz w:val="20"/>
                <w:szCs w:val="20"/>
                <w:color w:val="auto"/>
              </w:rPr>
            </w:pPr>
            <w:r>
              <w:rPr>
                <w:rFonts w:ascii="Times New Roman" w:cs="Times New Roman" w:eastAsia="Times New Roman" w:hAnsi="Times New Roman"/>
                <w:sz w:val="16"/>
                <w:szCs w:val="16"/>
                <w:color w:val="0000FF"/>
              </w:rPr>
              <w:t>08/30/2024</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574,690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1280" w:type="dxa"/>
            <w:vAlign w:val="bottom"/>
            <w:gridSpan w:val="3"/>
            <w:vMerge w:val="restart"/>
          </w:tcPr>
          <w:p>
            <w:pPr>
              <w:jc w:val="right"/>
              <w:ind w:right="242"/>
              <w:spacing w:after="0"/>
              <w:rPr>
                <w:sz w:val="20"/>
                <w:szCs w:val="20"/>
                <w:color w:val="auto"/>
              </w:rPr>
            </w:pPr>
            <w:r>
              <w:rPr>
                <w:rFonts w:ascii="Times New Roman" w:cs="Times New Roman" w:eastAsia="Times New Roman" w:hAnsi="Times New Roman"/>
                <w:sz w:val="16"/>
                <w:szCs w:val="16"/>
                <w:color w:val="0000FF"/>
              </w:rPr>
              <w:t>1,019,962</w:t>
            </w:r>
          </w:p>
        </w:tc>
        <w:tc>
          <w:tcPr>
            <w:tcW w:w="220" w:type="dxa"/>
            <w:vAlign w:val="bottom"/>
          </w:tcPr>
          <w:p>
            <w:pPr>
              <w:spacing w:after="0"/>
              <w:rPr>
                <w:sz w:val="17"/>
                <w:szCs w:val="1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Olivet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20" w:type="dxa"/>
            <w:vAlign w:val="bottom"/>
            <w:gridSpan w:val="2"/>
            <w:vMerge w:val="restart"/>
          </w:tcPr>
          <w:p>
            <w:pPr>
              <w:jc w:val="center"/>
              <w:ind w:left="653"/>
              <w:spacing w:after="0"/>
              <w:rPr>
                <w:sz w:val="20"/>
                <w:szCs w:val="20"/>
                <w:color w:val="auto"/>
              </w:rPr>
            </w:pPr>
            <w:r>
              <w:rPr>
                <w:rFonts w:ascii="Times New Roman" w:cs="Times New Roman" w:eastAsia="Times New Roman" w:hAnsi="Times New Roman"/>
                <w:sz w:val="16"/>
                <w:szCs w:val="16"/>
                <w:color w:val="0000FF"/>
              </w:rPr>
              <w:t>08/30/2024</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574,690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1280" w:type="dxa"/>
            <w:vAlign w:val="bottom"/>
            <w:gridSpan w:val="3"/>
            <w:vMerge w:val="restart"/>
          </w:tcPr>
          <w:p>
            <w:pPr>
              <w:jc w:val="right"/>
              <w:ind w:right="242"/>
              <w:spacing w:after="0"/>
              <w:rPr>
                <w:sz w:val="20"/>
                <w:szCs w:val="20"/>
                <w:color w:val="auto"/>
              </w:rPr>
            </w:pPr>
            <w:r>
              <w:rPr>
                <w:rFonts w:ascii="Times New Roman" w:cs="Times New Roman" w:eastAsia="Times New Roman" w:hAnsi="Times New Roman"/>
                <w:sz w:val="16"/>
                <w:szCs w:val="16"/>
                <w:color w:val="0000FF"/>
              </w:rPr>
              <w:t>1,019,962</w:t>
            </w:r>
          </w:p>
        </w:tc>
        <w:tc>
          <w:tcPr>
            <w:tcW w:w="220" w:type="dxa"/>
            <w:vAlign w:val="bottom"/>
          </w:tcPr>
          <w:p>
            <w:pPr>
              <w:spacing w:after="0"/>
              <w:rPr>
                <w:sz w:val="17"/>
                <w:szCs w:val="1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Cannan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2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jc w:val="center"/>
              <w:ind w:right="2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X</w:t>
            </w:r>
            <w:r>
              <w:rPr>
                <w:rFonts w:ascii="Times New Roman" w:cs="Times New Roman" w:eastAsia="Times New Roman" w:hAnsi="Times New Roman"/>
                <w:sz w:val="11"/>
                <w:szCs w:val="11"/>
                <w:color w:val="008000"/>
                <w:w w:val="88"/>
              </w:rPr>
              <w:t>(1)</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6,152,642</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08/30/2024</w:t>
            </w: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1,724,070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6"/>
                <w:szCs w:val="6"/>
                <w:color w:val="auto"/>
              </w:rPr>
            </w:pPr>
          </w:p>
        </w:tc>
        <w:tc>
          <w:tcPr>
            <w:tcW w:w="640" w:type="dxa"/>
            <w:vAlign w:val="bottom"/>
            <w:gridSpan w:val="2"/>
            <w:vMerge w:val="restart"/>
          </w:tcPr>
          <w:p>
            <w:pPr>
              <w:jc w:val="right"/>
              <w:ind w:right="8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1,724.07</w:t>
            </w:r>
          </w:p>
        </w:tc>
        <w:tc>
          <w:tcPr>
            <w:tcW w:w="860" w:type="dxa"/>
            <w:vAlign w:val="bottom"/>
            <w:gridSpan w:val="2"/>
            <w:vMerge w:val="continue"/>
          </w:tcPr>
          <w:p>
            <w:pPr>
              <w:spacing w:after="0"/>
              <w:rPr>
                <w:sz w:val="6"/>
                <w:szCs w:val="6"/>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gridSpan w:val="3"/>
            <w:vMerge w:val="restart"/>
          </w:tcPr>
          <w:p>
            <w:pPr>
              <w:ind w:left="100"/>
              <w:spacing w:after="0" w:line="153" w:lineRule="exact"/>
              <w:rPr>
                <w:sz w:val="20"/>
                <w:szCs w:val="20"/>
                <w:color w:val="auto"/>
              </w:rPr>
            </w:pPr>
            <w:r>
              <w:rPr>
                <w:rFonts w:ascii="Times New Roman" w:cs="Times New Roman" w:eastAsia="Times New Roman" w:hAnsi="Times New Roman"/>
                <w:sz w:val="17"/>
                <w:szCs w:val="17"/>
                <w:color w:val="0000FF"/>
                <w:vertAlign w:val="subscript"/>
              </w:rPr>
              <w:t>LLC</w:t>
            </w:r>
            <w:r>
              <w:rPr>
                <w:rFonts w:ascii="Times New Roman" w:cs="Times New Roman" w:eastAsia="Times New Roman" w:hAnsi="Times New Roman"/>
                <w:sz w:val="9"/>
                <w:szCs w:val="9"/>
                <w:color w:val="008000"/>
              </w:rPr>
              <w:t>(3)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0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30, 2024, CP Acquisitions, LLC ("CP Acquisitions"), an entity affiliated with and controlled by Raymond Chang, the Chairman and Chief Executive Officer of the Issuer and by I-Tseng Jenny Chan, a member of the Issuer's Board of Directors, exercised pre-funded warrants, issued by Agrify Corporation (the "Issuer") and entered into by and between CP Acquisitions and the Issuer, into 5,746,900 shares of common stock of the Issuer. Immediately subsequent to such conversion, 574,690 of the shares of common stock entitled to CP Acquisitions were assigned to each of M Zion Capital, LLC, M Olivet Capital, LLC and M Cannan Capital, LLC.</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 Zion Capital, LLC, M Olivet Capital, LLC and M Cannan Capital, LLC are entities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3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4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I-Tseng Jenny Chan</w:t>
            </w:r>
          </w:p>
        </w:tc>
        <w:tc>
          <w:tcPr>
            <w:tcW w:w="50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09/04/2024</w:t>
            </w:r>
          </w:p>
        </w:tc>
      </w:tr>
      <w:tr>
        <w:trPr>
          <w:trHeight w:val="20"/>
        </w:trPr>
        <w:tc>
          <w:tcPr>
            <w:tcW w:w="1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9461"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2024-09-04T20:07:20Z</dcterms:created>
  <dcterms:modified xsi:type="dcterms:W3CDTF">2024-09-04T20:07:20Z</dcterms:modified>
</cp:coreProperties>
</file>