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333-282387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142875</wp:posOffset>
            </wp:positionV>
            <wp:extent cx="117411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115" cy="9861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040" w:space="720"/>
            <w:col w:w="2480"/>
          </w:cols>
          <w:pgMar w:left="320" w:top="46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313,333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prospectus relates to the proposed resale by the selling stockholder named in this prospectus or its permitted assigns of up to and aggregate of 313,333 shares of our common stock with a par value of $0.001 per share (the “Common Stock”), which may be issued pursuant to a purchase agreement dated as of August 28, 2024 (the “ELOC Purchase Agreement”), by and between Agrify Corporation ( “Agrify” or the “Company”) and Ionic Ventures, LLC (“Ionic”), which provides that, upon the terms and subject to the conditions and limitations set forth therein, we have the right to direct Ionic to purchase up to an aggregate of $15,000,000 of shares of our Common Stock over the 36-month term of the ELOC Purchase Agreement, as more fully described in the section titled “The Ionic Transactions” below.</w:t>
      </w:r>
    </w:p>
    <w:p>
      <w:pPr>
        <w:spacing w:after="0" w:line="187" w:lineRule="exact"/>
        <w:rPr>
          <w:sz w:val="24"/>
          <w:szCs w:val="24"/>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Shares issuable under the ELOC Purchase Agreement, if and when they are sold pursuant to the terms of the ELOC Purchase Agreement, will be sold at a per share price equal to 93% (subject to decrease under certain circumstances) of the lowest VWAPs over a specified measurement period. See the sections of this prospectus entitled “Prospectus Summary-The Offering” and “The Ionic Transactions” for more detail regarding the sale of shares under the ELOC Purchase Agreement. The recent market price used throughout this prospectus may not be indicative of the final public offering price.</w:t>
      </w:r>
    </w:p>
    <w:p>
      <w:pPr>
        <w:spacing w:after="0" w:line="180" w:lineRule="exact"/>
        <w:rPr>
          <w:sz w:val="24"/>
          <w:szCs w:val="24"/>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Ionic is an “underwriter” within the meaning of Section 2(a)(11) of the Securities Act of 1933, as amended (the “Securities Act”). The shares of Common Stock being offered hereby may be sold by the selling stockholder to or through underwriters or dealers, directly to purchasers or through agents designated from time to time. For additional information regarding the methods of sale you should refer to the section of this prospectus entitled “Plan of Distribution.”</w:t>
      </w:r>
    </w:p>
    <w:p>
      <w:pPr>
        <w:spacing w:after="0" w:line="180" w:lineRule="exact"/>
        <w:rPr>
          <w:sz w:val="24"/>
          <w:szCs w:val="24"/>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62"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trading on The Nasdaq Capital Market (“Nasdaq”) under the symbol “AGFY.” The last reported sales price of our Common Stock on Nasdaq on November 4, 2024 was $3.26 per share.</w:t>
      </w:r>
    </w:p>
    <w:p>
      <w:pPr>
        <w:spacing w:after="0" w:line="162" w:lineRule="exact"/>
        <w:rPr>
          <w:sz w:val="24"/>
          <w:szCs w:val="24"/>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 You should read this prospectus, together with additional information described under the heading “Where You Can Find More Information,” carefully before you invest in our Common Stock.</w:t>
      </w:r>
    </w:p>
    <w:p>
      <w:pPr>
        <w:spacing w:after="0" w:line="176" w:lineRule="exact"/>
        <w:rPr>
          <w:sz w:val="24"/>
          <w:szCs w:val="24"/>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references to “the Company,” “Agrify,” “we,” “us” or “our” refer to Agrify Corporation, a Nevada corporation, and its subsidiaries.</w:t>
      </w:r>
    </w:p>
    <w:p>
      <w:pPr>
        <w:spacing w:after="0" w:line="158" w:lineRule="exact"/>
        <w:rPr>
          <w:sz w:val="24"/>
          <w:szCs w:val="24"/>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5 of this prospectus before investing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4"/>
          <w:szCs w:val="24"/>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40" w:type="dxa"/>
            <w:vAlign w:val="bottom"/>
            <w:shd w:val="clear" w:color="auto" w:fill="CCEEFF"/>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534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60" w:type="dxa"/>
            <w:vAlign w:val="bottom"/>
            <w:tcBorders>
              <w:top w:val="single" w:sz="8" w:color="CCEEFF"/>
            </w:tcBorders>
            <w:gridSpan w:val="3"/>
          </w:tcPr>
          <w:p>
            <w:pPr>
              <w:spacing w:after="0"/>
              <w:rPr>
                <w:sz w:val="15"/>
                <w:szCs w:val="15"/>
                <w:color w:val="auto"/>
              </w:rPr>
            </w:pPr>
          </w:p>
        </w:tc>
        <w:tc>
          <w:tcPr>
            <w:tcW w:w="2540" w:type="dxa"/>
            <w:vAlign w:val="bottom"/>
            <w:tcBorders>
              <w:top w:val="single" w:sz="8" w:color="CCEEFF"/>
            </w:tcBorders>
          </w:tcPr>
          <w:p>
            <w:pPr>
              <w:jc w:val="center"/>
              <w:ind w:left="14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IONIC TRANSACTIONS</w:t>
            </w:r>
          </w:p>
        </w:tc>
        <w:tc>
          <w:tcPr>
            <w:tcW w:w="6380" w:type="dxa"/>
            <w:vAlign w:val="bottom"/>
            <w:tcBorders>
              <w:bottom w:val="single" w:sz="8" w:color="CCEEFF"/>
            </w:tcBorders>
            <w:gridSpan w:val="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96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254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55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140" w:type="dxa"/>
            <w:vAlign w:val="bottom"/>
            <w:tcBorders>
              <w:top w:val="single" w:sz="8" w:color="CCEEFF"/>
            </w:tcBorders>
            <w:gridSpan w:val="2"/>
          </w:tcPr>
          <w:p>
            <w:pPr>
              <w:spacing w:after="0"/>
              <w:rPr>
                <w:sz w:val="15"/>
                <w:szCs w:val="15"/>
                <w:color w:val="auto"/>
              </w:rPr>
            </w:pPr>
          </w:p>
        </w:tc>
        <w:tc>
          <w:tcPr>
            <w:tcW w:w="254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54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4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registration statement containing this prospectus, including the exhibits to the registration statement, provides additional information about us and the Common Stock offered under this prospectus. The registration statement, including the exhibits, can be read on our website and the website of the Securities and Exchange Commission. See “Where You Can Find More Information.”</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Information contained in, and that can be accessed through our web site, https://ir.agrify.com, shall not be deemed to be part of this prospectus or incorporated herein by reference and should not be relied upon by any prospective investors for the purposes of determining whether to purchase the Common Stock offered hereunder.</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“us,” “our,” “the Company,” “Agrify” and “our business” refer to Agrify Corporation and “this offering” refers to the offering contemplated in this prospectus.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nor the Selling Stockholders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 We are not, and the Selling Stockholders are not, making an offer of these securities in any jurisdiction where such offer is not permitted.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the selling stockholders identified in this prospectus may offer, from time to time, up to an aggregate of 313,333 shares of our Common Stock, which may be issued pursuant to the ELOC Purchase Agreement. We are not selling any securities under this prospectus and will not receive any proceeds from the sale of shares of securities by the Selling Stockholder.</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This prospectus provides you with general information regarding the shares of Common Stock being offered by the Selling Stockholder. You should read this prospectus as well as the additional information described under the headings “Information Incorporated by Reference” and “Where You Can Find More Information” before making an investment decision.</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shares of Common Stock covered by this prospectus, nor does it constitute an offer to or solicitation of any person in any jurisdiction in which such offer or solicitation may not lawfully be made.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document may only be used where it is legal to sell these shares of Common Stock.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shares of Common Stock. Our business, financial condition, results of operations and prospects may have changed since those dates.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including Agrify®.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urge you to read carefully this prospectus (as supplemented and amended), together with the information incorporated herein by reference as described in the section titled “Incorporation of Certain Information by Reference” before deciding whether to invest in any of the shares of Common Stock being offered. As used in this prospectus, references to “the Company,” “Agrify,” “we,” “us” or “our” refer to Agrify Corporation and its subsidiaries.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References to “Selling Stockholder” refers to the security holder identified herein in the section titled “Selling Stockholder” of this prospectus, who may sell shares of Common Stock from time to time as described in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16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8516620"/>
                    </a:xfrm>
                    <a:prstGeom prst="rect">
                      <a:avLst/>
                    </a:prstGeom>
                    <a:noFill/>
                  </pic:spPr>
                </pic:pic>
              </a:graphicData>
            </a:graphic>
          </wp:anchor>
        </w:drawing>
        <w:t>PROSPECTUS SUMMARY</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consolidated financial statements, notes to the consolidated financial statements and the other information included in this prospectus,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9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June 30, 2024, we amended the terms of a pre-funded warrant (the “CP Warrant”) held by CP Acquisitions, LLC (the “New Lender”), an entity affiliated with and controlled by Raymond Chang, the Chairman and Chief Executive Officer of the Company, and a pre-funded warrant (the “GIC Warrant”) held by GIC Acquisition LLC (“GIC”), an entity that is affiliated with and controlled by Mr. Chang and by I-Tseng Jenny Chan, a member of the Company’s Board of Directors. Among other things, the June 30, 2024 amendments removed certain adjustment provisions (the “Adjustment Provisions”) from the CP Warrant and the GIC Warrant. Pursuant to the Adjustment Provisions, each time the Company consummated any bona fide equity financing with the primary purpose of raising capital, then the number of shares of Common Stock underlying the CP Warrant or the GIC Warrant, as applicable, would be increased to an amount equal to (i) the amount of the convertible note that was originally converted into CP Warrant or the GIC Warrant, as applicable, divided by (ii) the purchase or conversion price in the equity financing transaction, subject to proportional adjustment in the event the CP Warrant or GIC Warrant, as applicable, has been partially exercised.</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August 12, 2024, the shareholders of the Company approved a proposal to amend the CP Warrant and the GIC Warrant to add the Adjustment Provisions at a future date. Pursuant to that approval, on August 28, 2024, the Company entered into an amendment to the CP Warrant (the “CP Warrant Amendment”) and an amendment to the GIC Warrant (the “GIC Warrant Amendment). The CP Warrant Amendment and the GIC Warrant Amendment inserted the Adjustment Provisions into the CP Warrant and the GIC Warrant, respectively. As a result of the CP Warrant Amendment and the GIC Warrant Amendment and the subsequent sale of 189,645 shares of Common Stock to Ionic pursuant to the ELOC Purchase Agreement at an effective purchase price of approximately $0.474 per share of Common Stock, the number of shares of common stock underlying the CP Warrant was adjusted to 5,069,161 and the number of shares of Common Stock underlying the GIC Warrant was adjusted to 1,085,123.</w:t>
      </w:r>
    </w:p>
    <w:p>
      <w:pPr>
        <w:spacing w:after="0" w:line="18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On September 27, 2024, the Company further amended the CP Warrant (the “CP September Warrant Amendment”) and the GIC Warrant (the “GIC September Warrant Amendment”) to (i) remove the Adjustment Provisions from each of the CP Warrant and the GIC Warrant and (ii) include a provision delaying any additional exercise of either the CP Warrant or the GIC Warrant at any time between September 27, 2024 and October 9, 2024.</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3, 2024, we filed an amendment to our Articles of Incorporation with the Secretary of State of the State of Nevada to effect a 1-for-15 reverse stock split of our Common Stock, in which each fifteen shares of Common Stock issued and outstanding was combined and converted into one share of Common Stock to regain compliance with the Minimum Bid Requirement (the “Reverse Stock Split”). The Reverse Stock Split was effective as of 12:01 a.m. Eastern Time on October 8, 2024. The reverse stock split did not affect the number of shares or par value of common stock authorized for issuance under our Articles of Incorporation. All share and per share amounts in this prospectus have been adjusted retroactively to reflect the Reverse Stock Split as if it had occurred at the beginning of the earliest period presented. Our common stock began trading on The Nasdaq Capital Market on a split-adjusted basis when the market opened on October 8,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45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t>THE OFFERING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ELOC Purchase Agreement, upon the terms and subject to the conditions and limitations set forth therein, we have the right, in our sole discretion, to direct Ionic to purchase up to an aggregate of $15,000,000 of shares of our Common Stock over the 36-month term of the ELOC Purchase Agreement. We currently have reserved 313,333 shares of our authorized and unissued shares of Common Stock solely for the purpose of effecting purchases of the shares under the ELOC Purchase Agreement. Under the ELOC Purchase Agreement, we have the right to present Ionic with a purchase notice (each, a “Purchase Notice”) directing Ionic to purchase any amount between $250,000 and $750,000 of our Common Stock per trading day, at a per share price equal to 93% (subject to decrease under certain circumstances) of the lowest VWAP over a specified measurement period beginning after the delivery of the Purchase Notice.</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and immediately subsequent to the execution of the ELOC Purchase Agreement the Company delivered an exemption purchase notice to Ionic, with the Common Stock so purchased to be delivered following the Commencement Date (as defined below), for the purchase by Ionic of 189,645 shares of Common Stock (the “Exemption Purchase Shares”).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Ionic will not purchase or acquire, any shares of Common Stock under ELOC Purchase Agreement which, when aggregated with all other shares of Common Stock then beneficially owned by Ionic and its affiliates (as calculated pursuant to Section 13(d) of the Securities and Exchange Act of 1934, as amended (the “Exchange Act”), and Rule 13d-3 promulgated thereunder) would result in the beneficial ownership by Ionic and its affiliates of more than 4.99% of the then issued and outstanding shares of Common Stock (the “Beneficial Ownership Limitation”).</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Ionic will not be required to buy any shares of Common Stock pursuant to a Purchase Notice on any trading day on which the closing trade price of our Common Stock is at or below $3.75. We will control the timing and amount of sales of our Common Stock to Ionic. Ionic has no right to require any sales by us, and is obligated to make purchases from us as directed solely by us in accordance with the ELOC Purchase Agreement.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ELOC Purchase Agreement may be terminated by us at any time after commencement, at our discretion; however, if we terminate the ELOC Purchase Agreement having sold less than $5,000,000 worth of shares of Common Stock to Ionic (other than as a result of our inability to sell shares of Common Stock to Ionic as a result of the Beneficial Ownership Limitation or our failure to have sufficient shares authorized), we must pay Ionic a termination fee of $300,000, which is payable, at our option, in either cash or in shares of Common Stock, at a price equal to the closing price on the day immediately preceding the date of receipt of the termination notice. Further, the ELOC Purchase Agreement will automatically terminate on the date that we sell, and Ionic purchases, the full $15,000,000 in shares of Common Stock under the agreement or, if the full amount has not been purchased, on the expiration of the 36-month term of the ELOC Purchase Agreement.</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ELOC Purchase Agreement, we also entered a registration rights agreement, dated August 28, 2024, by and between Agrify and Ionic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(the “”Commencement Date”)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16,667 shares of Common Stock within 2 trading days after the failure.</w:t>
      </w:r>
    </w:p>
    <w:p>
      <w:pPr>
        <w:spacing w:after="0" w:line="1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engaged Alexander Capital, L.P. (“Alexander”) as exclusive financial advisor to provide financial services in connection with the ELOC Purchase Agreement and agreed to pay Alexander a cash financial advisory fee equal to 5% of the total gross proceeds we receive pursuant to the ELOC Purchase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OFFERING SUMMARY</w:t>
            </w:r>
          </w:p>
        </w:tc>
      </w:tr>
      <w:tr>
        <w:trPr>
          <w:trHeight w:val="410"/>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being offered by the selling</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Up to 313,333 shares of Common Stock, which may be issued pursuant to the ELOC Purchase</w:t>
            </w:r>
          </w:p>
        </w:tc>
      </w:tr>
      <w:tr>
        <w:trPr>
          <w:trHeight w:val="238"/>
        </w:trPr>
        <w:tc>
          <w:tcPr>
            <w:tcW w:w="40" w:type="dxa"/>
            <w:vAlign w:val="bottom"/>
            <w:tcBorders>
              <w:right w:val="single" w:sz="8" w:color="auto"/>
            </w:tcBorders>
          </w:tcPr>
          <w:p>
            <w:pPr>
              <w:spacing w:after="0"/>
              <w:rPr>
                <w:sz w:val="20"/>
                <w:szCs w:val="20"/>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Agreement and the Registration Rights Agreement.</w:t>
            </w:r>
          </w:p>
        </w:tc>
      </w:tr>
      <w:tr>
        <w:trPr>
          <w:trHeight w:val="432"/>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Market symbol</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“AGFY”</w:t>
            </w:r>
          </w:p>
        </w:tc>
      </w:tr>
      <w:tr>
        <w:trPr>
          <w:trHeight w:val="410"/>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1,645,123 shares, assuming that all shares of Common Stock offered pursuant to this prospectus are</w:t>
            </w:r>
          </w:p>
        </w:tc>
      </w:tr>
      <w:tr>
        <w:trPr>
          <w:trHeight w:val="238"/>
        </w:trPr>
        <w:tc>
          <w:tcPr>
            <w:tcW w:w="40" w:type="dxa"/>
            <w:vAlign w:val="bottom"/>
            <w:tcBorders>
              <w:right w:val="single" w:sz="8" w:color="auto"/>
            </w:tcBorders>
          </w:tcPr>
          <w:p>
            <w:pPr>
              <w:spacing w:after="0"/>
              <w:rPr>
                <w:sz w:val="20"/>
                <w:szCs w:val="20"/>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sold.</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Price per share of common stock</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may from time to time on any business day, by written notice delivered by us to Ionic, direct Ionic</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 purchase between $250,000 and $750,000 of shares of Common Stock on such business day, at a</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 price per share that will be equal to 93% (or 80% if the Common Stock is not then trading on</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of the lowest daily VWAP over a specified measurement period beginning after the delivery</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the Purchase Notice.</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Investing in our shares of Common Stock involves a high degree of risk. You should review carefully</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risks and uncertainties described under the heading “Risk Factors” beginning on page 5 of this</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prospectus.</w:t>
            </w:r>
          </w:p>
        </w:tc>
      </w:tr>
      <w:tr>
        <w:trPr>
          <w:trHeight w:val="414"/>
        </w:trPr>
        <w:tc>
          <w:tcPr>
            <w:tcW w:w="40" w:type="dxa"/>
            <w:vAlign w:val="bottom"/>
            <w:tcBorders>
              <w:right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of the shares of Common Stock offered by this prospectus are being registered for the account of</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selling stockholder. We will not receive any of the proceeds from the sale of these shares of</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We have agreed to pay all costs, expenses and fees relating to the registration of the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shares of Common Stock covered by this prospectus. The selling stockholder will bear all commissions</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 discounts, if any, attributable to the sale of the shares of Common Stock. However, we may receive</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gross proceeds of up to $15,000,000 under the ELOC Purchase Agreement with Ionic. We intend to</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use the net proceeds from any sale of shares to Ionic under the ELOC Purchase Agreement for general</w:t>
            </w:r>
          </w:p>
        </w:tc>
      </w:tr>
      <w:tr>
        <w:trPr>
          <w:trHeight w:val="216"/>
        </w:trPr>
        <w:tc>
          <w:tcPr>
            <w:tcW w:w="4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purposes, which may include repayment of debt, capital expenditures and payment of</w:t>
            </w:r>
          </w:p>
        </w:tc>
      </w:tr>
      <w:tr>
        <w:trPr>
          <w:trHeight w:val="234"/>
        </w:trPr>
        <w:tc>
          <w:tcPr>
            <w:tcW w:w="40" w:type="dxa"/>
            <w:vAlign w:val="bottom"/>
            <w:tcBorders>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77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operational expenses.</w:t>
            </w:r>
          </w:p>
        </w:tc>
      </w:tr>
      <w:tr>
        <w:trPr>
          <w:trHeight w:val="314"/>
        </w:trPr>
        <w:tc>
          <w:tcPr>
            <w:tcW w:w="40" w:type="dxa"/>
            <w:vAlign w:val="bottom"/>
            <w:tcBorders>
              <w:right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720" w:type="dxa"/>
            <w:vAlign w:val="bottom"/>
            <w:tcBorders>
              <w:bottom w:val="single" w:sz="8" w:color="auto"/>
              <w:right w:val="single" w:sz="8" w:color="auto"/>
            </w:tcBorders>
          </w:tcPr>
          <w:p>
            <w:pPr>
              <w:spacing w:after="0"/>
              <w:rPr>
                <w:sz w:val="24"/>
                <w:szCs w:val="24"/>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9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899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78994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the Company.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52"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2" w:right="4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18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continued contributions of our CEO, Raymond Chang;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intellectual property claims;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regain compliance with the listing requirements of Nasdaq could result in a de-listing of our Common Stock;</w:t>
      </w:r>
    </w:p>
    <w:p>
      <w:pPr>
        <w:spacing w:after="0" w:line="9" w:lineRule="exact"/>
        <w:rPr>
          <w:rFonts w:ascii="Times New Roman" w:cs="Times New Roman" w:eastAsia="Times New Roman" w:hAnsi="Times New Roman"/>
          <w:sz w:val="18"/>
          <w:szCs w:val="18"/>
          <w:color w:val="auto"/>
        </w:rPr>
      </w:pPr>
    </w:p>
    <w:p>
      <w:pPr>
        <w:ind w:left="1300" w:right="80" w:hanging="644"/>
        <w:spacing w:after="0" w:line="26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reduced disclosure requirements applicable to emerging growth companies and smaller reporting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of our information technology systems to perform adequately;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data privacy regulations and our ability to comply with them;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demands upon management as a result of being a public company;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our Common Stock to Ionic has caused and will continue to cause substantial dilution to our existing stockholders and the price of our Common Stock to decline.</w:t>
      </w:r>
    </w:p>
    <w:p>
      <w:pPr>
        <w:spacing w:after="0" w:line="15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are registering for resale up to an aggregate of 313,333 shares of Common Stock that may be issued to Ionic from time to time under the ELOC Purchase Agreement.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shares issued to Ionic under the ELOC Purchase Agreement will be issued and sold over a period of as long as the approximately 36-month term under the ELOC Purchase Agreement. The number of shares ultimately sold to Ionic under this prospectus is dependent upon the number of shares we elect to sell to Ionic under the ELOC Purchase Agreement. Depending on a variety of factors, including market liquidity of our Common Stock, the issuance and sale of shares under the ELOC Purchase Agreement may cause the trading price of our Common Stock to decline.</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ultimately issue and sell to Ionic all, some or none of the 313,333 shares of Common Stock available under the ELOC Purchase Agreement that we are registering. Ionic may sell all, some or none of our shares that it holds or comes to hold pursuant to sales under the ELOC Purchase Agreement. The issuance and sale of shares by us to Ionic pursuant to the ELOC Purchase Agreement will result in dilution to the interests of other holders of our Common Stock. The sale of a substantial number of shares of our Common Stock by Ionic in this offering, or anticipation of such sales, could cause the trading price of our Common Stock to decline or make it more difficult for us to sell equity or equity-related securities in the future at a time and at a price that we might otherwise desire.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access to the full amount available under the ELOC Purchase Agreement with Ionic.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ELOC Purchase Agreement, we will have the right to direct Ionic to purchase shares of our Common Stock from time to time by presenting Ionic with a Purchase Notice directing Ionic to purchase any amount between $250,000 and $750,000 per trading day, at a per share price equal to 93% (subject to decrease under certain circumstances) of the lowest daily VWAP over a specified measurement period beginning after the delivery of the Purchase Notice.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the ELOC Purchase Agreement provides that we may sell up to $15,000,000 of our Common Stock to Ionic, depending on the market prices of our Common Stock, we may not be able to nor desire to sell all of the shares contemplated by the ELOC Purchase Agreement. In addition, if the number of shares registered hereby is insufficient to cover all of the shares we elect to sell to Ionic under the ELOC Purchase Agreement, we will be required to file one or more additional registration statements to register such additional shares.</w:t>
      </w:r>
    </w:p>
    <w:p>
      <w:pPr>
        <w:spacing w:after="0" w:line="18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The extent to which we rely on Ionic as a source of funding will depend on a number of factors, including the prevailing market price of our Common Stock and the extent to which we are able to secure working capital from other sources. Even if we sell a significant amount of shares under the ELOC Purchase Agreement to Ionic, we may still need additional capital to fully implement our business, operating and development plans. Should</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Ionic will pay less than the then-prevailing market price for our Common Stock, which could cause the price of our Common Stock to decline.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of Common Stock sold to Ionic under the ELOC Purchase Agreement is derived from the market price of our Common Stock. The shares to be sold to Ionic pursuant to the ELOC Purchase Agreement will be purchased at a discounted price as described above. As a result of this pricing structure, Ionic may sell the shares it receives immediately after receipt of the shares, which could cause the price of our Common Stock to decrease. These sales may have a further impact on the price of our Common Stock.</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ELOC Purchase Agreement to the selling stockholder, or the actual gross proceeds resulting from those sales.</w:t>
      </w:r>
    </w:p>
    <w:p>
      <w:pPr>
        <w:spacing w:after="0" w:line="159"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ELOC Purchase Agreement and compliance with applicable law, we have the discretion to deliver notices to the selling stockholder at any time throughout the term of the ELOC Purchase Agreement. The actual number of shares of Common Stock that are sold to the selling stockholder may depend upon a number of factors, including the market price of the Common Stock during the sales period. Because the price per share of each share sold to the selling stockholder will fluctuate during the sales period, it is not currently possible to predict the number of shares that will be sold or the actual gross proceeds to be raised in connection with those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buy shares of our Common Stock at different times will likely pay different prices.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Shareholders who purchase shares of Common Stock in this offering at different times will likely pay different prices, and so may experience different levels of dilution and different outcomes in their investment results. Similarly, Ionic may sell such shares at different times and at different prices. Shareholders may experience a decline in the value of the shares they purchase from the selling stockholder in this offering as a result of sales made by us in future transactions to Ionic at prices lower than the prices they paid.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5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$265.8 million as of December 31, 2023. These factors, among others, raise substantial doubt about our ability to continue as a going concern. Our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We have a relatively short operating history, which makes it difficult to evaluate our business and future prospects. We have been in existence since June 2016 and much of our revenue growth occurred during 2021 and 2022, with a decrease of revenues noted in 2023. We have encountered, and will continue to encounter, risks and difficulties frequently experienced by growing companies in rapidly changing industries, including those related to:</w:t>
      </w:r>
    </w:p>
    <w:p>
      <w:pPr>
        <w:spacing w:after="0" w:line="15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of loss associated with our TTK Solution Offerings.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over multiple years, before we start to receive repayment on the upfront construction advances and on our recurring monthly SaaS fees and production fees.</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2022, a significant amount of working capital was invested in funding our TTK Solution’s construction and equipment commitments. In 2023, a limited amount was invested in funding the remaining TTK Solution construction and equipment commitments, but we do not intend to enter into any new TTK Solutions in the foreseeable future.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1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an unproven business model;</w:t>
      </w:r>
    </w:p>
    <w:p>
      <w:pPr>
        <w:spacing w:after="0" w:line="252"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 and operational performance;</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balance for the TTK allowance for doubtful accounts is at $14.7 million for Bud and Mary and $4.5 million for Hannah - as the facility is approximately 75% built and won’t be operational until the remaining 25% of the construction is completed.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June 30, 2024, we had approximately $0.1 million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shareholders losing all of their investment in our company.</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1300" w:right="3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divestitures or other transactions could adversely affect our costs, revenues, profitability and financial position.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85" w:lineRule="exact"/>
        <w:rPr>
          <w:sz w:val="20"/>
          <w:szCs w:val="20"/>
          <w:color w:val="auto"/>
        </w:rPr>
      </w:pPr>
    </w:p>
    <w:p>
      <w:pPr>
        <w:ind w:right="8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3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High Trail Special Situations, LLC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2,294 shares of Common Stock.</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$300,000 in repayments for other fees under the SPA Note and exchanged the remaining balance of the SPA Note for the Exchange Note (as defined below) with an aggregate original principal amount of $35.0 million and a new warrant to purchase 4,743 shares of Common Stock (the “Note Exchange Warrant”). Additionally, we exchanged the SPA Warrant for a new warrant for the same number of underlying shares but with a reduced exercise price. The Exchange Note will mature on the three-year anniversary of its issuance.</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and I-Tseng Jenny Chan, who subsequently joined our Board of Directors (the “Board”), acquired the Notes from the Former Lender.</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$21.90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$21.90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178,109 shares of Common Stock, and assigned its rights to receive such shares to entities affiliated with Mr. Chang and Ms. Chan. Following the conversion, there was $15.0 million in principal amount outstanding under the Restated Note.</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2023, our top four customers accounted for 17.4%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with respect to staffing and shipping of products, we could experience disruptions in our supply chain, which could have a material adverse effect on our financial condition, results of operations, and cash flows.</w:t>
      </w:r>
    </w:p>
    <w:p>
      <w:pPr>
        <w:spacing w:after="0" w:line="16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which in turn may have an adverse effect on our ability to provide products to our customers.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U.S. federal law.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of federal enforcement and the need to renew temporary safeguards.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legislative development beneficial to our operations is not guaranteed.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could face strong opposition from other industries.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legality of marijuana could be reversed in one or more states.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legislation and evolving interpretations of law.</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insurance risks.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VFUs,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 w:name="page20"/>
    <w:bookmarkEnd w:id="19"/>
    <w:p>
      <w:pPr>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shareholders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shareholders that other parties will not challenge any patents granted to us, or that courts or regulatory agencies will hold our patents to be valid, enforceable, and/or infringed. We cannot guarantee shareholders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8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252"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 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20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188"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202"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188"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252"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we had net operating loss (“NOL”) carryforwards for federal and state income tax purposes which may be available to offset taxable income in future years. Approximately $675,000 of federal NOLs will expire if not utilized by 2036 and approximately $143.5 million of federal NOLs carryforward indefinitely but are only available to offset 80% of taxable income per year. The $82.3 million state NOLs will begin to expire by 2039.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2023,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51% of our outstanding shares of Common Stock. In particular, Raymond Chang, our Chairman of the Board and Chief Executive Officer, beneficially owns approximately 49.99% of our outstanding shares of Common Stock, and I-Tseng Jenny Chan, a member of our Board, beneficially owns approximately 49.99% of our outstanding shares of Common Stock, primarily as a result of the Convertible Note that is currently convertible into 618,877 shares of Common Stock that is held by an entity owned and controlled by Mr. Chang and Ms. Chan, which is subject to a 49.99% beneficial ownership limitation. As a result, these stockholders exercise a significant level of control over all matters requiring stockholder approval, including the election of directors, amendment of our articles of incorporation and approval of significant corporate transactions. Moreover, our bylaws permit stockholders to act by written. This control could have the effect of delaying or preventing a change of control of our company or changes in management and will make the approval of certain transactions difficult or impossible without the support of these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Nasdaq Listing Rule 5550(a)(2) (the “Minimum Bid Requirement”). The Notice had no immediate effect on the listing of our Common Stock on Nasdaq.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4, 2024, the Staff notified us in writing that while we had not regained compliance with the Minimum Bid Requirement, we were eligible for an additional 180-day compliance period, or until March 3, 2025, to regain compliance with the Minimum Bid Requirement. Nasdaq’s determination was based on our having met the continued listing requirement for market value of publicly held shares and all other applicable requirements for initial listing on Nasdaq, with the exception of the Minimum Bid Requirement, and on our written notice to Nasdaq of its intention to cure the deficiency during the second compliance period by effecting a reverse stock split, if necessary.</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September 3, 2024, we received a written consent signed by a holders of a majority of our outstanding Common Stock authorizing our Board to, without further stockholder approval, effect a reverse stock split of our issued and outstanding Common Stock within a range of between 1-for-2 and 1-for-20 by filing an amendment to the Company’s Articles of Incorporation, as amended, with the Secretary of State of the State of Nevada, with the final determination of whether to proceed, the effective time, and the exact ratio of the reverse stock split to be determined by the Board. We cannot provide any assurances, however, that we will be able to regain compliance.</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2024, the Company entered into the CP September Warrant Amendment and the GIC September Warrant Amendment to, among other things, include a provision delaying any additional exercise of either the CP Warrant or the GIC Warrant at any time between September 27, 2024 and October 9, 2024.</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October 3, 2024, we filed an amendment to our Articles of Incorporation with the Secretary of State of the State of Nevada to effect a 1-for-15 reverse stock split of our Common Stock, in which each fifteen shares of Common Stock issued and outstanding was combined and converted into one share of Common Stock to regain compliance with the Minimum Bid Requirement. The Reverse Stock Split was effective as of 12:01 a.m. Eastern Time on October 8, 2024.</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Shareholders could be subject to increased dilution upon the exercise of our warrants. A total of 6,308,434 warrants were issued and outstanding as of October 9, 2024.</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Additionally, 160,591 shares of Common Stock were reserved for issuance of currently outstanding equity-based awards to employees, directors and certain other individuals under our 2022 Omnibus Equity Incentive Plan, as amended (the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Shareholders may experience dilution in the value of their investment upon the exercise of the warrants and any equity awards that may be granted or issued pursuant to the Plan.</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52"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shareholders may need to rely on sales of their Common Stock after price appreciation,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0" w:firstLine="648"/>
        <w:spacing w:after="0" w:line="270" w:lineRule="auto"/>
        <w:rPr>
          <w:sz w:val="20"/>
          <w:szCs w:val="20"/>
          <w:color w:val="auto"/>
        </w:rPr>
      </w:pPr>
      <w:r>
        <w:rPr>
          <w:rFonts w:ascii="Times New Roman" w:cs="Times New Roman" w:eastAsia="Times New Roman" w:hAnsi="Times New Roman"/>
          <w:sz w:val="17"/>
          <w:szCs w:val="17"/>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Substantial increases in the prices for our raw materials increase our operating costs and could reduce our margins if we cannot recoup the increased costs through increased prices for our products and services.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and has provided the obstacle of our ability to attract and retain a sufficient workforce on a cost-effective basis. We may not be able to attract and retain a sufficient workforce on a cost-effective basis in the future. In the event of increased costs of attracting and retaining a workforce, our business and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83"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or as our executive officers.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As described elsewhere in this Report, we have identified the following material weaknesses:</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December 31, 2023.</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shareholders. There is a risk that in the event of such a dissolution, there will be insufficient funds to repay amounts owed to holders of any of our indebtedness and insufficient assets to distribute to our other shareholders, in which case shareholders could lose their entire investment.</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IONIC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ELOC Purchase Agreement, upon the terms and subject to the conditions and limitations set forth therein, we have the right to direct Ionic to purchase up to an aggregate of $15,000,000 of shares of our Common Stock over the 36-month term of the ELOC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Shares under the ELOC Purchase Agreement</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present Ionic with additional Purchase Notices, each one directing Ionic to purchase any amount between $250,000 and $750,000 of our Common Stock per trading day, at a per share price equal to 93% (subject to decrease under certain circumstances) of the lowest daily VWAPs over a specified measurement period (as described below).</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ELOC Purchase Agreement, no later than one trading day after Ionic receives a valid Purchase Notice (the “Regular Purchase Notice Date”), we are required to cause our transfer agent to deliver to Ionic such number of shares of Common Stock (the “Pre-Settlement Regular Purchase Shares”) equal to the product of (A) the quotient of (y) the purchase amount divided by (z) 90% of the closing price of our Common Stock on the date immediately preceding the Regular Purchase Notice Date (the “Pre-Settlement Regular Purchase Price”) and as to which Ionic shall be the owner thereof as of such time of delivery of such Pre-Settlement Regular Purchase Shares.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No later than two trading days after the Regular Purchase Measurement Period, as defined below (the “Regular Purchase Settlement Date”), we are required to cause our transfer agent to deliver to Ionic such number of shares of Common Stock (the “Settlement Regular Purchase Shares”) equal to the purchase amount divided by the Regular Purchase Price, which is equal to 93% (the “RPP Percentage”) of the arithmetic average of the lowest daily VWAPs during the Regular Purchase Measurement Period; provided, however, that the number of shares of Common Stock to be delivered on the Regular Purchase Settlement Date shall be reduced by the number of Pre-Settlement Regular Purchase Shares delivered. If the number of Pre-Settlement Regular Purchase Shares delivered to Ionic exceeds the number of Settlement Regular Purchase Shares, then Ionic is required to return the excess shares. The “Regular Purchase Measurement Period” is the period starting on the trading day immediately following the receipt of Pre-Settlement Regular Purchase Shares and ending on the trading day immediately following the date upon which the aggregate dollar volume of our Common Stock traded on Nasdaq equals seven times the purchase amount, in the aggregate, subject to a ten trading day minimum.</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we can issue to Ionic from time to time under the ELOC Purchase Agreement shall be subject to the Beneficial Ownership Limitation.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Ionic will not be required to buy any shares of our Common Stock pursuant to a Purchase Notice on any trading day on which the closing trade price of our Common Stock is at or below $3.75. We will control the timing and amount of sales of our Common Stock to Ionic. Ionic has no right to require any sales by us, and is obligated to make purchases from us as directed solely by us in accordance with the ELOC Purchase Agreement.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Actual sales of Purchase Shares under the ELOC Purchase Agreement to Ionic will depend on a variety of factors to be determined by us from time to time, including, among others, satisfaction of certain conditions including, without limitation, the effectiveness of this and other resale registration statements, market conditions, the trading price of our Common Stock and determinations by us as to the appropriate sources of funding for us and our operations. We expect to use the net proceeds from any sale of shares to Ionic under the ELOC Purchase Agreement for general corporate purposes, which may include repayment of debt, capital expenditures and payment of operational expenses as described under “Use of Proceeds.”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The purchase price of the Purchase Shares purchased by Ionic under the ELOC Purchase Agreement will be derived from the market prices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We will control the timing and amount of future sales, if any, of Purchase Shares to Ionic. Ionic has no right to require us to sell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Shares to Ionic, but Ionic is obligated to make purchases as we direct, subject to certain conditions.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313,333 shares are being registered on the registration statement of which this prospectus forms a part, all of which will be issuable under the ELOC Purchase Agreement. Shares issuable under the ELOC Purchase Agreement, if and when they are sold pursuant to the terms of the ELOC Purchase Agreement, will be sold at a per share price equal to 93% (subject to decrease under certain circumstances) of the average of the lowest VWAPs over a specified measurement period as described above.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ELOC Purchase Agreement and the Registration Rights Agreement each contain representations, warranties, covenants, closing conditions and indemnification and termination provisions by, between and for the benefit of the parties which are customary of transactions of this nature. Additionally, sales to Ionic under the ELOC Purchase Agreement may be limited, to the extent applicable, by Nasdaq and SEC rules.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Ionic may not assign or transfer its rights and obligations under the ELOC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Termination Rights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ELOC Purchase Agreement may be terminated by us at any time after commencement, at our discretion; provided, however, that if we sold less than $5,000,000 to Ionic (other than as a result of our inability to sell shares to Ionic as a result of the Beneficial Ownership Limitation or our failure to have sufficient shares authorized), we will pay to Ionic a termination fee of $300,000, which is payable, at our option, in cash or in shares of Common Stock, at a price equal to the closing price on the day immediately preceding the date of receipt of the termination notice. Further, the ELOC Purchase Agreement will automatically terminate on the date that we sell, and Ionic purchases, the full $15,000,000 amount under the agreement or, if the full amount has not been purchased, on the expiration of the 36-month term of the ELOC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ELOC Purchase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ELOC Purchase Agreement include the following:</w:t>
      </w:r>
    </w:p>
    <w:p>
      <w:pPr>
        <w:spacing w:after="0" w:line="225" w:lineRule="exact"/>
        <w:rPr>
          <w:sz w:val="20"/>
          <w:szCs w:val="20"/>
          <w:color w:val="auto"/>
        </w:rPr>
      </w:pPr>
    </w:p>
    <w:p>
      <w:pPr>
        <w:ind w:left="980" w:hanging="324"/>
        <w:spacing w:after="0" w:line="253"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 registration statement registering the resale of the shares of Common Stock issued to Ionic pursuant to the ELOC Purchase Agreement lapses for any reason (including, without limitation, the issuance of a stop order or similar order) or any such registration statement (or the prospectus forming a part thereof) is unavailable to Ionic for resale of any or all of the shares of Common Stock issuable under the ELOC Purchase Agreement, and such lapse or unavailability continues for a period of ten (10) consecutive business days or for more than an aggregate of thirty (30) business days in any 365-day period, but excluding a lapse or unavailability where (i) the Company terminates a registration statement after Ionic has confirmed in writing that all of the Common Stock representing shares of Common Stock covered thereby have been resold or (ii) the Company supersedes one registration statement with another registration statement, including (without limitation) by terminating a prior registration statement when it is effectively replaced with a new registration statement covering shares of Common Stock offered by this prospectus (provided in the case of this clause (ii) that all of the shares of Common Stock offered by this prospectus covered by the superseded (or terminated) registration statement that have not theretofore been resold are included in the superseding (or new) registration statement);</w:t>
      </w:r>
    </w:p>
    <w:p>
      <w:pPr>
        <w:spacing w:after="0" w:line="218"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our Common Stock from being listed or trading on a Nasdaq for a period of one (1) business day, provided that we may not direct Ionic to purchase any of our Common Stock during any such suspension;</w:t>
      </w:r>
    </w:p>
    <w:p>
      <w:pPr>
        <w:spacing w:after="0" w:line="188"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us or the transfer agent to deliver (i) the Pre-Settlement Regular Purchase Shares to Ionic within one (1) trading day after the Regular Purchase Notice Date or (ii) the Settlement Regular Purchase Shares to Ionic within one (1) trading day after the relevant measurement period to which Ionic is entitled under the ELOC Purchase Agreement in connection with Settlement Regular Purchase Shares or Exemption Purchase Shares;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representation or warranty in any material respect, or breach any covenant or other term or condition under the ELOC Purchase Agreement or Registration Rights Agreement, and except in the case of a breach of a covenant which is reasonably curable, only if such breach continues for a period of at least five (5) consecutive business days;</w:t>
      </w:r>
    </w:p>
    <w:p>
      <w:pPr>
        <w:spacing w:after="0" w:line="20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commences a proceeding against us pursuant to or within the meaning of any bankruptcy law for so long as such proceeding is not dismissed;</w:t>
      </w:r>
    </w:p>
    <w:p>
      <w:pPr>
        <w:spacing w:after="0" w:line="188"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(v) we are generally unable to pay its debts as the same become due;</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us in an involuntary case, (ii) appoints a custodian of the Company or for all or substantially all of its property, or (iii) orders the liquidation of the Company or any subsidiary for so long as such order, decree or similar action remains in effect; or</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eligible to transfer our Common Stock as DWAC shares.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occurs between the Regular Purchase Notice Date and any time through the Regular Purchase Settlement Date, then (i) the RPP Percentage shall be automatically adjusted to 80% for so long as such event of default remains uncured and (ii) Ionic shall be entitled to all the rights under the ELOC Purchase Agreement as if such event of default occurred immediately prior to such Regular Purchase Notice Date.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to any other rights and remedies under applicable law and the ELOC Purchase Agreement, so long as an event of default has occurred and is continuing, or if any event which, after notice and/or lapse of time, would become an event of default, has occurred and is continuing, the Company shall not deliver to Ionic any Purchase Notice. There is no guarantee that we will not default on our obligations under the ELOC Purchase Agreement or under the Registration Rights Agreement, as defined below, which would require us to pay damages as partial relief to Ionic in either shares or cash or negatively impact our ability to utilize the ELOC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entering into the ELOC Purchase Agreement, we also entered into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 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16,667 shares of Common Stock within 2 trading days after the failure, which shares are not being registered pursuant to the registration statement of which this prospectus is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Short-Selling or Hedging by Ionic</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Ionic has agreed that neither it nor any of its agents, representatives and affiliates will engage in any direct or indirect short-selling or hedging of our Common Stock during any time before termination of the ELOC Purchase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Dilutive Effect on Our Stockholders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All 313,333 shares of our Common Stock registered in this offering which may be issued or sold by us to Ionic under the ELOC Purchase Agreement and Registration Rights Agreement are expected to be freely tradable. It is anticipated that the Common Stock registered in this offering will be sold by us to Ionic from time to time until the date that is approximately 36 months following the satisfaction of the commencement conditions under the ELOC Purchase Agreement. The sale by Ionic of a significant amount of our Common Stock registered in this offering at any given time could cause the market price of our Common Stock to decline and to be highly volatile. Sales of our Common Stock to Ionic, if any, will depend upon market conditions and other factors to be determined by us. We may ultimately issue or sell to Ionic all, some or none of the shares of Common Stock available under the ELOC Purchase Agreement. The Purchase Shares that we may sell under the ELOC Purchase Agreement are sold with a forward pricing mechanism and as of the date of this registration statement, the conversion price and the purchase price have yet to be calculated.</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our Common Stock that our existing stockholders own will not decrease, the shares owned by our existing stockholders will represent a smaller percentage of our total outstanding shares after any such issuance to Ionic. If and when we do sell our Common Stock to Ionic under the ELOC Purchase Agreement, after Ionic has acquired those shares, Ionic may resell all, some or none of such shares at any time or from time to time in its discretion. Therefore, issuances to Ionic by us under the ELOC Purchase Agreement may result in substantial dilution to the interests of other holders of our Common Stock. In addition, if we sell a substantial number of our Common Stock to Ionic under the ELOC Purchase Agreement, or if investors expect that we will do so, the actual sales of our Common Stock or the mere existence of our arrangement with Ionic may make it more difficult for us to sell equity or equity-related securities in the future at a time and at a price that we might otherwise wish to effect such sales. However, we have the right to control the timing and amount of any additional sales of Purchase Shares to Ionic and the ELOC Purchase Agreement may be terminated by us at any time at our discretion (see subsection entitled “Our Termination Rights” above).</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Ionic from our issuance and sale of 313,333 shares to Ionic under the ELOC Purchase Agreement registered hereunder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 Outstanding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Proceeds from the</w:t>
            </w:r>
          </w:p>
        </w:tc>
      </w:tr>
      <w:tr>
        <w:trPr>
          <w:trHeight w:val="216"/>
        </w:trPr>
        <w:tc>
          <w:tcPr>
            <w:tcW w:w="2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Assumed Purchase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After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Sale of Common Stock to</w:t>
            </w:r>
          </w:p>
        </w:tc>
      </w:tr>
      <w:tr>
        <w:trPr>
          <w:trHeight w:val="216"/>
        </w:trPr>
        <w:tc>
          <w:tcPr>
            <w:tcW w:w="2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Price Per Purchase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to be Issued if Full</w:t>
            </w:r>
          </w:p>
        </w:tc>
        <w:tc>
          <w:tcPr>
            <w:tcW w:w="2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Giving Effect to the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Ionic Under the ELOC</w:t>
            </w:r>
          </w:p>
        </w:tc>
      </w:tr>
      <w:tr>
        <w:trPr>
          <w:trHeight w:val="245"/>
        </w:trPr>
        <w:tc>
          <w:tcPr>
            <w:tcW w:w="22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Share (3)</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 (1)</w:t>
            </w:r>
          </w:p>
        </w:tc>
        <w:tc>
          <w:tcPr>
            <w:tcW w:w="220" w:type="dxa"/>
            <w:vAlign w:val="bottom"/>
            <w:tcBorders>
              <w:bottom w:val="single" w:sz="8" w:color="CCEEFF"/>
            </w:tcBorders>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to Ionic (2)</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Purchase Agreement</w:t>
            </w:r>
          </w:p>
        </w:tc>
        <w:tc>
          <w:tcPr>
            <w:tcW w:w="100" w:type="dxa"/>
            <w:vAlign w:val="bottom"/>
            <w:tcBorders>
              <w:bottom w:val="single" w:sz="8" w:color="CCEEFF"/>
            </w:tcBorders>
          </w:tcPr>
          <w:p>
            <w:pPr>
              <w:spacing w:after="0"/>
              <w:rPr>
                <w:sz w:val="21"/>
                <w:szCs w:val="21"/>
                <w:color w:val="auto"/>
              </w:rPr>
            </w:pP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5"/>
              </w:rPr>
              <w:t>313,333</w:t>
            </w: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626,666</w:t>
            </w: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783,333</w:t>
            </w: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939,999</w:t>
            </w:r>
          </w:p>
        </w:tc>
      </w:tr>
      <w:tr>
        <w:trPr>
          <w:trHeight w:val="216"/>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1,096,666</w:t>
            </w:r>
          </w:p>
        </w:tc>
      </w:tr>
      <w:tr>
        <w:trPr>
          <w:trHeight w:val="216"/>
        </w:trPr>
        <w:tc>
          <w:tcPr>
            <w:tcW w:w="22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7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1,253,332</w:t>
            </w:r>
          </w:p>
        </w:tc>
      </w:tr>
      <w:tr>
        <w:trPr>
          <w:trHeight w:val="234"/>
        </w:trPr>
        <w:tc>
          <w:tcPr>
            <w:tcW w:w="22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7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313,333</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1,409,999</w:t>
            </w:r>
          </w:p>
        </w:tc>
      </w:tr>
    </w:tbl>
    <w:p>
      <w:pPr>
        <w:spacing w:after="0" w:line="179" w:lineRule="exact"/>
        <w:rPr>
          <w:sz w:val="20"/>
          <w:szCs w:val="20"/>
          <w:color w:val="auto"/>
        </w:rPr>
      </w:pPr>
    </w:p>
    <w:p>
      <w:pPr>
        <w:ind w:left="340" w:right="8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registering up to 313,333 shares of our Common Stock which would be issuable to Ionic pursuant to the ELOC Purchase Agreement, all of which would be issuable as Purchase Shares. The above table assumes that sales are made to Ionic without regard for the 4.99% Beneficial Ownership Limitation.</w:t>
      </w:r>
    </w:p>
    <w:p>
      <w:pPr>
        <w:spacing w:after="0" w:line="175"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1,331,790 shares outstanding as of October 9, 2024 , adjusted to include the issuance of the number of our Common Stock set forth in the adjacent column which we would have issued to Ionic under the ELOC Purchase Agreement based on the applicable assumed purchase price per Purchase Share.</w:t>
      </w:r>
    </w:p>
    <w:p>
      <w:pPr>
        <w:spacing w:after="0" w:line="17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any doubt, this price would reflect the purchase price after calculation (i.e., after discounts to the market price of our shares) in accordance with the terms of the ELOC Purchase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of the shares of Common Stock offered by this prospectus are being registered for the account of the selling stockholder. We will not receive any of the proceeds from the sale of these shares of Common Stock. We have agreed to pay all costs, expenses and fees relating to the registration of the shares of Common Stock covered by this prospectus. The selling stockholder will bear all commissions and discounts, if any, attributable to the sale of the shares of Common Stock. The prices at which the shares of Common Stock covered by this prospectus may actually be sold will be determined by the prevailing public market price for shares of our Common Stock, by negotiations between the selling stockholder and buyers of our Common Stock in private transactions or as otherwise described in “Plan of Distribution.”</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However, we may receive gross proceeds of as much as up to $15,000,000 from the sale of shares under the ELOC Purchase Agreement with Ionic. We intend to use the net proceeds from any sale of shares to Ionic under the ELOC Purchase Agreement for general corporate purposes, which may include repayment of debt, capital expenditures and payment of operational expenses. This anticipated use of net proceeds from the sale of our Common Stock to Ionic under the ELOC Purchase Agreement represents our intentions based upon our current plans and business conditions.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as of October 9,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October 9, 2024, there were 58 record holders and 1,331,790 outstanding shares of our Company’s Common Stock.</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October 9, 2024 through the exercise of any warrant, stock option or other right. The inclusion in this prospectus of such shares, however, does not constitute an admission that the named stockholder is a direct or indirect beneficial owner of such shares. Common stock subject to options or warrants currently exercisable, or exercisable within 60 days after October 9, 2024, are deemed outstanding for the purpose of computing the percentage ownership of the person holding those options or warrants but are not deemed outstanding for computing the percentage ownership of any other person.</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29"/>
                <w:szCs w:val="29"/>
                <w:b w:val="1"/>
                <w:bCs w:val="1"/>
                <w:color w:val="auto"/>
                <w:vertAlign w:val="superscript"/>
              </w:rPr>
              <w:t>(2)</w:t>
            </w:r>
          </w:p>
        </w:tc>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68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Raymond Chang </w:t>
            </w:r>
            <w:r>
              <w:rPr>
                <w:rFonts w:ascii="Times New Roman" w:cs="Times New Roman" w:eastAsia="Times New Roman" w:hAnsi="Times New Roman"/>
                <w:sz w:val="29"/>
                <w:szCs w:val="29"/>
                <w:color w:val="auto"/>
                <w:vertAlign w:val="superscript"/>
              </w:rPr>
              <w:t>(3)</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6,832,460</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Kessler</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13,683</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Towns</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13,608</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68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I-Tseng Jenny Chan </w:t>
            </w:r>
            <w:r>
              <w:rPr>
                <w:rFonts w:ascii="Times New Roman" w:cs="Times New Roman" w:eastAsia="Times New Roman" w:hAnsi="Times New Roman"/>
                <w:sz w:val="29"/>
                <w:szCs w:val="29"/>
                <w:color w:val="auto"/>
                <w:vertAlign w:val="superscript"/>
              </w:rPr>
              <w:t>(4)</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5,522,024</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Max Holtzman</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4,617</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Timothy Mahoney</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4,107</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Krishnan Varier</w:t>
            </w:r>
          </w:p>
        </w:tc>
        <w:tc>
          <w:tcPr>
            <w:tcW w:w="3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3,902</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(7 persons) </w:t>
            </w:r>
            <w:r>
              <w:rPr>
                <w:rFonts w:ascii="Times New Roman" w:cs="Times New Roman" w:eastAsia="Times New Roman" w:hAnsi="Times New Roman"/>
                <w:sz w:val="29"/>
                <w:szCs w:val="29"/>
                <w:color w:val="auto"/>
                <w:vertAlign w:val="superscript"/>
              </w:rPr>
              <w:t>(5)</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7,165,423</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51.95%</w:t>
            </w:r>
          </w:p>
        </w:tc>
      </w:tr>
    </w:tbl>
    <w:p>
      <w:pPr>
        <w:spacing w:after="0" w:line="60" w:lineRule="exact"/>
        <w:rPr>
          <w:sz w:val="20"/>
          <w:szCs w:val="20"/>
          <w:color w:val="auto"/>
        </w:rPr>
      </w:pPr>
    </w:p>
    <w:p>
      <w:pPr>
        <w:ind w:left="880" w:hanging="332"/>
        <w:spacing w:after="0"/>
        <w:tabs>
          <w:tab w:leader="none" w:pos="8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340" w:right="280" w:hanging="332"/>
        <w:spacing w:after="0" w:line="272"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shown with respect to any identified individual or group are calculated by dividing: (i) the sum of (a) the number of shares of Common Stock actually owned as of October 9, 2024 plus (b) the number of shares of Common Stock that may be acquired through the exercise of stock options, warrants or any other rights, the conversion of convertible securities, or the vesting of restricted stock units within 60 days thereof by</w:t>
      </w:r>
    </w:p>
    <w:p>
      <w:pPr>
        <w:spacing w:after="0" w:line="1" w:lineRule="exact"/>
        <w:rPr>
          <w:rFonts w:ascii="Times New Roman" w:cs="Times New Roman" w:eastAsia="Times New Roman" w:hAnsi="Times New Roman"/>
          <w:sz w:val="17"/>
          <w:szCs w:val="17"/>
          <w:color w:val="auto"/>
        </w:rPr>
      </w:pPr>
    </w:p>
    <w:p>
      <w:pPr>
        <w:ind w:left="340" w:right="20" w:hanging="8"/>
        <w:spacing w:after="0" w:line="260" w:lineRule="auto"/>
        <w:tabs>
          <w:tab w:leader="none" w:pos="6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1,331,790 shares of Common Stock outstanding as of October 9, 2024, plus the amount referenced in clause (i)(b) for such individual or group.</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directors and executive officers listed above is c/o Agrify Corporation, 2468 Industrial Row Dr., Troy, MI 48084.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332" w:hanging="332"/>
        <w:spacing w:after="0" w:line="251"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 shares of Common Stock held individually, (ii) up to 423 shares of Common Stock issuable upon exercise of stock options held by Mr. Chang that are exercisable within 60 days of October 9, 2024, (iii) 382,658 shares of Common Stock held by RTC3 2020 Irrevocable Trust (“RTC3”), of which Mr. Chang retains the ability to remove the independent trustee, (iv) warrants to purchase 15,417 shares of Common Stock held by RTC3 that are exercisable within 60 days of the date hereof, subject to a 9.99% beneficial ownership limitation, (v) 43 shares of Common Stock held by NXT3J Capital, LLC (“NXT3J”), an entity controlled by Mr. Chang, (vi) that number of shares of Common Stock issuable to the New Lender, an entity controlled by Mr. Chang, issuable to Mr. Chang upon the conversion of that certain Senior Secured Amended, Restated and Consolidated Convertible Note, due 2025 described herein previously, the Convertible Note,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the New Lender may assign its right to receive shares of Common Stock upon conversion to Mr. Chang and/or Ms. I-Tseng Jenny Chan, in which case the 49.99% beneficial ownership limitation will apply to each of them individually, (vii) that number of shares of Common Stock issuable to the New Lender or, at the New Lender’s election, pre-funded warrants to purchase shares of Common Stock issuable to the New Lender upon conversion of that certain Junior Secured Convertible Promissory Note (“New Junior Note”) due July 1, 2025 described herein with an outstanding principal amount of $3,000,000.00 and a conversion price of $3.9495 (as may be adjusted per the New Junior Note), which pre-funded warrants are exercisable subject to a 49.99% beneficial ownership limitation, (viii) pre-funded warrants to purchase 5,452,288 shares of Common Stock held by the New Lender that are exercisable within 60 days of October 9, 2024, as amended by the CP Warrant Amendment, and that certain Amendment to Pre-Funded Common Stock Purchase Warrant, dated September 27, 2024 (the “CP September Warrant Amendment”), and subject to a 49.99% beneficial ownership limitation, (ix) pre-funded warrants to purchase 1,085,123 shares of Common Stock held by GIC Acquisition LLC (“GIC Acquisition”) that are exercisable within 60 days of October 9, 2024, as amended by that certain Amendment to Pre-Funded Common Stock Purchase Warrant, dated August 28, 2024, by and between Issuer and GIC Acquisition, and subject to a 49.99% beneficial ownership limitation, (x) options to purchase 13 shares of Common Stock that are held by Raymond Chang Jr., Mr. Chang’s son, that are exercisable within 60 days of October 9, 2024, (xi) 105,263 shares of Common Stock held individually by Chinwei Wang, Mr. Chang’s spouse, (xii) 4,825 shares of Common Stock underlying restricted stock units held by Raymond Chang, Jr. that will vest within 60 days of October 9, 2024, and (xiii) 14,508 shares of Common Stock underlying restricted stock units held by Mr. Chang that will vest within 60 days of October 9, 2024, or that have vested but have not yet settled. Does not include 2,184 shares of Common Stock underlying time-based restricted stock units that will not vest within 60 days of the day hereof granted to Raymond Chang, Jr., under the Plan. Does not include 22,516 shares of Common Stock underlying time-based restricted stock units that will not vest within 60 days of the day hereof granted to Mr. Chang under the Plan. Mr. Chang disclaims beneficial ownership with respect to the shares and warrants held by RTC3, the shares held by NXT3J, the shares entitled to the New Lender upon conversion of its Convertible Note, the options and shares held by Raymond Chang Jr., and the shares held by Chinwei Wang, in each case except to the extent of his pecuniary interest therein. The information set forth above and in this note (3) is based on the Schedule 13D amendment filed by Mr. Chang with the SEC on September 4, 2024.</w:t>
      </w:r>
    </w:p>
    <w:p>
      <w:pPr>
        <w:spacing w:after="0" w:line="228" w:lineRule="exact"/>
        <w:rPr>
          <w:rFonts w:ascii="Times New Roman" w:cs="Times New Roman" w:eastAsia="Times New Roman" w:hAnsi="Times New Roman"/>
          <w:sz w:val="18"/>
          <w:szCs w:val="18"/>
          <w:color w:val="auto"/>
        </w:rPr>
      </w:pPr>
    </w:p>
    <w:p>
      <w:pPr>
        <w:ind w:left="332" w:right="40" w:hanging="332"/>
        <w:spacing w:after="0" w:line="252"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67,997 shares of Common Stock held by M Zion Capital, LLC (“M Zion Capital”), an entity controlled by Ms. Chan, (ii) 67,997 shares of Common Stock held by M Olivet Capital, LLC (“M Olivet Capital”), an entity controlled by Ms. Chan, (iii) 67,997 shares of Common Stock held by M Cannan Capital, LLC (“M Cannan Capital”), an entity controlled by Ms. Chan, (iv) that number of shares of Common Stock issuable to the New Lender, an entity controlled by Ms. Chan, issuable to Ms. Chan upon the conversion of the Convertible Note, which conversion is subject to a 49.99% beneficial ownership limitation; provided that the New Lender may assign its right to receive shares of common stock upon conversion to Mr. Chang and/or Ms. Chan, in which case the 49.99% beneficial ownership limitation will apply to each of them individually, (v) that number of shares of Common Stock issuable to the New Lender or, at the New Lender’s election, pre-funded warrants to purchase shares of Common Stock issuable to the New Lender upon conversion of the New Junior Note, which pre-funded warrants are exercisable subject to a 49.99% beneficial ownership limitation, and (vi) pre-funded warrants to purchase 5,452,288 shares of Common Stock held by the New Lender that are exercisable within 60 days of the date hereof, as amended by the CP Warrant Amendment and the CP September Warrant Amendment, and subject to a 49.99% beneficial ownership limitation. Ms. Chan disclaims beneficial ownership with respect to the shares held by M Zion Capital, the shares held by M Olivet Capital, the shares held by M Cannan Capital and the shares entitled to the New Lender upon conversion of its Convertible Note, in each case except to the extent of her pecuniary interest therein. The information set forth above and in this note (4) is based on the Schedule 13D amendment filed by Ms. Chan with the SEC on September 4, 2024.</w:t>
      </w:r>
    </w:p>
    <w:p>
      <w:pPr>
        <w:spacing w:after="0" w:line="22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shares subject to options that are exercisable within 60 days of October 9, 2024: Mr. Kessler, 53; Mr. Mahoney, 31; and</w:t>
      </w:r>
    </w:p>
    <w:p>
      <w:pPr>
        <w:spacing w:after="0" w:line="27" w:lineRule="exact"/>
        <w:rPr>
          <w:rFonts w:ascii="Times New Roman" w:cs="Times New Roman" w:eastAsia="Times New Roman" w:hAnsi="Times New Roman"/>
          <w:sz w:val="18"/>
          <w:szCs w:val="18"/>
          <w:color w:val="auto"/>
        </w:rPr>
      </w:pPr>
    </w:p>
    <w:p>
      <w:pPr>
        <w:ind w:left="332"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Varier, 31. Includes the following shares subject to restricted stock units that vest within 60 days of October 9, 2024: Mr. Kessler, 13,614; Mr. Towns, 13,603; Mr. Holtzman, 4,612; Mr. Mahoney, 4,071; and Mr. Varier, 3,866.</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under this prospectus may be offered from time to time by the selling stockholder named below or by any of their respective pledgees, donees, transferees or other successors-in-interest. As used in this prospectus, the term “selling stockholder” includes the selling stockholder identified below and any donees, pledgees, transferees or other successors-in-interest selling shares received after the date of this prospectus from the selling stockholder as a gift, pledge or other non-sale related transfer. The selling stockholder named below acquired the shares of our Common Stock being offered under this prospectus directly from us. We issued the shares of Common Stock to the selling stockholder in reliance on an exemption from the registration requirements of the Securities Act pursuant to Section 4(a)(2) of the Securities Act and Rule 506 promulgated thereunder.</w:t>
      </w:r>
    </w:p>
    <w:p>
      <w:pPr>
        <w:spacing w:after="0" w:line="187" w:lineRule="exact"/>
        <w:rPr>
          <w:sz w:val="20"/>
          <w:szCs w:val="20"/>
          <w:color w:val="auto"/>
        </w:rPr>
      </w:pPr>
    </w:p>
    <w:p>
      <w:pPr>
        <w:jc w:val="both"/>
        <w:ind w:right="100" w:firstLine="648"/>
        <w:spacing w:after="0" w:line="269" w:lineRule="auto"/>
        <w:rPr>
          <w:sz w:val="20"/>
          <w:szCs w:val="20"/>
          <w:color w:val="auto"/>
        </w:rPr>
      </w:pPr>
      <w:r>
        <w:rPr>
          <w:rFonts w:ascii="Times New Roman" w:cs="Times New Roman" w:eastAsia="Times New Roman" w:hAnsi="Times New Roman"/>
          <w:sz w:val="17"/>
          <w:szCs w:val="17"/>
          <w:color w:val="auto"/>
        </w:rPr>
        <w:t>The following table sets forth as of October 9, 2024 : (1) the name of the selling stockholder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 under this prospectus and (4) the number of shares of our Common Stock to be owned by the selling stockholder after completion of this offering. We will not receive any of the proceeds from the sale of the shares of our Common Stock offered under this prospectus.</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amounts and information set forth below are based upon information provided to us by the selling stockholder or its representatives, or on our records, as of October 9, 2024. The percentage of beneficial ownership for the following table is based on 1,331,790 shares of our Common Stock outstanding as of October 9, 2024.</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the security holder named in the table has sole voting and investment power with respect to all shares of Common Stock shown in the table to be beneficially owned by the security holder. The selling stockholder has not previously had any position, office or other material relationship with us or any of our predecessors or affiliates within the past three years. In addition, based on information provided to us, the selling stockholder, if an affiliate of broker-dealer, has not purchased the shares of Common Stock outside the ordinary course of business or, at the time of their acquisition of such shares of Common Stock, had any agreements, understandings or arrangements with any other persons, directly or indirectly, to dispose of the shares of Common Stock. Information concerning the selling stockholder may change from time to time, and any changed information will be set forth in supplements to this prospectus to the extent required.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 Completion</w:t>
            </w:r>
          </w:p>
        </w:tc>
      </w:tr>
      <w:tr>
        <w:trPr>
          <w:trHeight w:val="277"/>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Prior to the Offering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60" w:type="dxa"/>
            <w:vAlign w:val="bottom"/>
            <w:gridSpan w:val="4"/>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of the Offering </w:t>
            </w:r>
            <w:r>
              <w:rPr>
                <w:rFonts w:ascii="Times New Roman" w:cs="Times New Roman" w:eastAsia="Times New Roman" w:hAnsi="Times New Roman"/>
                <w:sz w:val="29"/>
                <w:szCs w:val="29"/>
                <w:b w:val="1"/>
                <w:bCs w:val="1"/>
                <w:color w:val="auto"/>
                <w:w w:val="96"/>
                <w:vertAlign w:val="superscript"/>
              </w:rPr>
              <w:t>(1)</w:t>
            </w:r>
          </w:p>
        </w:tc>
      </w:tr>
      <w:tr>
        <w:trPr>
          <w:trHeight w:val="180"/>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Being Offered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1"/>
                <w:szCs w:val="21"/>
                <w:color w:val="auto"/>
              </w:rPr>
            </w:pPr>
          </w:p>
        </w:tc>
      </w:tr>
      <w:tr>
        <w:trPr>
          <w:trHeight w:val="297"/>
        </w:trPr>
        <w:tc>
          <w:tcPr>
            <w:tcW w:w="4480" w:type="dxa"/>
            <w:vAlign w:val="bottom"/>
            <w:gridSpan w:val="2"/>
            <w:shd w:val="clear" w:color="auto" w:fill="CCEEFF"/>
          </w:tcPr>
          <w:p>
            <w:pPr>
              <w:ind w:left="40"/>
              <w:spacing w:after="0" w:line="296" w:lineRule="exact"/>
              <w:rPr>
                <w:sz w:val="20"/>
                <w:szCs w:val="20"/>
                <w:color w:val="auto"/>
              </w:rPr>
            </w:pPr>
            <w:r>
              <w:rPr>
                <w:rFonts w:ascii="Times New Roman" w:cs="Times New Roman" w:eastAsia="Times New Roman" w:hAnsi="Times New Roman"/>
                <w:sz w:val="18"/>
                <w:szCs w:val="18"/>
                <w:color w:val="auto"/>
              </w:rPr>
              <w:t xml:space="preserve">Ionic Ventures, LLC </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0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313,333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313,333</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91"/>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18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all shares of Common Stock being offered under this prospectus are sold. The percentage of beneficial ownership after completion of the offering is based on 1,645,123 shares of Common Stock, consisting of 1,331,790 shares of Common Stock outstanding as of October 9, 2024 and the 313,333 shares of Common Stock being offered under this prospectus.</w:t>
      </w:r>
    </w:p>
    <w:p>
      <w:pPr>
        <w:spacing w:after="0" w:line="175"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Brendan O’Neil and Keith Coulston are the managers of Ionic Ventures, LLC and in such capacity have joint voting and dispositive power over shares held by Ionic Ventures, LLC. Mr. O’Neil and Mr. Coulston each disclaim beneficial ownership of the reported shares of Common Stock except to the extent of their pecuniary interest therein. Ionic Ventures, LLC is not a licensed broker dealer or an affiliate of a licensed broker dealer. The address of Ionic Ventures, LLC is 3053 Fillmore Street, Ste. 256, San Francisco, CA 94123.</w:t>
      </w:r>
    </w:p>
    <w:p>
      <w:pPr>
        <w:spacing w:after="0" w:line="17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selling stockholder prior to and after this offering is limited by the restriction on its ability to beneficially own more than 4.99% of our outstanding Common Stock pursuant to the ELOC Purchase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“AGFY”. On November 4, 2024, the last reported sale price of our Common Stock as reported by Nasdaq was $3.26 per share. As of such date, we had approximately 58 stockholders of record.</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 ® and ™ symbols, but we will assert, to the fullest extent under applicable law, our rights to our copyrights, trade names and trademarks. All other trademarks are the property of their respective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October 30, 2024, there were 58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after considering our financial condition, results of operations, capital requirements, business prospects and other factors the Board deems relevant, and subject to the restrictions contained in our current or future financing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October 9, 2024, there were</w:t>
      </w:r>
    </w:p>
    <w:p>
      <w:pPr>
        <w:ind w:right="160"/>
        <w:spacing w:after="0" w:line="255" w:lineRule="auto"/>
        <w:rPr>
          <w:sz w:val="20"/>
          <w:szCs w:val="20"/>
          <w:color w:val="auto"/>
        </w:rPr>
      </w:pPr>
      <w:r>
        <w:rPr>
          <w:rFonts w:ascii="Times New Roman" w:cs="Times New Roman" w:eastAsia="Times New Roman" w:hAnsi="Times New Roman"/>
          <w:sz w:val="18"/>
          <w:szCs w:val="18"/>
          <w:color w:val="auto"/>
        </w:rPr>
        <w:t>1,331,790 shares of Common Stock outstanding, warrants outstanding to purchase 6,308,434 shares of our Common Stock, 668 shares of Common Stock subject to outstanding stock options, 149,977 shares of Common Stock subject to unvested restricted stock units, and 619,893 shares of Common Stock underlying convertible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9" w:name="page40"/>
    <w:bookmarkEnd w:id="39"/>
    <w:p>
      <w:pPr>
        <w:ind w:firstLine="648"/>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w:t>
      </w:r>
    </w:p>
    <w:p>
      <w:pPr>
        <w:spacing w:after="0" w:line="1" w:lineRule="exact"/>
        <w:rPr>
          <w:sz w:val="20"/>
          <w:szCs w:val="20"/>
          <w:color w:val="auto"/>
        </w:rPr>
      </w:pPr>
    </w:p>
    <w:p>
      <w:pPr>
        <w:ind w:firstLine="8"/>
        <w:spacing w:after="0" w:line="253"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prior to the date the interested stockholder obtained such status; or the combination is approved by the Board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9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listed on Nasdaq under the symbol “AGFY.”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Common Stock listed in the table appearing under “Selling Stockholder” are being registered to permit the resale of Common Stock by the selling stockholder from time to time after the date of this prospectus. There can be no assurance that the selling stockholder will sell any or all of the Common Stock offered hereby. We will not receive any of the proceeds from the sale of the Common Stock by the selling stockholder.</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may sell all or a portion of the Common Stock offered hereby from time to time directly to purchasers or through one or more underwriters, broker-dealers or agents, at market prices prevailing at the time of sale (but not at a fixed price), by a variety of methods including the following:</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over-the-counter market on which the Common Stock may be listed or quoted at the time of sale;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may attempt to sell the shares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a subsequent resale by the broker-dealer for its account;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to or through market makers into an existing market for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negotiation transactions;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in the over-the-counter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under applicable law.</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will pay the reasonable expenses incident to the registration and offering of the Common Stock offered hereby. We have agreed to indemnify Ionic and certain other persons against certain liabilities in connection with the offering of shares offered hereby, including liabilities arising under the Securities Act or if such indemnity is unavailable, to contribute amounts required to be paid in respect of such liabilities. Ionic has agreed to indemnify us against liabilities under the Securities Act that may arise from certain written information furnished to us by Ionic specifically for use in this prospectus or, if such indemnity is unavailable, to contribute amounts required to be paid in respect of such liabilities.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shares of Common Stock registered hereunder may be deemed to be “underwriters” within the meaning of the Securities Act in connection with such sales. In such event, any commissions received by such broker-dealers or agents and any profit on the resale of the shares of Common Stock purchased by them may be deemed to be underwriting commissions or discounts under the Securities Act. The selling stockholder have informed us that it does not have any written or oral agreement or understanding, directly or indirectly, with any person to distribute the shares of Common Stock.</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Ionic has represented to us that at no time prior to the ELOC Purchase Agreement has Ionic or its agents, representatives or affiliates engaged in or effected, in any manner whatsoever, directly or indirectly, any short sale (as such term is defined in Rule 200 of Regulation SHO of the Exchange Act) of our Ionic or any hedging transaction, which establishes a net short position with respect to our Common Stock.</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advised Ionic that it is required to comply with Regulation M promulgated under the Exchange Act. With certain exceptions, Regulation M precludes a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offered by this prospectus will be passed upon for us by Fennemore Craig, P.C., Las Vegas, Nevada. Sullivan &amp; Worcester LLP, New York, New York is acting as counsel to the selling stockholder in connection with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Marcum LLP, our former independent registered public accounting firm, has audited our consolidated financial statements as of December 31, 2023 and 2022 and for the years then ended, which includes an explanatory paragraph relating to the Company's ability to continue as a going concern, contained in this registration statement given 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SEC allows us to “incorporate by reference” information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001-39946):</w:t>
      </w:r>
    </w:p>
    <w:p>
      <w:pPr>
        <w:spacing w:after="0" w:line="162" w:lineRule="exact"/>
        <w:rPr>
          <w:sz w:val="20"/>
          <w:szCs w:val="20"/>
          <w:color w:val="auto"/>
        </w:rPr>
      </w:pPr>
    </w:p>
    <w:p>
      <w:pPr>
        <w:ind w:left="980" w:right="260" w:hanging="324"/>
        <w:spacing w:after="0" w:line="282" w:lineRule="auto"/>
        <w:tabs>
          <w:tab w:leader="none" w:pos="980" w:val="left"/>
        </w:tabs>
        <w:numPr>
          <w:ilvl w:val="0"/>
          <w:numId w:val="21"/>
        </w:numPr>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auto"/>
          </w:rPr>
          <w:t xml:space="preserve">Our Annual Report on Form 10-K for the fiscal year ended December 31, 2023 filed with the SEC on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29, 2024</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right="260" w:hanging="324"/>
        <w:spacing w:after="0" w:line="282" w:lineRule="auto"/>
        <w:tabs>
          <w:tab w:leader="none" w:pos="980" w:val="left"/>
        </w:tabs>
        <w:numPr>
          <w:ilvl w:val="0"/>
          <w:numId w:val="21"/>
        </w:numPr>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auto"/>
          </w:rPr>
          <w:t xml:space="preserve">Our Quarterly Report on Form 10-Q for the quarter ended March 31, 2024 filed with the SEC on </w:t>
        </w:r>
        <w:r>
          <w:rPr>
            <w:rFonts w:ascii="Times New Roman" w:cs="Times New Roman" w:eastAsia="Times New Roman" w:hAnsi="Times New Roman"/>
            <w:sz w:val="18"/>
            <w:szCs w:val="18"/>
            <w:u w:val="single" w:color="auto"/>
            <w:color w:val="0000EE"/>
          </w:rPr>
          <w:t>May 21,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August 14,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Quarterly Report on Form 10-Q for the quarter ended June 30, 2024 filed with the SEC on</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August 14, 2024</w:t>
        </w:r>
      </w:hyperlink>
      <w:hyperlink r:id="rId57">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hanging="324"/>
        <w:spacing w:after="0" w:line="258" w:lineRule="auto"/>
        <w:tabs>
          <w:tab w:leader="none" w:pos="98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as set forth therein), </w:t>
      </w:r>
      <w:hyperlink r:id="rId60">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January 31, 2024</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w:t>
        </w:r>
      </w:hyperlink>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26,</w:t>
        </w:r>
      </w:hyperlink>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July 3, 2024</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July 22, 2024</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August 9, 2024</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 xml:space="preserve">August 13, 2024 </w:t>
        </w:r>
      </w:hyperlink>
      <w:hyperlink r:id="rId63">
        <w:r>
          <w:rPr>
            <w:rFonts w:ascii="Times New Roman" w:cs="Times New Roman" w:eastAsia="Times New Roman" w:hAnsi="Times New Roman"/>
            <w:sz w:val="18"/>
            <w:szCs w:val="18"/>
            <w:color w:val="000000"/>
          </w:rPr>
          <w:t>(other than as set forth therein),</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August 14, 2024</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29, 2024</w:t>
        </w:r>
      </w:hyperlink>
      <w:hyperlink r:id="rId63">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September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September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October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 xml:space="preserve">October 4,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October 22, 2024</w:t>
        </w:r>
      </w:hyperlink>
      <w:r>
        <w:rPr>
          <w:rFonts w:ascii="Times New Roman" w:cs="Times New Roman" w:eastAsia="Times New Roman" w:hAnsi="Times New Roman"/>
          <w:sz w:val="18"/>
          <w:szCs w:val="18"/>
          <w:color w:val="000000"/>
        </w:rPr>
        <w:t>;</w:t>
      </w:r>
    </w:p>
    <w:p>
      <w:pPr>
        <w:spacing w:after="0" w:line="210"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7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July 22, 2024;</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Information Statement on </w:t>
      </w:r>
      <w:hyperlink r:id="rId76">
        <w:r>
          <w:rPr>
            <w:rFonts w:ascii="Times New Roman" w:cs="Times New Roman" w:eastAsia="Times New Roman" w:hAnsi="Times New Roman"/>
            <w:sz w:val="18"/>
            <w:szCs w:val="18"/>
            <w:u w:val="single" w:color="auto"/>
            <w:color w:val="0000EE"/>
          </w:rPr>
          <w:t>Schedule 14C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16, 2024; and</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Registered Pursuant to Section 12 of the Securities Exchange Act of 1934 filed with the SEC on April 2, 2021 as </w:t>
      </w:r>
      <w:hyperlink r:id="rId77">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7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62" w:lineRule="exact"/>
        <w:rPr>
          <w:rFonts w:ascii="Times New Roman" w:cs="Times New Roman" w:eastAsia="Times New Roman" w:hAnsi="Times New Roman"/>
          <w:sz w:val="18"/>
          <w:szCs w:val="18"/>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expressly providing to the contrary) made with the SEC pursuant to Sections 13(a), 13(c), 14 or 15(d) of the Exchange Act, including those made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shares of Common Stock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2468 Industrial Row Dr.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https://ir.agrify.com/financials-and-filings/sec-filings</w:t>
      </w:r>
      <w:r>
        <w:rPr>
          <w:rFonts w:ascii="Times New Roman" w:cs="Times New Roman" w:eastAsia="Times New Roman" w:hAnsi="Times New Roman"/>
          <w:sz w:val="18"/>
          <w:szCs w:val="18"/>
          <w:color w:val="auto"/>
        </w:rPr>
        <w:t>. The information contained in, or that can be accessed through, our website is not incorporated by reference in, and is not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any accompanying prospectus supplement.</w:t>
      </w:r>
    </w:p>
    <w:p>
      <w:pPr>
        <w:spacing w:after="0" w:line="17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an offer or solicitation.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this prospectus. This prospectus does not contain all of the information in the registration statement and its exhibits. For further information with respect to us and the shares of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post on our public website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586105</wp:posOffset>
            </wp:positionV>
            <wp:extent cx="1174115" cy="986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741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313,333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1278890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lvl>
    <w:lvl w:ilvl="1">
      <w:lvlJc w:val="left"/>
      <w:lvlText w:val="(%2)"/>
      <w:numFmt w:val="lowerRoman"/>
      <w:start w:val="2"/>
    </w:lvl>
    <w:lvl w:ilvl="2">
      <w:lvlJc w:val="left"/>
      <w:lvlText w:val="*"/>
      <w:numFmt w:val="bullet"/>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jpe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56" Type="http://schemas.openxmlformats.org/officeDocument/2006/relationships/hyperlink" Target="http://www.sec.gov/Archives/edgar/data/1800637/000121390024037183/ea0204717-10ka1_agrify.htm" TargetMode="External"/><Relationship Id="rId57" Type="http://schemas.openxmlformats.org/officeDocument/2006/relationships/hyperlink" Target="http://www.sec.gov/Archives/edgar/data/1800637/000121390024069066/ea0211276-10qa1_agrify.htm" TargetMode="External"/><Relationship Id="rId58" Type="http://schemas.openxmlformats.org/officeDocument/2006/relationships/hyperlink" Target="http://www.sec.gov/Archives/edgar/data/1800637/000121390024069081/ea0210884-10q_agrify.htm" TargetMode="External"/><Relationship Id="rId59" Type="http://schemas.openxmlformats.org/officeDocument/2006/relationships/hyperlink" Target="http://www.sec.gov/Archives/edgar/data/1800637/000143774924000875/agfy20240108_8k.htm" TargetMode="External"/><Relationship Id="rId60" Type="http://schemas.openxmlformats.org/officeDocument/2006/relationships/hyperlink" Target="http://www.sec.gov/Archives/edgar/data/1800637/000121390024006275/ea192155-8k_agrify.htm" TargetMode="External"/><Relationship Id="rId61" Type="http://schemas.openxmlformats.org/officeDocument/2006/relationships/hyperlink" Target="http://www.sec.gov/Archives/edgar/data/1800637/000121390024008117/ea192524-8k_agrifycorp.htm" TargetMode="External"/><Relationship Id="rId62" Type="http://schemas.openxmlformats.org/officeDocument/2006/relationships/hyperlink" Target="http://www.sec.gov/Archives/edgar/data/1800637/000121390024043986/ea0206334-8k_agrify.htm" TargetMode="External"/><Relationship Id="rId63" Type="http://schemas.openxmlformats.org/officeDocument/2006/relationships/hyperlink" Target="http://www.sec.gov/Archives/edgar/data/1800637/000121390024056178/ea0208490-8k_agrify.htm" TargetMode="External"/><Relationship Id="rId64" Type="http://schemas.openxmlformats.org/officeDocument/2006/relationships/hyperlink" Target="http://www.sec.gov/Archives/edgar/data/1800637/000121390024058789/ea0208883-8k_agrify.htm" TargetMode="External"/><Relationship Id="rId65" Type="http://schemas.openxmlformats.org/officeDocument/2006/relationships/hyperlink" Target="http://www.sec.gov/Archives/edgar/data/1800637/000101376224000464/ea0209645-8k_agrify.htm" TargetMode="External"/><Relationship Id="rId66" Type="http://schemas.openxmlformats.org/officeDocument/2006/relationships/hyperlink" Target="http://www.sec.gov/Archives/edgar/data/1800637/000121390024067146/ea0210985-8k_agrify.htm" TargetMode="External"/><Relationship Id="rId67" Type="http://schemas.openxmlformats.org/officeDocument/2006/relationships/hyperlink" Target="http://www.sec.gov/Archives/edgar/data/1800637/000121390024068270/ea021128801-8k_agrify.htm" TargetMode="External"/><Relationship Id="rId68" Type="http://schemas.openxmlformats.org/officeDocument/2006/relationships/hyperlink" Target="http://www.sec.gov/Archives/edgar/data/1800637/000121390024069076/ea0211340-8k_agrify.htm" TargetMode="External"/><Relationship Id="rId69" Type="http://schemas.openxmlformats.org/officeDocument/2006/relationships/hyperlink" Target="http://www.sec.gov/Archives/edgar/data/1800637/000121390024073911/ea0212771-8k_agrify.htm" TargetMode="External"/><Relationship Id="rId70" Type="http://schemas.openxmlformats.org/officeDocument/2006/relationships/hyperlink" Target="http://www.sec.gov/Archives/edgar/data/1800637/000121390024075628/ea0213326-8k_agrify.htm" TargetMode="External"/><Relationship Id="rId71" Type="http://schemas.openxmlformats.org/officeDocument/2006/relationships/hyperlink" Target="http://www.sec.gov/Archives/edgar/data/1800637/000121390024076220/ea0213698-8k_agrify.htm" TargetMode="External"/><Relationship Id="rId72" Type="http://schemas.openxmlformats.org/officeDocument/2006/relationships/hyperlink" Target="https://www.sec.gov/Archives/edgar/data/1800637/000121390024084050/ea0216254-8k_agrify.htm" TargetMode="External"/><Relationship Id="rId73" Type="http://schemas.openxmlformats.org/officeDocument/2006/relationships/hyperlink" Target="https://www.sec.gov/Archives/edgar/data/1800637/000121390024085199/ea0216705-8k_agrify.htm" TargetMode="External"/><Relationship Id="rId74" Type="http://schemas.openxmlformats.org/officeDocument/2006/relationships/hyperlink" Target="https://www.sec.gov/Archives/edgar/data/1800637/000121390024089657/ea0218192-8k_agrify.htm" TargetMode="External"/><Relationship Id="rId75" Type="http://schemas.openxmlformats.org/officeDocument/2006/relationships/hyperlink" Target="http://www.sec.gov/Archives/edgar/data/1800637/000101376224000467/ea0209323-02.htm" TargetMode="External"/><Relationship Id="rId76" Type="http://schemas.openxmlformats.org/officeDocument/2006/relationships/hyperlink" Target="http://www.sec.gov/Archives/edgar/data/1800637/000121390024078980/ea0213661-02.htm" TargetMode="External"/><Relationship Id="rId77" Type="http://schemas.openxmlformats.org/officeDocument/2006/relationships/hyperlink" Target="http://www.sec.gov/Archives/edgar/data/1800637/000121390021019992/f10k2020ex4-5_agrifycorp.htm" TargetMode="External"/><Relationship Id="rId78" Type="http://schemas.openxmlformats.org/officeDocument/2006/relationships/hyperlink" Target="https://www.sec.gov/Archives/edgar/data/1800637/000121390021019992/f10k2020_agrifycorpo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2024-11-05T05:22:19Z</dcterms:created>
  <dcterms:modified xsi:type="dcterms:W3CDTF">2024-11-05T05:22:19Z</dcterms:modified>
</cp:coreProperties>
</file>