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10-Q/A</w:t>
      </w:r>
    </w:p>
    <w:p>
      <w:pPr>
        <w:spacing w:after="0" w:line="144" w:lineRule="exact"/>
        <w:rPr>
          <w:sz w:val="24"/>
          <w:szCs w:val="24"/>
          <w:color w:val="auto"/>
        </w:rPr>
      </w:pPr>
    </w:p>
    <w:p>
      <w:pPr>
        <w:jc w:val="center"/>
        <w:ind w:left="3820" w:right="940" w:hanging="2872"/>
        <w:spacing w:after="0" w:line="406" w:lineRule="auto"/>
        <w:tabs>
          <w:tab w:leader="none" w:pos="11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jc w:val="center"/>
        <w:ind w:left="3500" w:right="940" w:hanging="2559"/>
        <w:spacing w:after="0" w:line="406" w:lineRule="auto"/>
        <w:tabs>
          <w:tab w:leader="none" w:pos="113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105410</wp:posOffset>
            </wp:positionV>
            <wp:extent cx="1371600" cy="1131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58"/>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4"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0"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03"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13, 2024, the registrant had 14,229,386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References throughout this Amendment No. 1 to the Quarterly Report on Form 10-Q to “we,” “us,” the “Company” or “our company” are to Agrify Corporation.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No. 1 (“Amendment No. 1”) to the Quarterly Report on Form 10-Q/A amends the Quarterly Report on Form 10-Q of Agrify Corporation for the quarter ended March 31, 2024, as filed with the Securities and Exchange Commission (“SEC”) on May 21, 2024 (the “Original Filing”).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12, 2024, the Audit Committee of the Board of Directors (the “Audit Committee”) of Agrify Corporation (the “Company”), in consultation with management of the Company and the Company’s independent registered public accounting firm, GuzmanGray (“GuzmanGray”), concluded that the Company’s previously issued unaudited condensed consolidated interim financial statements as of and for the fiscal period ended March 31, 2024 included in the Company’s Quarterly Reports on Form 10-Q for such period should no longer be relied upon. Similarly, earnings releases, and investor communications describing the financial statements for the periods described above should no longer be relied upon. The Company identified an error in the accounting for a settlement agreement with a vendor which was effective in the first quarter of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the Company is restating in this Form 10-Q/A the unaudited consolidated interim financial statements for the three-month period ended March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filing this Amendment No. 1 to amend and restate the Original Filing with modification as necessary to reflect the restatement. The following items have been amended to reflect the restatement: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Item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8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(unaudited) and December 31,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80" w:type="dxa"/>
            <w:vAlign w:val="bottom"/>
            <w:shd w:val="clear" w:color="auto" w:fill="CCEEFF"/>
          </w:tcPr>
          <w:p>
            <w:pPr>
              <w:spacing w:after="0"/>
              <w:rPr>
                <w:sz w:val="15"/>
                <w:szCs w:val="15"/>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(unaudited) and 2023</w:t>
            </w:r>
          </w:p>
        </w:tc>
        <w:tc>
          <w:tcPr>
            <w:tcW w:w="100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9140" w:type="dxa"/>
            <w:vAlign w:val="bottom"/>
            <w:tcBorders>
              <w:top w:val="single" w:sz="8" w:color="0000EE"/>
            </w:tcBorders>
            <w:gridSpan w:val="17"/>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80" w:type="dxa"/>
            <w:vAlign w:val="bottom"/>
            <w:shd w:val="clear" w:color="auto" w:fill="CCEEFF"/>
          </w:tcPr>
          <w:p>
            <w:pPr>
              <w:spacing w:after="0"/>
              <w:rPr>
                <w:sz w:val="15"/>
                <w:szCs w:val="15"/>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Deficit for the three months ended March 31, 2024 (unaudited) and 2023</w:t>
            </w:r>
          </w:p>
        </w:tc>
        <w:tc>
          <w:tcPr>
            <w:tcW w:w="100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9140" w:type="dxa"/>
            <w:vAlign w:val="bottom"/>
            <w:tcBorders>
              <w:top w:val="single" w:sz="8" w:color="0000EE"/>
            </w:tcBorders>
            <w:gridSpan w:val="17"/>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880" w:type="dxa"/>
            <w:vAlign w:val="bottom"/>
            <w:shd w:val="clear" w:color="auto" w:fill="CCEEFF"/>
          </w:tcPr>
          <w:p>
            <w:pPr>
              <w:spacing w:after="0"/>
              <w:rPr>
                <w:sz w:val="15"/>
                <w:szCs w:val="15"/>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(unaudited) and 2023</w:t>
            </w:r>
          </w:p>
        </w:tc>
        <w:tc>
          <w:tcPr>
            <w:tcW w:w="100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9140" w:type="dxa"/>
            <w:vAlign w:val="bottom"/>
            <w:tcBorders>
              <w:top w:val="single" w:sz="8" w:color="0000EE"/>
            </w:tcBorders>
            <w:gridSpan w:val="17"/>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8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19"/>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6"/>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8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$2,512 and $1,887 at March 31, 2024 and December 31,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 of reserves of $17,184 and $17,599 at March 31, 2024 and December 31, 2023, respectively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receivable, current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 receivable, net of allowance for credit losses of $18,885 and $19,215 at March 31, 2024 and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 net of current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46,098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59,980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and 10,000,000 shares authorized at March 31, 2024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 13,275,702 and 1,702,243 shares issued and outstanding at March 31, 2024 and</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68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December 31, 2023, respectively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250,855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(261,561)</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(265,797)</w:t>
            </w:r>
          </w:p>
        </w:tc>
        <w:tc>
          <w:tcPr>
            <w:tcW w:w="0" w:type="dxa"/>
            <w:vAlign w:val="bottom"/>
          </w:tcPr>
          <w:p>
            <w:pPr>
              <w:spacing w:after="0"/>
              <w:rPr>
                <w:sz w:val="1"/>
                <w:szCs w:val="1"/>
                <w:color w:val="auto"/>
              </w:rPr>
            </w:pPr>
          </w:p>
        </w:tc>
      </w:tr>
      <w:tr>
        <w:trPr>
          <w:trHeight w:val="135"/>
        </w:trPr>
        <w:tc>
          <w:tcPr>
            <w:tcW w:w="8680" w:type="dxa"/>
            <w:vAlign w:val="bottom"/>
            <w:tcBorders>
              <w:top w:val="single" w:sz="8" w:color="CCEEFF"/>
            </w:tcBorders>
            <w:vMerge w:val="restart"/>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 attributable to Agrify</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color w:val="auto"/>
              </w:rPr>
              <w:t>(5,681</w:t>
            </w:r>
          </w:p>
        </w:tc>
        <w:tc>
          <w:tcPr>
            <w:tcW w:w="220" w:type="dxa"/>
            <w:vAlign w:val="bottom"/>
            <w:tcBorders>
              <w:top w:val="single" w:sz="8" w:color="CCEEFF"/>
            </w:tcBorders>
          </w:tcPr>
          <w:p>
            <w:pPr>
              <w:jc w:val="right"/>
              <w:ind w:right="87"/>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gridSpan w:val="2"/>
          </w:tcPr>
          <w:p>
            <w:pPr>
              <w:jc w:val="right"/>
              <w:ind w:right="40"/>
              <w:spacing w:after="0" w:line="136" w:lineRule="exact"/>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75"/>
        </w:trPr>
        <w:tc>
          <w:tcPr>
            <w:tcW w:w="8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(14,940</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41"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2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and $46 from related parties, respectively)</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2,433</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4,094</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(5,935)</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(799)</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Agrify Corporation</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 basic (1)</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 (1)</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8,894,229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19,960,605</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reverse stock splits may be found in Note 1 – Overview, Basis of Presentation, and Significant Accounting Policies, included elsewhere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7"/>
                <w:szCs w:val="17"/>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9"/>
        </w:trPr>
        <w:tc>
          <w:tcPr>
            <w:tcW w:w="19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A Stock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attributable to</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8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9"/>
                <w:szCs w:val="19"/>
                <w:color w:val="auto"/>
              </w:rPr>
            </w:pPr>
          </w:p>
        </w:tc>
        <w:tc>
          <w:tcPr>
            <w:tcW w:w="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6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Agrify</w:t>
            </w:r>
          </w:p>
        </w:tc>
        <w:tc>
          <w:tcPr>
            <w:tcW w:w="10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19"/>
                <w:szCs w:val="19"/>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03"/>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1,038,298</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237,875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(247,148)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through an “at the</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 offering, net of</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323,082</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Pure Pressure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366</w:t>
            </w:r>
          </w:p>
        </w:tc>
        <w:tc>
          <w:tcPr>
            <w:tcW w:w="46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Employee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Purchase Plan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46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87"/>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March 31, 2023</w:t>
            </w: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6"/>
        </w:trPr>
        <w:tc>
          <w:tcPr>
            <w:tcW w:w="19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1,364,263</w:t>
            </w:r>
          </w:p>
        </w:tc>
        <w:tc>
          <w:tcPr>
            <w:tcW w:w="100" w:type="dxa"/>
            <w:vAlign w:val="bottom"/>
          </w:tcPr>
          <w:p>
            <w:pPr>
              <w:spacing w:after="0"/>
              <w:rPr>
                <w:sz w:val="19"/>
                <w:szCs w:val="19"/>
                <w:color w:val="auto"/>
              </w:rPr>
            </w:pPr>
          </w:p>
        </w:tc>
        <w:tc>
          <w:tcPr>
            <w:tcW w:w="4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w:t>
            </w:r>
          </w:p>
        </w:tc>
        <w:tc>
          <w:tcPr>
            <w:tcW w:w="5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240,304</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(257,475</w:t>
            </w:r>
          </w:p>
        </w:tc>
        <w:tc>
          <w:tcPr>
            <w:tcW w:w="1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(17,170</w:t>
            </w:r>
          </w:p>
        </w:tc>
        <w:tc>
          <w:tcPr>
            <w:tcW w:w="1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231</w:t>
            </w: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(16,939</w:t>
            </w:r>
          </w:p>
        </w:tc>
        <w:tc>
          <w:tcPr>
            <w:tcW w:w="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attributable to</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4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A Stock</w:t>
            </w:r>
          </w:p>
        </w:tc>
        <w:tc>
          <w:tcPr>
            <w:tcW w:w="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20"/>
                <w:szCs w:val="20"/>
                <w:color w:val="auto"/>
              </w:rPr>
            </w:pPr>
          </w:p>
        </w:tc>
        <w:tc>
          <w:tcPr>
            <w:tcW w:w="9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Agrify</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60" w:type="dxa"/>
            <w:vAlign w:val="bottom"/>
          </w:tcPr>
          <w:p>
            <w:pPr>
              <w:spacing w:after="0"/>
              <w:rPr>
                <w:sz w:val="20"/>
                <w:szCs w:val="20"/>
                <w:color w:val="auto"/>
              </w:rPr>
            </w:pPr>
          </w:p>
        </w:tc>
        <w:tc>
          <w:tcPr>
            <w:tcW w:w="84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7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9"/>
                <w:szCs w:val="19"/>
                <w:color w:val="auto"/>
              </w:rPr>
            </w:pPr>
          </w:p>
        </w:tc>
        <w:tc>
          <w:tcPr>
            <w:tcW w:w="6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7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10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173"/>
        </w:trPr>
        <w:tc>
          <w:tcPr>
            <w:tcW w:w="1880" w:type="dxa"/>
            <w:vAlign w:val="bottom"/>
            <w:tcBorders>
              <w:top w:val="single" w:sz="8" w:color="CCEEFF"/>
            </w:tcBorders>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 at January 1,</w:t>
            </w: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1,701,243</w:t>
            </w:r>
          </w:p>
        </w:tc>
        <w:tc>
          <w:tcPr>
            <w:tcW w:w="5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250,855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(14,710)</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490</w:t>
            </w:r>
          </w:p>
        </w:tc>
        <w:tc>
          <w:tcPr>
            <w:tcW w:w="160" w:type="dxa"/>
            <w:vAlign w:val="bottom"/>
          </w:tcPr>
          <w:p>
            <w:pPr>
              <w:spacing w:after="0"/>
              <w:rPr>
                <w:sz w:val="17"/>
                <w:szCs w:val="17"/>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prefunded warrants</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through public offering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2,120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held-back</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from Sinclair</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Cashless exercise of High</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Trail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3,132,217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Prefunded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Warrants issued through</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public offering</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3,010,000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2"/>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Convertible</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2,671,633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from troubled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restructuring with</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party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676</w:t>
            </w:r>
          </w:p>
        </w:tc>
        <w:tc>
          <w:tcPr>
            <w:tcW w:w="16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192"/>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split share</w:t>
            </w: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4,236</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0" w:type="dxa"/>
            <w:vAlign w:val="bottom"/>
          </w:tcPr>
          <w:p>
            <w:pPr>
              <w:spacing w:after="0"/>
              <w:rPr>
                <w:sz w:val="1"/>
                <w:szCs w:val="1"/>
                <w:color w:val="auto"/>
              </w:rPr>
            </w:pPr>
          </w:p>
        </w:tc>
      </w:tr>
      <w:tr>
        <w:trPr>
          <w:trHeight w:val="30"/>
        </w:trPr>
        <w:tc>
          <w:tcPr>
            <w:tcW w:w="1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1880" w:type="dxa"/>
            <w:vAlign w:val="bottom"/>
            <w:vMerge w:val="continue"/>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13,275,702</w:t>
            </w:r>
          </w:p>
        </w:tc>
        <w:tc>
          <w:tcPr>
            <w:tcW w:w="5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255,867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(261,561</w:t>
            </w:r>
          </w:p>
        </w:tc>
        <w:tc>
          <w:tcPr>
            <w:tcW w:w="12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(5,681</w:t>
            </w:r>
          </w:p>
        </w:tc>
        <w:tc>
          <w:tcPr>
            <w:tcW w:w="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(5,451</w:t>
            </w:r>
          </w:p>
        </w:tc>
        <w:tc>
          <w:tcPr>
            <w:tcW w:w="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2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Agrify Corporation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4,236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attributable to Agrify Corporation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inventory reserves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settlement of contingent liability</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(5,935)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accrued acquisition liabilities due to issuance of held-back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2,321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(2,056)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and cash equivalents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35"/>
        </w:trPr>
        <w:tc>
          <w:tcPr>
            <w:tcW w:w="8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10,446</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repayment of loans receivable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provided by investing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9,795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through an S-1 and Prefunded Warrants offering</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through an “at the market” offering, net of fees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Employee Stock Purchase Plan Shares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S-1 Prefunded Warrants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related party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of notes payable, other</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3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and cash equivalents provided by (used in) financing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Cashless exercise of High-Trail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payables refinanced into consolidated notes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interest consolidated into related party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 from troubled debt restructuring with related party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Consolidation of related party debt principal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3,799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83"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nine wholly-owned subsidiaries, which are collectively referred to as the “Subsidiaries” and the Company also has ownership interests in certain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 2023, the Company received a notice from The Nasdaq Stock Market LLC (“Nasdaq”) stating that because the Company reported stockholders’ deficit of $(17.17) million in its Form 10-Q for the quarter ended March 31, 2023, the Company was no longer in compliance with Nasdaq Listing Rule 5550(b)(1) (the “Primary Equity Listing Rule”), which requires that listed companies maintain a minimum of $2.5 million in stockholders’ equity. In response, the Company timely requested a hearing before a Nasdaq Hearings Panel (the “Panel”), which stayed any further action by the Listing Qualifications Staff. The hearing was held on January 11, 2024. The Company arrived at the hearing having previously cured any additional grounds for delisting as a result of delinquent periodic filings during 2023 that were filed prior to the hearing.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Panel had granted the Company’s request for an exception through April 15, 2024 to evidence compliance with the Listing Rule, which was subsequently extended to May 15, 2024. Accordingly, there can be no assurance that the Company will be able to regain compliance with the Nasdaq listing rules or maintain its listing on the Nasdaq Capital Market. If the Company’s common stock is delisted, it could be more difficult to buy or sell the Company’s common stock or to obtain accurate quotations, and the price of the Company’s common stock could suffer a material decline. Delisting could also impair the Company’s ability to raise capital.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5, 2024, the Company received a deficiency letter from the Staff of Nasdaq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has no immediate effect on the listing of the Company’s common stock on Nasdaq. In accordance with Nasdaq Listing Rule 5810(c)(3)(A), the Company has 180 calendar days to regain compliance with the Minimum Bid Requirement. The compliance period for the Company will expire on September 3, 2024.</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Restatement of Previously Issued Quarterly Condensed Consolidated Financial Statements for the Three Months Ended March 31, 2024</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further described below, our unaudited condensed consolidated financial statements covering the quarterly reporting period ended March 31, 2024 have been revised to reflect the correction of errors.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Restatement Background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need for the restatement arose out of the results of certain reassessment by the Company of the accounting for the settlement agreement entered into by the Company with Mack Molding Co which became effective in the first quarter of 2024 (See Note 14 - Commitments and Contingencies). Management determined that the gain from the derecognized contingent liability should be recognized fully in Q1, rather than over time as previously reported. Consequently, the Company concluded that the accounting treatment applied in the first quarter of 2024 was not appropriate. Therefore, the Company misstated inventory, accounts payable, notes payable, accumulated deficit and total stockholders’ equity (deficit), on the face of the unaudited condensed consolidated balance sheet as of March 31, 2024, and cost of goods sold, general and administrative expenses, gain on settlement of contingent liabilities, and interest income (expense), net, on the unaudited condensed consolidated statement of operations, for the three months ended March 31, 2024. The Company principally attributes the errors to a material weakness in internal controls over financial reporting, as disclosed in Item II, Part 9A of this Annual Report on Form 10-K. The Company has commenced procedures to remediate the material weaknesses. However, these material weaknesses will not be considered remediated until the applicable remedial actions have been fully implemented and the Company has concluded that these controls are operating effectively for a sufficient period of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Adjustments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summarizes the effect of the errors on the Company’s unaudited condensed consolidated balance sheet as of March 31, 2024 and unaudited condensed consolidated statement of operations and unaudited condensed consolidated statement of cash flows for the three months ended March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12,428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current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(265,835)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(261,561)</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(9,725)</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(5,451)</w:t>
            </w:r>
          </w:p>
        </w:tc>
      </w:tr>
      <w:tr>
        <w:trPr>
          <w:trHeight w:val="391"/>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Three</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the adjustments changed net loss, gain on supply agreement, gain on revaluation of contingent liability, gain on settlement of contingent liabilities, inventory, and accounts payable line items in the unaudited condensed consolidated cash flow statement, they did not have an impact on total net cash used in operating activities, net cash used in investing activities, or net cash provided by financing activities.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Three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00" w:type="dxa"/>
            <w:vAlign w:val="bottom"/>
          </w:tcPr>
          <w:p>
            <w:pPr>
              <w:spacing w:after="0"/>
              <w:rPr>
                <w:sz w:val="21"/>
                <w:szCs w:val="21"/>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4,236</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supply agreement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revaluation of contingent liability</w:t>
            </w:r>
          </w:p>
        </w:tc>
        <w:tc>
          <w:tcPr>
            <w:tcW w:w="1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861</w:t>
            </w:r>
          </w:p>
        </w:tc>
      </w:tr>
      <w:tr>
        <w:trPr>
          <w:trHeight w:val="23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related notes to the unaudited condensed consolidated financial statements have also been restated to reflect the error corrections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interim unaudited condensed consolidated financial statements of the Company and its subsidiaries are unaudited. In the opinion of management, all adjustments (consisting of normal recurring accruals) and disclosures necessary for a fair presentation of these interim unaudited condensed consolidated financial statements have been included. The results reported in the unaudited condensed consolidated financial statements for any interim periods are not necessarily indicative of the results that may be reported for the entire year. The accompanying unaudited condensed consolidated financial statements have been prepared in accordance with the rules and regulations of the Securities and Exchange Commission and do not include all information and footnotes necessary for a complete presentation of financial statements in conformity with accounting principles generally accepted in the United States (“U.S. GAAP”).</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annual consolidated financial statements prepared in accordance with U.S. GAAP have been condensed or omitted. These unaudited condensed consolidated financial statements should be read in conjunction with the Company’s audited consolidated financial statements and notes thereto included in the Company’s Annual Report on Form 10-K for the year ended December 31, 2023 filed with the Securities and Exchange Commission on April 15,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and include the accounts of Agrify Corporation and its wholly-owned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the Company’s less than wholly-owned subsidiaries, which include, Agrify-Valiant LLC (“Agrify-Valiant”), and Agrify Brands, LLC (“Agrify Brands”), the Company first analyzes whether these entities are a variable interest entity (a “VIE”)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and if so, whether the Company is the primary beneficiary requiring consolidation.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FASB Accounting Standards Update (“ASU”) 2014-15,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07" w:gutter="0" w:footer="0" w:header="0"/>
        </w:sectPr>
      </w:pPr>
    </w:p>
    <w:bookmarkStart w:id="11" w:name="page12"/>
    <w:bookmarkEnd w:id="1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has negative cash flows from operations and a working capital deficit. The Company also has an accumulated deficit of $261.6 million as of March 31, 2024.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 As of March 31, 2024, the Company had $0.1 million of cash, cash equivalents, and marketable securities. The Company had no restricted cash as of March 31, 2024. Current liabilities were $26.7 million as of March 31, 2024.</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on a going concern basis, which implies the Company believes these conditions raise substantial doubt about its ability to continue as a going concern within the next twelve-months from the date these unaudited condensed consolidated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 If the Company is unable raise additional funds, it may be forced to cease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28, 2024, the company raised net proceeds of $2.2 million via the issuance of common stock and prefunded warrants in a public offering through Alexander Capital and is recorded within common stock and additional paid-in capital on the Company’s unaudited condensed consolidated balance sheet. The Company intends to raise additional capital later this year to support its 2024 and 2025 funding needs. The Company also continues to make additional adjustments in headcount, salary, travel, sales and marketing spending, but there is no guarantee that these ongoing cost-cutting efforts or capital raises will be sufficient to maintain operations.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assurance that the Company will ever be profitable. The unaudited condensed consolidated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loans receivable, the valuation and recognition of stock-based compensation expense, valuation allowance for deferred tax assets, the valuation of inventory, and useful life of property and equipment. The Company bases its estimates on historical experience, known trends and other market-specific information, other relevant factors that it believes to be reasonable under the circumstances, and management’s judgement. On an ongoing basis, the Company evaluates its estimates when there are changes in circumstances, facts, and experience. Changes in estimates are recorded in the period in which they become known. Actual financial results could differ from those estimates.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evaluates its assets, including asset groups or reporting units, for impairment in accordance with U.S.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 and Loans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The composition of loan receivable, net is detailed in Note 5 - Loans Receivable. In accordance with ASC 310-10, accounts receivable and loan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and loans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marketable securities, accounts receivable, and loans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three -month period ended March 31, 2024, the Company has one customer that comprised approximately 1% of its revenue and two customers that comprised approximately 47% of its accounts receivable balance.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three -month period ended March 31, 2023, the Company has one customer that comprised approximately 11% of its revenue and two customers that comprised approximately 84% of it accounts receivable balance.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9"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a physical inventory count at least once annually at all inventory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780" w:type="dxa"/>
            <w:vAlign w:val="bottom"/>
          </w:tcPr>
          <w:p>
            <w:pPr>
              <w:spacing w:after="0"/>
              <w:rPr>
                <w:sz w:val="21"/>
                <w:szCs w:val="21"/>
                <w:color w:val="auto"/>
              </w:rPr>
            </w:pPr>
          </w:p>
        </w:tc>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Useful Life (Years)</w:t>
            </w:r>
          </w:p>
        </w:tc>
      </w:tr>
      <w:tr>
        <w:trPr>
          <w:trHeight w:val="216"/>
        </w:trPr>
        <w:tc>
          <w:tcPr>
            <w:tcW w:w="8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36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 to 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2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13</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 to 5</w:t>
            </w:r>
          </w:p>
        </w:tc>
      </w:tr>
      <w:tr>
        <w:trPr>
          <w:trHeight w:val="198"/>
        </w:trPr>
        <w:tc>
          <w:tcPr>
            <w:tcW w:w="8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46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Lower of estimated useful life</w:t>
            </w:r>
          </w:p>
        </w:tc>
      </w:tr>
      <w:tr>
        <w:trPr>
          <w:trHeight w:val="234"/>
        </w:trPr>
        <w:tc>
          <w:tcPr>
            <w:tcW w:w="878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remaining lease term</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condensed consolidated balance sheets and any resulting gain or loss is included in the condensed consolidated statements of operations in the period of retirement or disposal.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unaudited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marketable securities, accounts receivable, accounts payable, accrued expenses, warrant liabilities, and loans receivable. Refer to Note 4 - Fair Value Measures, included elsewhere in the notes to the unaudited condensed consolidated financial statements for details of the Company’s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(1) equipment sales, (2) providing services and (3) construction contracts.</w:t>
      </w:r>
    </w:p>
    <w:p>
      <w:pPr>
        <w:spacing w:after="0" w:line="22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the Company recognizes revenue from contracts with customers using a five-step model, which is described below:</w:t>
      </w:r>
    </w:p>
    <w:p>
      <w:pPr>
        <w:spacing w:after="0" w:line="16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461" w:gutter="0" w:footer="0" w:header="0"/>
        </w:sectPr>
      </w:pPr>
    </w:p>
    <w:bookmarkStart w:id="13" w:name="page14"/>
    <w:bookmarkEnd w:id="13"/>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software as a service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As of March 31, 2024 and March 31, 2023, the Company did not have any such financial income.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contract liabilities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a contract liability when consideration has been received or an amount of consideration is due from the customer, and the Company has a future obligation to transfer certain proprietary products.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maintained a reserve for warranty returns of $0.4 million and $0.4 million as of March 31, 2024 and December 31, 2023, respectively. The Company’s reserve for warranty returns is included in accrued expenses and other current liabilities in its unaudited condensed consolidated balance sheets. Additional information regarding the Company’s warranty reserve may be found in Note 3 – Supplemental Consolidated Balance Sheet Information, included elsewhere in the notes to the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Company presents basic and diluted net (loss) income per share attributable to common stockholders in conformity with the one-class method. The Company computes basic (loss) income per share by dividing net (loss) income available to common stockholders by the weighted-average number of common stock outstanding. Diluted (loss) income per share adjusts basic (loss) income per share for the potentially dilutive impact of convertible notes, stock options, restricted stock units and warrants. As the Company has reported losses for the three months ended March 31, 2023, all potentially dilutive securities including convertible notes, stock options, restricted stock units and warrants, are anti-dilutive, and accordingly, basic net loss per share equals diluted net loss per share for that period. For the three months ended March 31, 2024, the Company adjusts the net income available to common stockholders and the weighted average common stock outstanding for the effect of dilutive securities as presented within Note 13 — Net (Loss) Income Per Share.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 effected on July 5, 2023. Net loss per share was calculated based on the weighted-average number of common stock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is currently in the process of evaluating the effect of this guidance on its financial statements.</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Contract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sells its equipment and services to customers under a combination of a contract and purchase order. Equipment revenue includes sales from proprietary products designed and engineered by the Company such a VFUs, container farms, integrated grow racks, and LED grow lights, and non-proprietary products designed, engineered, and manufactured by third parties such as air cleaning systems and pesticide-free surface protection.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time-and-materials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the timing of revenue recognition: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the Company’s current contract liabilities balance for the three months ended March 31, 2024 and the year ended December 31,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18"/>
                <w:szCs w:val="18"/>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1,160</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Contract liabilities –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balances primarily consist of customer deposits on the Company’s cultivation and extraction solutions equipment. As of March 31, 2024 and December 31, 2023, all of the Company’s contract liabilities balances were reported as current liabilities in the accompanying unaudited condensed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Condensed Consolidated Balance Sheet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March 31, 2024 and December 31, 2023: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717"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The changes in the allowance for credit losses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beginning of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(Recovery of)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Accounts receivable written-off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1,887</w:t>
            </w:r>
          </w:p>
        </w:tc>
        <w:tc>
          <w:tcPr>
            <w:tcW w:w="220" w:type="dxa"/>
            <w:vAlign w:val="bottom"/>
          </w:tcPr>
          <w:p>
            <w:pPr>
              <w:spacing w:after="0"/>
              <w:rPr>
                <w:sz w:val="17"/>
                <w:szCs w:val="17"/>
                <w:color w:val="auto"/>
              </w:rPr>
            </w:pPr>
          </w:p>
        </w:tc>
        <w:tc>
          <w:tcPr>
            <w:tcW w:w="2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4,605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48"/>
        </w:trPr>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w:t>
            </w:r>
          </w:p>
        </w:tc>
        <w:tc>
          <w:tcPr>
            <w:tcW w:w="40" w:type="dxa"/>
            <w:vAlign w:val="bottom"/>
          </w:tcPr>
          <w:p>
            <w:pPr>
              <w:spacing w:after="0"/>
              <w:rPr>
                <w:sz w:val="21"/>
                <w:szCs w:val="2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7960" w:space="720"/>
            <w:col w:w="2560"/>
          </w:cols>
          <w:pgMar w:left="320" w:top="873" w:right="339" w:bottom="717"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March 31, 2024 and December 31, 2023: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other</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settlement asset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in the fourth quarter of the year ended December 31, 2023 a prepaid settlement asset in connection with the Modification and Settlement Agreement entered into with Mack Molding Co. as described in detail within Note 14 — Commitments and Contingencies. This amount represents the value of warrants to be issued to Mack Molding Co. upon satisfaction of the terms of the settlement agreement and one $500 thousand prepayment to Mack Molding Co. During the quarter ended March 31, 2024, the conditions of the agreement were met and the prepaid settlement asset was derecognized and recorded into gain on settlement of contingent liabilities upon the closing of the settlement.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March 31, 2024 and December 31, 2023: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w:t>
            </w: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 gross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7,685</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7,328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7,734</w:t>
            </w: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2024 and 2023 was $0.4 million and $0.4 million, respectively, and included within general and administrative, selling and marketing, and research and development depending on the nature of the related property and equipment.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Construction in Progress (“CIP”) includes all direct and indirect costs related to the construction, development, or acquisition of tangible property and equipment that is not yet ready for use. All costs incurred during the construction phase are accumulated in the CIP account. Costs remain in the CIP account until the asset is substantially complete and ready for its intended use. Once the asset is ready for use, the total accumulated costs are transferred from the CIP account to the appropriate property and equipment account. The asset is then depreciated over its estimated useful life from the date it is placed into service. CIP is reviewed regularly to ensure that all costs are accurate and that the project is progressing as planned. Any indication of impairment is assessed, and if the carrying amount exceeds the recoverable amount, an impairment loss is recognized.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property and equipment in exchange for proceeds of $105,000, resulting in a gain of $144,000. During the year ended December 31, 2023, the Company retired certain fully depreciated property and equipment which had an original cost of $444,000.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 (1)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vMerge w:val="continue"/>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acquisition liabilities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Resulting from the 2021 acquisitions of Precision Extraction Newco, LLC (“Precision”) and Cascade Sciences, LLC (“Cascade”) from Sinclair Scientific, LLC (“Sinclair”), the Company withheld from the transaction shares issuable to Precision and Cascade for the purpose of securing any post-closing adjustment owed to the Company and any claim for indemnification or payment of damages to which the Company may be entitled under the purchase agreement. The accrued acquisition liabilities as of December 31, 2023 represent the value of this held back Common Stock at the price per share at the time of the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60" w:gutter="0" w:footer="0" w:header="0"/>
        </w:sectPr>
      </w:pPr>
    </w:p>
    <w:bookmarkStart w:id="18" w:name="page19"/>
    <w:bookmarkEnd w:id="1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June 15, 2023, the Company and its wholly-owned subsidiary, Precision, filed an Amended Verified Complaint in the Court of Chancery of the State of Delaware against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Pursuant to a Settlement and Release Agreement, dated December 14, 2023, the Company and Sinclair dismissed all legal claims and entered into a settlement for an undisclosed amount. As a result of this settlement, the Company derecognized the accrued acquisition liability and issued the held back Common Stock in the first quarter of 2024 at Agrify’s price per share at the time of issuance. The difference between the value of the shares at issuance and the derecognized liabilities was recorded as a gain within change in contingent consideration within the Company’s condensed and consolidated statement of operations for the three months ended March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40" w:right="1680"/>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2024 and December 31, 2023, the Company’s assets and liabilities measured at fair value on a recurring basis were as follows:</w:t>
      </w:r>
    </w:p>
    <w:p>
      <w:pPr>
        <w:sectPr>
          <w:pgSz w:w="11900" w:h="16838" w:orient="portrait"/>
          <w:cols w:equalWidth="0" w:num="1">
            <w:col w:w="11240"/>
          </w:cols>
          <w:pgMar w:left="320" w:top="877" w:right="339" w:bottom="798" w:gutter="0" w:footer="0" w:header="0"/>
        </w:sectPr>
      </w:pPr>
    </w:p>
    <w:p>
      <w:pPr>
        <w:spacing w:after="0" w:line="235"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19685</wp:posOffset>
            </wp:positionV>
            <wp:extent cx="27432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3200" cy="17145"/>
                    </a:xfrm>
                    <a:prstGeom prst="rect">
                      <a:avLst/>
                    </a:prstGeom>
                    <a:noFill/>
                  </pic:spPr>
                </pic:pic>
              </a:graphicData>
            </a:graphic>
          </wp:anchor>
        </w:drawing>
      </w:r>
    </w:p>
    <w:p>
      <w:pPr>
        <w:spacing w:after="0" w:line="16" w:lineRule="exact"/>
        <w:rPr>
          <w:sz w:val="20"/>
          <w:szCs w:val="20"/>
          <w:color w:val="auto"/>
        </w:rPr>
      </w:pPr>
    </w:p>
    <w:p>
      <w:pPr>
        <w:jc w:val="center"/>
        <w:ind w:left="248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19685</wp:posOffset>
            </wp:positionV>
            <wp:extent cx="2674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Fair Value Measurements Using Input Types</w:t>
      </w:r>
    </w:p>
    <w:p>
      <w:pPr>
        <w:spacing w:after="0" w:line="43" w:lineRule="exact"/>
        <w:rPr>
          <w:sz w:val="20"/>
          <w:szCs w:val="20"/>
          <w:color w:val="auto"/>
        </w:rPr>
      </w:pPr>
    </w:p>
    <w:p>
      <w:pPr>
        <w:sectPr>
          <w:pgSz w:w="11900" w:h="16838" w:orient="portrait"/>
          <w:cols w:equalWidth="0" w:num="2">
            <w:col w:w="6600" w:space="720"/>
            <w:col w:w="3920"/>
          </w:cols>
          <w:pgMar w:left="320" w:top="877" w:right="339" w:bottom="798"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liabilities - January</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liabilities - March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liabilities - August</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liabilities - December</w:t>
            </w:r>
          </w:p>
        </w:tc>
        <w:tc>
          <w:tcPr>
            <w:tcW w:w="1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warrants</w:t>
            </w:r>
          </w:p>
        </w:tc>
        <w:tc>
          <w:tcPr>
            <w:tcW w:w="1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marketable securities, accounts receivable, loans receivable, accounts payable, accrued expenses, contingent consideration, operating lease liabilities, long-term debt, related party debt, and warrant liabilities. Fair value information for each of these instruments as well as other balances of the Company are as follows:</w:t>
      </w:r>
    </w:p>
    <w:p>
      <w:pPr>
        <w:spacing w:after="0" w:line="176"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receivable, accounts payable, and accrued expenses approximate their fair value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classified as current held-to-maturity securities are recorded at amortized cost, which at March 31, 2024 and December 31, 2023, approximated fair value.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receivable are presented net of an allowance for estimated credit losses, which approximates fair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98" w:gutter="0" w:footer="0" w:header="0"/>
          <w:type w:val="continuous"/>
        </w:sectPr>
      </w:pPr>
    </w:p>
    <w:bookmarkStart w:id="19" w:name="page20"/>
    <w:bookmarkEnd w:id="19"/>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contingent consideration was recorded in connection with acquisitions during the three months ended March 31, 2024 and fiscal 2023 using an estimated fair value discount at the time of the transactions. As of March 31, 2024 and December 31, 2023, the carrying value of the contingent consideration approximated fair value.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Long-term debt and related party debt, including the debt that has undergone troubled debt restructuring, is carried at amortized cost, dictated by the prevailing market interest rates at the time of each transaction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 held investments in money market funds. They are valued using quoted market prices in active markets and are classified under Level 1 within the fair value hierarchy. The fair value of the Company’s money market funds as of March 31, 2024 and December 31, 2023 is $4 thousand for both years,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March 31, 2024 and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valuations as of March 31, 2024 and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January</w:t>
            </w:r>
          </w:p>
        </w:tc>
        <w:tc>
          <w:tcPr>
            <w:tcW w:w="16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March</w:t>
            </w:r>
          </w:p>
        </w:tc>
        <w:tc>
          <w:tcPr>
            <w:tcW w:w="14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rPr>
              <w:t>August</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i w:val="1"/>
                <w:iCs w:val="1"/>
                <w:color w:val="auto"/>
                <w:w w:val="98"/>
              </w:rPr>
              <w:t>December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January</w:t>
            </w:r>
          </w:p>
        </w:tc>
        <w:tc>
          <w:tcPr>
            <w:tcW w:w="140" w:type="dxa"/>
            <w:vAlign w:val="bottom"/>
          </w:tcPr>
          <w:p>
            <w:pPr>
              <w:spacing w:after="0"/>
              <w:rPr>
                <w:sz w:val="18"/>
                <w:szCs w:val="18"/>
                <w:color w:val="auto"/>
              </w:rPr>
            </w:pPr>
          </w:p>
        </w:tc>
        <w:tc>
          <w:tcPr>
            <w:tcW w:w="10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March</w:t>
            </w:r>
          </w:p>
        </w:tc>
        <w:tc>
          <w:tcPr>
            <w:tcW w:w="16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7"/>
              </w:rPr>
              <w:t>August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8"/>
              </w:rPr>
              <w:t>December</w:t>
            </w:r>
          </w:p>
        </w:tc>
      </w:tr>
      <w:tr>
        <w:trPr>
          <w:trHeight w:val="216"/>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6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40" w:type="dxa"/>
            <w:vAlign w:val="bottom"/>
          </w:tcPr>
          <w:p>
            <w:pPr>
              <w:spacing w:after="0"/>
              <w:rPr>
                <w:sz w:val="18"/>
                <w:szCs w:val="18"/>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6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40" w:type="dxa"/>
            <w:vAlign w:val="bottom"/>
          </w:tcPr>
          <w:p>
            <w:pPr>
              <w:spacing w:after="0"/>
              <w:rPr>
                <w:sz w:val="18"/>
                <w:szCs w:val="18"/>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60" w:type="dxa"/>
            <w:vAlign w:val="bottom"/>
          </w:tcPr>
          <w:p>
            <w:pPr>
              <w:spacing w:after="0"/>
              <w:rPr>
                <w:sz w:val="18"/>
                <w:szCs w:val="18"/>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160" w:type="dxa"/>
            <w:vAlign w:val="bottom"/>
          </w:tcPr>
          <w:p>
            <w:pPr>
              <w:spacing w:after="0"/>
              <w:rPr>
                <w:sz w:val="18"/>
                <w:szCs w:val="18"/>
                <w:color w:val="auto"/>
              </w:rPr>
            </w:pPr>
          </w:p>
        </w:tc>
      </w:tr>
      <w:tr>
        <w:trPr>
          <w:trHeight w:val="245"/>
        </w:trPr>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c>
          <w:tcPr>
            <w:tcW w:w="160" w:type="dxa"/>
            <w:vAlign w:val="bottom"/>
          </w:tcPr>
          <w:p>
            <w:pPr>
              <w:spacing w:after="0"/>
              <w:rPr>
                <w:sz w:val="21"/>
                <w:szCs w:val="21"/>
                <w:color w:val="auto"/>
              </w:rPr>
            </w:pPr>
          </w:p>
        </w:tc>
        <w:tc>
          <w:tcPr>
            <w:tcW w:w="10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140" w:type="dxa"/>
            <w:vAlign w:val="bottom"/>
          </w:tcPr>
          <w:p>
            <w:pPr>
              <w:spacing w:after="0"/>
              <w:rPr>
                <w:sz w:val="21"/>
                <w:szCs w:val="21"/>
                <w:color w:val="auto"/>
              </w:rPr>
            </w:pPr>
          </w:p>
        </w:tc>
        <w:tc>
          <w:tcPr>
            <w:tcW w:w="10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c>
          <w:tcPr>
            <w:tcW w:w="160" w:type="dxa"/>
            <w:vAlign w:val="bottom"/>
          </w:tcPr>
          <w:p>
            <w:pPr>
              <w:spacing w:after="0"/>
              <w:rPr>
                <w:sz w:val="21"/>
                <w:szCs w:val="2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c>
          <w:tcPr>
            <w:tcW w:w="140" w:type="dxa"/>
            <w:vAlign w:val="bottom"/>
          </w:tcPr>
          <w:p>
            <w:pPr>
              <w:spacing w:after="0"/>
              <w:rPr>
                <w:sz w:val="21"/>
                <w:szCs w:val="21"/>
                <w:color w:val="auto"/>
              </w:rPr>
            </w:pPr>
          </w:p>
        </w:tc>
        <w:tc>
          <w:tcPr>
            <w:tcW w:w="10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c>
          <w:tcPr>
            <w:tcW w:w="160" w:type="dxa"/>
            <w:vAlign w:val="bottom"/>
          </w:tcPr>
          <w:p>
            <w:pPr>
              <w:spacing w:after="0"/>
              <w:rPr>
                <w:sz w:val="21"/>
                <w:szCs w:val="21"/>
                <w:color w:val="auto"/>
              </w:rPr>
            </w:pPr>
          </w:p>
        </w:tc>
        <w:tc>
          <w:tcPr>
            <w:tcW w:w="9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i w:val="1"/>
                <w:iCs w:val="1"/>
                <w:color w:val="auto"/>
                <w:w w:val="97"/>
              </w:rPr>
              <w:t>Warrants</w:t>
            </w: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Warrants</w:t>
            </w:r>
          </w:p>
        </w:tc>
      </w:tr>
      <w:tr>
        <w:trPr>
          <w:trHeight w:val="223"/>
        </w:trPr>
        <w:tc>
          <w:tcPr>
            <w:tcW w:w="21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136.00%</w:t>
            </w:r>
          </w:p>
        </w:tc>
      </w:tr>
      <w:tr>
        <w:trPr>
          <w:trHeight w:val="198"/>
        </w:trPr>
        <w:tc>
          <w:tcPr>
            <w:tcW w:w="2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Discount rate - treasury</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yield</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months ended March 31, 2024 and for the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portion of the capital raised from the Company’s IPO was allocated to launch the Company’s TTK Solution program.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Cultivation, Inc. (“Bud &amp; Mary’s”) - Customer 139</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initial payment date on the loan receivable from Bud &amp; Mary’s is the first business day of the first full month following the commencement of commercial products sales and the maturity date is 24 months from the initial payment date. The interest rate is 16% per annum.</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Q3 2022, Agrify became aware that Bud &amp; Mary’s was not in compliance with all debt covenants as defined in the loan agreement which resulted in Agrify issuing a loan acceleration letter to Bud &amp; Mary’s on September 15, 2022, demanding full repayment of the construction loan under the loan agreement dated May 12, 2021. Consequently, the Company established a reserve of $14.7 million specifically related to Bud &amp; Mary’s. As of March 31, 2024 the allowance related to Bud &amp; Mary’s was reduced to $14.4 million, reflecting a recovery of allowance for credit losses resulting from a loan repayment of $330 thousand that was previously included in the allowance.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Hannah Industries (“Hannah”) - Customer 125</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was unable to provide additional financing to Hannah Industries under the TTK Solution program to complete the build out and development of Hannah’s cultivation business. As a result, the Company concluded that the existing receivable due from Hannah was impaired as of this date. Given the uncertainty around the customer’s ability to repay the outstanding balance of the loan as well as the absence of value attributed to any collateral from Hannah, an allowance for credit losses was recognized for 50% of the total outstanding receivable balance as of December 31, 2022. The Company recognized an allowance for credit losses related to the Hannah loan receivable in the amount of $4.5 million as of December 31, 2022. In October 2023, the Company remitted an additional $250 thousand to Hannah under the TTK Solution program, on which an allowance was not recorded. Therefore the allowance on the Hannah loan remains at $4.5 million as of March 31, 2024.</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project is completed, the customer will begin making monthly payments based on the harvest.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Holistics (“Tree house”) - Customer 24096</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March 2024, Nevada Holistics has a current balance of $692 due in relation to the TTK loan. The project went live in Q2 2023. After the 90 day period for the first harvest, the customer was given an additional 6-month grace period which ended in Q1 2024. Upon completion of this grace period, the Company began invoicing the customer each month for a portion of the outstanding loan balance. The borrower will begin making monthly payments in Q2 2024 based on what is produced through harvests. Monthly payments are calculated based off of the Production Success Fees (‘PSF”) generated from each harvest. Upon issuance of each invoice, that portion of the loan is reclassified into loan receivable, current on the unaudited condensed 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breakdown of loans receivable by customer as of March 31, 2024 and December 31, 2023 were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125</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24096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6,810</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(18,885)</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(19,215)</w:t>
            </w:r>
          </w:p>
        </w:tc>
      </w:tr>
      <w:tr>
        <w:trPr>
          <w:trHeight w:val="236"/>
        </w:trPr>
        <w:tc>
          <w:tcPr>
            <w:tcW w:w="86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loan receivable, net of allowance for credit losses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loan receivable, net of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10,891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11,583</w:t>
            </w: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applied to the purchase of products once they are delivered.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March 31, 2024 and December 31, 2023: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7,438</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for resale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gross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(17,184)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(17,599)</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inventory,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18,648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19,094</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inventory reserves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17,599</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Company’s debt consisted of:</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CP Acquisitions Note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CP Acquisitions Junior Secured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GIC Acquisition Note</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related party debt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Related party debt, net of 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18,683</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(4,444</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Note</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Note</w:t>
            </w:r>
          </w:p>
        </w:tc>
        <w:tc>
          <w:tcPr>
            <w:tcW w:w="44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PPP Loan</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8"/>
                <w:szCs w:val="18"/>
                <w:color w:val="auto"/>
              </w:rPr>
            </w:pPr>
          </w:p>
        </w:tc>
      </w:tr>
      <w:tr>
        <w:trPr>
          <w:trHeight w:val="256"/>
        </w:trPr>
        <w:tc>
          <w:tcPr>
            <w:tcW w:w="868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Other notes payable </w:t>
            </w:r>
            <w:r>
              <w:rPr>
                <w:rFonts w:ascii="Times New Roman" w:cs="Times New Roman" w:eastAsia="Times New Roman" w:hAnsi="Times New Roman"/>
                <w:sz w:val="29"/>
                <w:szCs w:val="29"/>
                <w:color w:val="auto"/>
                <w:vertAlign w:val="superscript"/>
              </w:rPr>
              <w:t>(1)</w:t>
            </w:r>
          </w:p>
        </w:tc>
        <w:tc>
          <w:tcPr>
            <w:tcW w:w="440" w:type="dxa"/>
            <w:vAlign w:val="bottom"/>
          </w:tcPr>
          <w:p>
            <w:pPr>
              <w:spacing w:after="0"/>
              <w:rPr>
                <w:sz w:val="22"/>
                <w:szCs w:val="22"/>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22"/>
                <w:szCs w:val="22"/>
                <w:color w:val="auto"/>
              </w:rPr>
            </w:pPr>
          </w:p>
        </w:tc>
      </w:tr>
      <w:tr>
        <w:trPr>
          <w:trHeight w:val="249"/>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debt premium</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743</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16,813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4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16,047</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notes payable relates to a one-year insurance premium that was financed over nine-months and incurred interest expense of approximately $7 thousand for the three months ended March 31, 2024. Other notes payable also includes the Navitas Loan with a balance of $5 thousand as of March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the Company and ranks senior to all indebtedness of the Company.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Lender was entitled to a cash sweep of 20% of the proceeds received by the Company in connection with any equity financing, which will reduce the outstanding principal amount under the Exchange Note.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as a result of the Exchange Agreement, the Company issued a Convertible Note to Lender with a principal balance of $10 million. The Convertible Note bears a 9.0% annualized interest rate, with interest to be paid monthly, in cash, beginning April 1, 2023. The principal amount of the Convertible Note will be payable on the Maturity Date, provided that the Lender was entitled to a cash sweep of 30% of the proceeds of any at-the-market equity offering and 20% of the proceeds received by the Company in connection with any other equity financing, which would reduce the outstanding principal amount under the August 2022 Note or the Convertible Note.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Lender had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Convertible Note imposed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Lender can elect to redeem the Convertible Note for cash equal to (A) 115% of the then-outstanding principal amount of the Convertible Note (or such lesser principal amount accelerated by the Lender),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Lender had,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Lender elected to convert the Convertible Note, the conversion price per share would be $7.64, subject to customary adjustments for certain corporate events. The conversion of the Convertible Note will be subject to certain customary conditions. The Convertible Note may not be converted into shares of Common Stock if such conversion would result in the Lender and its affiliates owning an aggregate of in excess of 4.99% of the then-outstanding shares of Common Stock, provided that upon 61 days’ notice, such ownership limitation may be adjusted by the Lender, but in any case, to no greater than 9.99%.</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the determined embedded features are not required to be bifurcated and separately measured at fair value.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interest expense related to the Convertible Note and Exchange Note described above was $116 thousand as of March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Conversion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Exchange Agreement the Company entered into with the Lender on March 8, 2023, the Lender elected, on April 26, 2023, to convert $1.6 million of the remaining outstanding principal amount on the Convertible Note for 153,617 shares of Common Stock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 2023, the Company entered into a letter agreement with the above referenced accredited Lender (the “Letter Agreement”), pursuant to which the Company and the Lender agreed to exchange or redeem $2.0 million of the remaining outstanding principal amount under the Exchange Note for a total of 445,196 shares of Common Stock of the Company, subject to a Beneficial Ownership Limitation of 4.99% of the Company’s Common Stock. Due to the Beneficial Ownership Limitation of 4.99%, a total of 69,568 shares of Common Stock of the Company were issued to the Lender, with the remaining 375,629 shares held in abeyance until the balance (or portion thereof) may be issued in compliance with such limitations. As a result, the Company recognized a loss on the redemption of approximately $12 thousand.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aggregated Exchange Note and Convertible Note is classified as long-term as of March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Forgiveness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30, 2023, the New Lender agreed to forgive $1.0 million of the principal amount outstanding on the Convertible Note (the “Principal Forgiveness”). The Principal Forgiveness was accounted for as a troubled debt restructuring under ASC 470, as 1) the Company was determined to be experiencing financial difficulties as defined by the ASC, and 2) the Principal Forgiveness was deemed a concession by the New Lender. Per ASC 470-60-35-5, a debtor in a troubled debt restructuring involving only modification of terms of a payable (i.e., not involving a transfer of assets or grant of an equity interest) shall account for the effects of the restructuring prospectively from the time of restructuring and shall not change the carrying amount of the payable at the time of the restructuring unless the carrying amount exceeds the total future cash payments specified by the new terms. As the future undiscounted cash flows were greater than or equal to the net carrying value of the original debt, the carrying amount of the debt at the time of the restructuring was not changed.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Acquisitions Junior Secured Note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CP Acquisitions LLC (the “New Lender” or “CP”), an entity affiliated with and controlled by the Company’s Chief Executive Officer, purchased the Exchange Note and the Convertible Note from their holder (the “Note Purchase”). In connection with the Note Purchase, the New Lender has agreed to waive any events of default under the acquired notes through December 31, 2023. As part of the same transaction, the Company issued a junior secured promissory note (the “Junior Secured Note”) to the New Lender. Pursuant to the Junior Secured Note, the New Lender will lend up to $3.0 million to the Company. The Junior Secured Note bears interest at a rate of 10% per annum, will mature in full on December 31, 2023, and may be prepaid without any fee or penalty. On December 4, 2023, the New Lender and the Company amended and restated the Junior Secured Note agreement. Pursuant to the terms of the amendment, the maximum principal amount that may be loaned by CP to the Company was increased to $4.0 million and extended the maturity date thereon to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CP Acquisitions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January 25, 2024, the Company and the New Lender consolidated the outstanding principal and interest due under the Junior Secured Note and the Exchange Note as well as the interest due under the Convertible Note into the Convertible Note (collectively, with the Junior Secured Note and the Exchange Note, the “Consolidated Notes”), and amended and restated the Convertible Note under a Senior Secured Amended, Restated, and Consolidated Convertible Note agreement (the “Restated Note”) having a total outstanding principal of $18,717,973 (the “New Lender Debt Consolidation”). The Restated Note bears interest at a rate of 10% per annum and will mature in full on December 31, 2025. The Company may redeem all or a portion not less than $5.0 million of principal at any time at a price equal to 102.5% of the redeemed principal amount plus accrued but unpaid interest.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Restated Note imposes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Restricted Note occurs, then the then outstanding principal and all accrued and unpaid interest on the Restated Note will immediately become due and payable.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New Lender elects to convert the Restated Note, the conversion price per share will be $1.46, subject to customary adjustments for certain corporate events. The conversion of the Restated Note will be subject to certain customary conditions. The Restated Note may not be converted into shares of Common Stock if such conversion would result in the New Lender and its affiliates owning an aggregate of in excess of 49.99% of the then-outstanding shares of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execution of the Restated Note, the New Lender elected to convert approximately $3.9 million of outstanding principal into an aggregate of 2,671,633 shares of common stock (the “January Conversion”) having a fair value of approximately $1.7 million. As the January Conversion was exercised by the New Lender in conjunction and in connection with the Debt Consolidation, the two transactions combined were considered a modification of the total debt outstanding with the New Lender (the “New Lender Debt Restructuring”).</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New Lender Debt Restructuring was accounted for as a troubled debt restructuring under ASC 470, as 1) the Company was determined to be experiencing financial difficulties as defined by the ASC, and 2) the New Lender Debt Restructuring was deemed to result in a concession by the New Lender. The Company performed a comparison of the undiscounted cash flows associated with the Restructured Note subsequent to the New Lender Debt Restructuring to the carrying value of the Consolidated Notes as of the New Lender Debt Restructuring date. The net carrying value of the Consolidated Notes was determined to exceed the undiscounted future cash flows of the Restated Note after consideration of the January Conversion by approximately $675,000 (the “Excess Carrying Value”). The Restated Note was thus written down to the amount of the undiscounted future cash flows on the Restated Note from the New Lender Restructuring date to maturity. Further, as the New Lender is a related party of the Company, the Excess Carrying Value was accounted for as a capital transaction and no gain or loss was recognized related to the restructuring.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33"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GIC Acquisition Note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12, 2023, the Board of Directors of the Company approved the issuance of an unsecured promissory note (the “Related Party Note”) in favor of GIC Acquisition, LLC (“GIC”), an entity that is owned and managed by the Company’s Chairman and Chief Executive Officer. Pursuant to the Related Party Note, GIC is obligated to lend up to $0.5 million to the Company, $0.3 million of which was delivered at issuance and the remaining $0.2 million delivered on July 31, 2023. The Related Party Note bears interest at a rate of 10% per annum, will mature in full on August 6, 2023, and may be prepaid without any fee or penalty. The Related Party Note ranks junior to all existing secured indebtedness of the Company. On October 27, 2023, the maturity date of the Related Party Note was subsequently amended to December 31, 2024 at which point principal and accrued interest will be repaid in full. Interest expense incurred on the Related Party Note amounted to approximately $24 thousand for the three months ended March 31, 2024. As of March 31, 2024, the Company has borrowed approximately $1.0 million under the Related Party Note agreement.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March 31, 2024, future minimum payments on all debt positions were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2,487</w:t>
            </w:r>
          </w:p>
        </w:tc>
      </w:tr>
      <w:tr>
        <w:trPr>
          <w:trHeight w:val="237"/>
        </w:trPr>
        <w:tc>
          <w:tcPr>
            <w:tcW w:w="9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19,426</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unaudited condensed consolidated balance sheets.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Company’s used its incremental borrowing rate as the discount rate for purposes of determining the present value of its lease liabilities. The Company’s incremental borrowing rate was determined using the interest rate on a long term debt position entered into at approximately the same time and for the same duration as the lease. At March 31, 2024 and December 31, 2023, the Company’s weighted-average discount rate utilized for its leases was 7.50% and 7.51%,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As of March 31, 2024 the Company had no active finance leases.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non-cancellable operating leases for corporate offices, warehouses, showrooms, research and development facilities and vehicles. The Company’s leases have remaining lease terms of one year to four years, some of which include options to extend. Some leases include payment for communal area maintenance associated with the property.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vMerge w:val="continue"/>
            <w:shd w:val="clear" w:color="auto" w:fill="CCEEFF"/>
          </w:tcPr>
          <w:p>
            <w:pPr>
              <w:spacing w:after="0"/>
              <w:rPr>
                <w:sz w:val="21"/>
                <w:szCs w:val="21"/>
                <w:color w:val="auto"/>
              </w:rPr>
            </w:pPr>
          </w:p>
        </w:tc>
        <w:tc>
          <w:tcPr>
            <w:tcW w:w="48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2.85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3.09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7.51%</w:t>
            </w: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Right-of-use, net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8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liabilities, current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198"/>
        </w:trPr>
        <w:tc>
          <w:tcPr>
            <w:tcW w:w="6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non-current</w:t>
            </w: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Operating lease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liabilities, non-current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7"/>
        </w:trPr>
        <w:tc>
          <w:tcPr>
            <w:tcW w:w="6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80" w:type="dxa"/>
            <w:vAlign w:val="bottom"/>
            <w:gridSpan w:val="2"/>
            <w:vMerge w:val="continue"/>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2024 are as follows:</w:t>
            </w: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88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lease</w:t>
            </w:r>
          </w:p>
        </w:tc>
        <w:tc>
          <w:tcPr>
            <w:tcW w:w="0" w:type="dxa"/>
            <w:vAlign w:val="bottom"/>
          </w:tcPr>
          <w:p>
            <w:pPr>
              <w:spacing w:after="0"/>
              <w:rPr>
                <w:sz w:val="1"/>
                <w:szCs w:val="1"/>
                <w:color w:val="auto"/>
              </w:rPr>
            </w:pPr>
          </w:p>
        </w:tc>
      </w:tr>
      <w:tr>
        <w:trPr>
          <w:trHeight w:val="216"/>
        </w:trPr>
        <w:tc>
          <w:tcPr>
            <w:tcW w:w="6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2024</w:t>
            </w: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6"/>
        </w:trPr>
        <w:tc>
          <w:tcPr>
            <w:tcW w:w="6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discount</w:t>
            </w:r>
          </w:p>
        </w:tc>
        <w:tc>
          <w:tcPr>
            <w:tcW w:w="1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27, 2024, the Company entered into a placement agency agreement (the “Agency Agreement”) with Alexander Capital, LP as placement agent (the “Placement Agent”), pursuant to which the Company agreed to issue and sell an aggregate of 2,760,000 shares of its common stock, and, in lieu of common stock to certain investors that so chose, pre-funded warrants to purchase 3,963,684 shares of its common stock (the “S-1 Offering”). The public offering price for each share of common stock is $0.38, and the offering price for each Pre-Funded Warrant is $0.379, which equals the public offering price per share of the common stock, less the $0.001 per share exercise price of each Pre-Funded Warrant.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issued 67,237 warrants to purchase common stock to Alexander Capital, L.P., referred to as the Placement Agents Warrants above. The warrants were classified as equity warrants and recorded under additional paid-in capital in the unaudited condensed consolidated balance sheets. The warrants have a five-year term and exercise price of 100% of the offering price, and are subject to adjustment for stock splits, reverse stock splits, stock dividends, and similar transactions. The warrants will be exercisable on a cash basis, unless there is not an effective registration statement covering the issuance of the shares issuable upon exercise of the warrants or if shareholder approval for the full exercise of the warrants are not received, in which case the Modified Warrant will also be exercisable on a cashless exercise basis at Alexander Capital election.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measurement of fair value of the Alexander Capital Warrants were determined utilizing a Black-Scholes model considering all relevant assumptions current at the date of issuance (i.e., share price of $0.52, exercise price of $0.38, term of five years, volatility of 128%, risk-free rate of 4.32%, and expected dividend rate of 0%). The grant date fair value of these Alexander Capital Warrants was estimated to be $31 thousand on February 27, 2024 and is reflected within additional paid-in capital as of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and 250,000 additional shares issued upon approval by the Board of Directors on January 8, 2024. Shares will be deemed to have been issued under the 2022 Plan solely to the extent actually issued and delivered pursuant to an award. The 2022 Plan shall continue in effect, unless sooner terminated, until the tenth anniversary of the date on which it is adopted by the Board of Directors. As of March 31, 2024, there were 57,719 shares of Common Stock available to be granted under the Company’s 2022 Plan.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stock compensation expense was $0.5 million and $0.9 million for the three months ended March 31, 2024 and 2023,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there were no options granted, exercised, forfeited or expired under the Company’s stock option plans. There were 10,310 options outstanding with a weighted average exercise price of $1,595.92 as of March 31, 2024 and December 31, 2023. There were 10,206 options vested and exercisable with a weighted average exercise price of $1,594.66 as of March 31, 2024. There were 10,310 options vested and expected to vest with a weighted average exercise price of $1,595.92 as of March 31, 2024</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unvested options under the Company’s 2022 Plan was $1.5 thousand, which is expected to be recognized over a weighted average period of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2,842</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4,270</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expected to vest after March 31,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Vested and Expected to Vest</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560" w:type="dxa"/>
            <w:vAlign w:val="bottom"/>
          </w:tcPr>
          <w:p>
            <w:pPr>
              <w:spacing w:after="0"/>
              <w:rPr>
                <w:sz w:val="21"/>
                <w:szCs w:val="21"/>
                <w:color w:val="auto"/>
              </w:rPr>
            </w:pPr>
          </w:p>
        </w:tc>
        <w:tc>
          <w:tcPr>
            <w:tcW w:w="240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60" w:type="dxa"/>
            <w:vAlign w:val="bottom"/>
          </w:tcPr>
          <w:p>
            <w:pPr>
              <w:spacing w:after="0"/>
              <w:rPr>
                <w:sz w:val="21"/>
                <w:szCs w:val="21"/>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2,856</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4,270</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under the 2022 Plan for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201,938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2024</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unvested restricted stock units was $139 thousand, which is expected to be recognized over a weighted average period of 1.12 years.</w:t>
      </w:r>
    </w:p>
    <w:p>
      <w:pPr>
        <w:sectPr>
          <w:pgSz w:w="11900" w:h="16838" w:orient="portrait"/>
          <w:cols w:equalWidth="0" w:num="1">
            <w:col w:w="11240"/>
          </w:cols>
          <w:pgMar w:left="320" w:top="877"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present all warrant activity of the Company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5,380,299</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10.83</w:t>
            </w: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4,030,921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(6,142,217)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3,265,922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8200" w:space="480"/>
            <w:col w:w="2560"/>
          </w:cols>
          <w:pgMar w:left="320" w:top="877"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The Company received proceeds from the exercise of warrants of $3 thousand for the three months ended March 31, 2024.</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is both 0% for the three months ended March 31, 2024 and 2023, respectively. There were no provisions for (benefits from) income taxes for both years, respectively. There is no difference between the Company’s effective tax rates for the 2024 and 2023 periods. There was no change in the provision for (benefit from) income taxes for the three months ended March 31, 2024 compared to the three months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Loss Per Share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(loss) income per share calculations for all periods have been adjusted to reflect the Company’s reverse stock splits. Net (loss) income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net (loss) income per share is calculated using the weighted-average number of Common Stock outstanding during the periods. Diluted net loss per share is computed by giving effect to all potential shares of Common Stock, including convertible notes, outstanding stock options, stock related to unvested restricted stock units, and outstanding warrants to the extent dilutive. Net loss per share, assuming dilution, is equal to basic net loss per share for the three months ended March 31, 2024 and 2023 because the effect of dilutive securities outstanding during the periods, including convertible notes, options, restricted stock units and warrants computed using the treasury stock method, is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2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 for diluted EPS - net (loss) income available to common stockholders after assumed conversions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on convertible notes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Numerator for diluted EPS - net (loss) income available to common stockholders after assumed conversions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8680" w:type="dxa"/>
            <w:vAlign w:val="bottom"/>
            <w:gridSpan w:val="2"/>
            <w:vMerge w:val="continue"/>
          </w:tcPr>
          <w:p>
            <w:pPr>
              <w:spacing w:after="0"/>
              <w:rPr>
                <w:sz w:val="24"/>
                <w:szCs w:val="24"/>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Denominator for basic EPS - weighted-average common stock outstanding</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8,894,229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1,072,292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11,066,376</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for diluted EPS - adjusted weighted-average common stock outstanding and assumed conversions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19,960,605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loss (income) per share attributable to common stockholders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(income) per share attributable to common stockholders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2024, the Company had convertible notes outstanding with a principal balance of approximately $14.8 million convertible into 10,332,411 shares of Common Stock. During the three months ended March 31, 2024, the Company also converted a portion of the convertible notes into 2,671,633 shares of Common Stock. Given the nominal exercise price of the Company’s issuance of Pre-funded Warrants, such Pre-funded Warrants are included in in the calculation of basic net (loss) income per share and weighted for the period outstanding from issuance to March 31, 2024. The exercise price per warrant is deemed non-substantive when compared to the fair value of the underlying common shares. In determination of the denominator for diluted EPS for the three months ended March 31, 2024, the Company assumed conversion of the 2,671,633 shares of Common Stock as of the beginning of the period, January 1, 2024, eliminating the weighting of the shares from issuance to March 31, 2024. The Company also included in the denominator for diluted EPS for the three months ended March 31, 2024, the assumed conversion of 10,332,411 shares of Common Stock related to the convertible notes.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each of the periods presented, the Company’s potential dilutive securities, which include stock options, restricted stock units, and warrants, have been excluded from the computation of basic and diluted net (loss) income per share with the exception of the Pre-funded Warrants, or penny warrants, which are included in the computation, as detailed above. The weighted-average number of Common Shares outstanding used to calculate both basic and diluted net loss per share attributable to Common Stockholders is the same for the three months ended March 31, 2023.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  </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3,265,922</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1,495,001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3,277,963</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1,511,870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and Agrify will be permitted to make responsive filings, which may include an answer and counterclaim.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(the “Bowdoin Complaint”) in the Superior Court of Massachusetts in Norfolk County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$6.3 million is included in accounts payable in the unaudited condensed consolidated balance sheet. One of Bowdoin’s subs, Hannon Electric, Inc. has filed a separate suit against Agrify in the amount of $1.498 million. The amount is part of the $6.3 million claimed in Bowdoin’s complaint. The Company is entitled to indemnification by Bud &amp; Mary’s and intends to vigorously defend this claim.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 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recognized a contingent liability in the amount of $8.4 million, representing an estimate of the amount payable to Mack with respect to the original Mack purchase agreement, and which was included in accounts payable in the unaudited condensed consolidated balance sheet. On March 2, 2023, Mack filed an arbitration action seeking the amounts owed to Mack for purchased inventory. On October 27, 2023, and effective as of October 18, 2023, Mack and the Company entered into a Modification and Settlement Agreement (the “Modification Agreement”) with respect to the dispute rather than engaging in litigation through the courts.</w:t>
      </w:r>
    </w:p>
    <w:p>
      <w:pPr>
        <w:spacing w:after="0" w:line="19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29, 2024, the Company met its contractual obligations under the terms of the Modification Agreement. In settlement of the dispute, the Company made cash payments of $500,000 and $250,000 to Mack and issued to Mack a warrant to purchase 750,000 shares of the Company’s Common Stock. In the first quarter of 2024, management derecognized the previously recognized contingent liability, resulting in a credit of approximately $5.9 million, recorded within gain on settlement of contingent liabilities, on the unaudited condensed consolidated statement of operations during the three months ended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7"/>
          <w:szCs w:val="17"/>
          <w:color w:val="auto"/>
        </w:rPr>
        <w:t>In December 2021, the Company entered into a Standard Form of Agreement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Company terminated Valiant as the general contractor for, among other allegations, breach of contract and unjust enrichment. Following the termination of Valiant, in October 2022, the Agreement was assigned and accepted (the “Assignment”) to Agxion, LLC, a wholly owned subsidiary of the Company. The Assignment contemplates that, as a subcontractor to the Agreement, McCutchan is still bound to the subcontract agreement and will continue construction operations on the Project. The Company is pursuing Valiant in a separate litigation (the “Valiant Litigation”) to collect no less than approximately $1.4 million alleging overbilling, breach of the Agreement, and violation of Chapter 18.27 and 19.86 RCW in Washington. On March 5, 2024, McCutchan, Inc.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Agreement. In the alternative, McCutchan is alleging the Assignment is void and not a valid contract. McCutchan is seeking to collect no less than $3 million against the Company and all other named defendants. The Company, Valiant, and</w:t>
      </w:r>
    </w:p>
    <w:p>
      <w:pPr>
        <w:spacing w:after="0" w:line="1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McCutchan have all agreed to mediate the matter. McCutchan has asked to postpone the original scheduled May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mediation date, and the Company, Valiant and McCutchan are collectively working to set up a new three-way mediation date. In the event the parties cannot reach an agreement in the mediation, this matter will be moved to arbitration pursuant to the mandatory arbitration clause in the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Valiant Group LLC</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Agrify filed a separate complaint against Valiant for overbilling, misrepresentation, and breach for the Treehouse project in Nevada. Valiant has failed to respond and Agrify has since submitted an entry of default to the court and is currently seeking for award in the amount of $1.5 million. However, there is no guarantee that the Court would award the full amount and no guarantee that Agrify would be able to successfully collect the full amount from Valiant.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2023, the Company settled a legal dispute with a specific customer which resulted in the recognition of a gain of approximately $0.9 million, of which $0.3 million was paid in October 2023, with the remaining approximate $0.6 million to be paid in equal monthly installments, beginning in January, 2024. This gain was recognized as part of other income, net per the unaudited condensed consolidated statement of operations for the three months ended March 31, 2024, with the approximate $0.9 million receivable balance recognized as part of prepaid expenses and other current assets, per the unaudited condensed consolidated balance sheet, as of March 31, 2024. The settlement also resulted in the return of equipment to the Company in October 2023.</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pursuing 10 separate legal proceedings in attempting to collect approximately $2.5 million outstanding receivables. The Company is not confident that all legal proceedings and collection efforts will yield in positive results or return of equipment.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25, 2024, Medical Investor Holdings, LLC dba Vertical Companies (“MIH”) filed a complaint against Agrify demanding $288,000. MIH purchased an XMU hydrocarbon extraction system from Precision in October 2021. MIH chose to not include installation and training in the original purchase but is now having problems with this equipment. The Company this is a meritless case.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also a defendant or plaintiff in a variety of other litigation matters that are individually insignificant. The timing and amount of any settlements, including potential payments made or received, is uncertain. Nonetheless, management currently estimates that the Company’s aggregate net loss exposure with respect to these cases is within the range of approximately $150,000 to $300,000.</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2022, claimant, an ex-sales VP is claiming he is owed back wages, commission and is entitled to equity in the company, under theories of liability under Massachusetts labor laws including retaliation, breach of contract, breach of covenant of good faith and fair dealing, fraudulent inducement, tortious interference &amp; unjust enrichment. Company has filed its answer to the initial complaint in January 2023. The Company believes this is a meritless case and has responded to various discovery requests.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Modification Agreement with Mack referenced above resulted in the Company entering a purchase commitment with Mack where it is contractually obligated to purchase a minimum of 25 VFUs per quarter for each quarter during 2024 and a minimum of 50 VFUs per quarter for the six quarters beginning with the first quarter of 2025, at a per VFU price of $14,000. The Company made payment and took collection of 25 VFUs in the second quarter of 2024. The Company has also granted Mack a second lien position on all Agrify assets.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also required to pay a storage fee of $25,000 to Mack, per month, for VFU parts subject to the Modification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7 – Debt, included elsewhere in the notes to the unaudited condensed consolidated financial statements for details of the Company’s future minimum debt payments. Refer to Note 8 – Leases, included elsewhere in the notes to the unaudited condensed consolidated financial statements for details of the Company’s future minimum lease payments under operating and financing lease liabilities. Refer to Note 12 – Income Taxes, included elsewhere in the notes to the unaudited condensed consolidated financial statements for information regarding income tax contingencies.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Note 15 —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8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120" w:type="dxa"/>
            <w:vAlign w:val="bottom"/>
          </w:tcPr>
          <w:p>
            <w:pPr>
              <w:spacing w:after="0"/>
              <w:rPr>
                <w:sz w:val="18"/>
                <w:szCs w:val="18"/>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Greenstone Holdings</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8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 receivable as of March 31, 2024 and December 31, 2023:</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1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in favor of GIC Acquisition, LLC, an entity that is owned and managed by the Company’s Chairman and Chief Executive Officer. Refer to Note 7 - Debt for further disclosure related to this Related Party Note.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27, 2023, CP Acquisitions LLC, an entity affiliated with and controlled by Company’s Chairman and Chief Executive Officer, purchased the Exchange Note and the Convertible Note. In addition, the Company issued to CP a Junior Secured Note. Refer to Note 7 - Debt for further disclosure related to this Related Party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Company Issued Prefunded Warrants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2024, a holder of 953,684 of the Company’s previously issued prefunded warrants exercised such warrants for the purchase of 953,684 of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Contributions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CP Acquisitions LLC made cash contributions to the Company from the ongoing CP note payable, in the amounts of $350 thousand and $175 thousand on July 24, 2024 and August 7,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on Form 10-Q is intended to update the information contained in our Annual Report on Form 10-K for the year ended December 31, 2023 filed with the Securities and Exchange Commission on April 15, 2024, as amended on April 29, 2024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our Annual Report on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developer of proprietary precision hardware and software grow solutions for the indoor commercial agriculture industry and provides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Billerica, Massachusetts. We also lease properties located within various geographic regions in which we conduct business, including Colorado, Georgia, Massachusetts, Michigan, and Oregon.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beginning of 2023, we announced a strategic plan to foster sustainable long-term growth through cost efficiencies and enhanced sales and growth initiatives. We have been focused on growing our cultivation business by helping our existing Agrify Total Turn-Key customers to bring their facilities online and driving additional sales through our RDP. As a result, we have successfully installed and commenced our Las Vegas customer, Nevada Holistic Medicine, our Denver Colorado customer, Denver Greens, and signed several new customers such as Golden Lake Business Park in California, and Harvest Works in New Jersey. As a testimony to the Vertical Farming Unit’s (“VFU”) ability to produce high quality flower, Nevada Holistic Medicine is already consistently harvesting 9 pounds of A-grade flower per VFU, or roughly 64 grams per canopy square foot, and seeing 90%+ A-grade flower produced with exceptional color, trichome, and terpene levels.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Similarly, since we have streamlined our expansive extraction portfolio of technologies, we have successfully supported the deployment of several turnkey solvent-based and solventless extraction packages to customers in California, Michigan, and the East Coast. In addition, we have released several new technologies and products into the market based on customer feedback, including our first peer-reviewed Cannabeast 13 Distillation Unit, a Diamond Miner, Stitch-less Double Filtration Rosin Bags, and the revamped PX30 Hydrocarbon Extractor. We have also made significant strides to receive UL Compliance for Precision Extractions’ EXP Explosion Proof Rooms in an effort to continue our commitment to safety and quality within cannabis extraction facilities.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industry developments illustrate the continuous innovation, and commitment to safety within the cannabis sector as our company adapts to evolving market demands. More importantly, our growing partnership across the Country is a strong testimony to operators’ continued trust in Agrify’s team and technologies in the most competitive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Amendment, Consolidation and Conversion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Notices and Hearing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was subsequently extended to May 15, 2024. As a result, there can be no assurance that we can regain compliance by the end of the extension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the Nasdaq Stock Market under Nasdaq Listing Rule 5550(a)(2) (the “Minimum Bid Requirement”). The Notice had no immediate effect on the listing of our common stock on Nasdaq. In accordance with Nasdaq Listing Rule 5810(c)(3)(A), we have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this period pursuant to Nasdaq Listing Rule 5810(c)(3)(H). The compliance period for us will expire on September 3, 2024.</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 placement agency agreement with Alexander Capital, LP as placement agent, pursuant to which we agreed to issue and sell an aggregate of 2,760,000 shares of common stock, and, in lieu of common stock to certain investors that so chose, pre-funded warrants to purchase 3,963,684 shares of common stock. The public offering price for each share of common stock was $0.38, and the offering price for each pre-funded warrant was $0.379, which equals the public offering price per share of the common stock, less the $0.001 per share exercise price of each pre-funded warrant. The Offering was made pursuant to a registration statement on Form S-1 that we filed with the Securities and Exchange Commission on January 26, 2024 and was declared effective on February 14, 2024. Raymond Chang, our Chairman and Chief Executive Officer, participated in the offering on the same terms as other investors. The net proceeds from the public offering were approximately $2.2 million, after deducting placement agent fees and commissions and expenses. The public offering closed on February 28,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U.S. GAAP. The preparation of financial statements in conformity with U.S. GAAP requires us to make estimates and assumptions that affect the amounts reported in the financial statements and accompanying notes. On an ongoing basis, we evaluate estimates,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following sources: (1) equipment sales, (2) providing services and (3) construction contracts.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three months ended March 31, 2024 and 2023, we did not have any such financial income.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contract liabilities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contract liabilities when consideration has been received or an amount of consideration is due from the customer, and we have a future obligation to transfer certain proprietary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capitalize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32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$0 and $46 from related parties, respectively)</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2,433</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(5,935)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long-term debt, net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8"/>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Agrify Corporation</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 basic (1)</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 (1)</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8,894,229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19,960,605</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software, facility build-outs and extraction equipment and solutions. We believe that our product mix form an integrated ecosystem which allows us to be engaged with our potential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for the three months ended March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Insights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59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decreased by $3.2 million, or 55% for the three months ended March 31, 2024 compared to the same period in 2023. The comparative decrease in revenue was generated primarily from decreases in revenue from facility build-outs and extraction solutions. Extraction division revenues totaled $2.5 million in the first quarter of 2024. Additionally, design and build revenues decreased by $0.6 million due to the discontinued build-out of facilities under our TTK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for the three months ended March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gridSpan w:val="2"/>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(1,925)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5940" w:type="dxa"/>
            <w:vAlign w:val="bottom"/>
            <w:tcBorders>
              <w:top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decreased by $2.4 million, or 49%, for the three months ended March 31, 2024 compared to the same period in 2023. The comparative quarterly decrease in cost of goods sold is associated with decreases in cost of goods sold related to facility build-outs and extraction solutions.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4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c>
          <w:tcPr>
            <w:tcW w:w="320" w:type="dxa"/>
            <w:vAlign w:val="bottom"/>
          </w:tcPr>
          <w:p>
            <w:pPr>
              <w:spacing w:after="0"/>
              <w:rPr>
                <w:sz w:val="21"/>
                <w:szCs w:val="21"/>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165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profit totaled $0.2 million, or 6.4% of total revenue during the three months ended March 31, 2024 compared to a gross loss of $1.0 million, or 17% of total revenue during the three months ended March 31, 2023. The comparative $0.8 million first-quarter year over year decrease in gross profit, as well as the comparative decrease in gross profit margin, is primarily attributable to a smaller decrease in costs of goods sold relative to the decrease in revenue for the period. During the first quarter of 2024, we realized a gross profit margin of 33% associated with our extraction solutions revenue, while we realized a gross profit margin of approximately (824)% on our cultivation-related revenues.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 forward-looking basis, with the full year benefit of anticipated margin contribution associated with the extraction-related revenue contributions, the Company anticipates that gross margin performance, aided by our extraction-related equipment sales, will be in a mid-teens range. We anticipate that we will be able to improve upon that expected gross profit margin performance once we are able to generate meaningful software and production fee revenues from our TTK Solutions, which we currently expect to begin in the late third or early fourth quarter of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240" w:type="dxa"/>
            <w:vAlign w:val="bottom"/>
          </w:tcPr>
          <w:p>
            <w:pPr>
              <w:spacing w:after="0"/>
              <w:rPr>
                <w:sz w:val="20"/>
                <w:szCs w:val="20"/>
                <w:color w:val="auto"/>
              </w:rPr>
            </w:pPr>
          </w:p>
        </w:tc>
        <w:tc>
          <w:tcPr>
            <w:tcW w:w="2420" w:type="dxa"/>
            <w:vAlign w:val="bottom"/>
            <w:gridSpan w:val="5"/>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c>
          <w:tcPr>
            <w:tcW w:w="320" w:type="dxa"/>
            <w:vAlign w:val="bottom"/>
          </w:tcPr>
          <w:p>
            <w:pPr>
              <w:spacing w:after="0"/>
              <w:rPr>
                <w:sz w:val="21"/>
                <w:szCs w:val="21"/>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G&amp;A expense decreased by $2.8 million, or 41%, for the three months ended March 31, 2024, compared to the same period in 2023. The decrease is attributable to payroll, benefits and related expenses decrease of $1.8 million, a decrease in consulting and other related expenses of $0.3 million, a decrease in insurance expenses of $0.5 million, a decrease in legal expense of $0.2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1"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consisted primarily of costs incurred for the development of our Agrify Insights software, next generation VFUs, and new extraction technology and methodology, which includes:</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the subcontractor under agreements to provide engineering work related to the development of our Agrify Insights software and next generation VFUs;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R&amp;D expense decreased by $0.5 million, or 63%, for the three months ended March 31, 2024, compared to the same period in 2023. The decrease is attributable to the reduction in personnel, outsourced consulting and materials purchased.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continue to invest in future developments of our VFUs, Agrify Insights software and our extraction products. As a percentage of net revenue, R&amp;D expenses were 10.6% of total revenue for the three months ended March 31, 2024, compared to 12.7% for the three months ended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5"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of personnel, travel expenses, trade shows and advertising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decreased by $1.1 million, or 71%, for the three months ended March 31, 2024, compared to the same period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attributable to a decrease in payroll, advertising, and trade show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settlement of contingent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the Company met its contractual obligations under the terms of a modification agreement with a vendor, Mack Moldings. In settlement of the dispute, the Company made cash payments of $500,000 and $250,000 to Mack and issued to Mack a warrant to purchase 750,000 shares of the Company’s Common Stock. In the first quarter of 2024, management derecognized the previously recognized contingent liability, resulting in a credit of approximately $5.9 million, recorded within gain on settlement of contingent liabilities, on the unaudited condensed consolidated statement of operations during the three months ended March 31, 2024.</w:t>
      </w:r>
    </w:p>
    <w:p>
      <w:pPr>
        <w:sectPr>
          <w:pgSz w:w="11900" w:h="16838" w:orient="portrait"/>
          <w:cols w:equalWidth="0" w:num="1">
            <w:col w:w="11240"/>
          </w:cols>
          <w:pgMar w:left="320" w:top="877"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98"/>
        </w:trPr>
        <w:tc>
          <w:tcPr>
            <w:tcW w:w="24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(799)</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699</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(87)</w:t>
            </w:r>
          </w:p>
        </w:tc>
        <w:tc>
          <w:tcPr>
            <w:tcW w:w="2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8"/>
        </w:trPr>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(4,620)</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line="20" w:lineRule="exact"/>
              <w:rPr>
                <w:sz w:val="1"/>
                <w:szCs w:val="1"/>
                <w:color w:val="auto"/>
              </w:rPr>
            </w:pPr>
          </w:p>
        </w:tc>
      </w:tr>
      <w:tr>
        <w:trPr>
          <w:trHeight w:val="25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-496570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-205105</wp:posOffset>
            </wp:positionV>
            <wp:extent cx="713232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-788035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20" w:space="720"/>
            <w:col w:w="5300"/>
          </w:cols>
          <w:pgMar w:left="320" w:top="877" w:right="339" w:bottom="1440" w:gutter="0" w:footer="0" w:header="0"/>
          <w:type w:val="continuous"/>
        </w:sect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decreased by $0.7 million, or 87%, for the three months ended March 31, 2024, compared to the same period in 2023. The decrease in interest expense is attributable mainly to the decrease in principal balance on outstanding loans.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during the three months ended March 31, 2024 for 1.8 million is related to the fair value remeasurement of warrants issued during March, August, and December,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44" w:name="page45"/>
    <w:bookmarkEnd w:id="4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2024, our principal sources of liquidity were cash and cash equivalents and marketable securities totaling $0.1 million. Our current working capital needs are to support revenue growth, to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the Former Lender.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18, 2022, we entered into a Securities Exchange Agreement. Pursuant to the August 2022 Exchange Agreement, we partially paid $35.2 million along with approximately $300 thousand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8, 2023, we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 is a senior secured obligation and will rank senior to all of our indebtedness. The Convertible Note will mature on August 19, 2025 (the “Maturity Date”) and has a 9.0% annualized interest rate, with interest to be paid monthly, in cash. The principal amount of the Convertible Note will be payable on the maturity date, provided that the lender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5" w:name="page46"/>
    <w:bookmarkEnd w:id="4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three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2,324</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(9,307)</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incurred a net loss of $4.24 million, which included $0.4 million related to depreciation and amortization, $0.5 million of stock based compensation expense, and $0.9 million related to the change in fair value of warrant liabilities. Net cash was reduced by changes in operating assets and liabilities of $0.8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we incurred a net loss of $10.3 million, which included $0.4 million related to depreciation and amortization, $0.9 million of stock based compensation expense, and $2.7 million related to the change in fair value of warrant liabilities. Net cash was reduced by changes in operating assets and liabilities of $2.4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used in investing activities was $328.0 thousand, which resulted from cash outflows of $2.0 thousand for purchases of property and equipment.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net cash provided by investing activities was $9.8 million, which included cash outflows of $0.1 million in net purchases of property, plant and equipment and $0.6 million in issuances of notes receivable and cash inflows of $10.4 million related to proceeds from sales of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financing activities was $2.3 million. Net cash provided by financing activities was primarily driven by repayments of notes payable of $0.2 million and proceeds from the issuance of common stock and warrants of $2.1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net cash used in financing activities was $9.3 million. Net cash used in financing activities was primarily driven by repayments of notes payable of $10.8 and offset by proceeds from at-the-market offerings of $1.5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consolidated financial statements, which have been prepared in accordance with U.S. GAAP. The preparation of these consolidated financial statements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may differ from these estimates under different assumptions or conditions.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consolidated financial statements are detailed in Note 1 - Overview, Basis of Presentation and Significant Accounting Policies included in our 2023 Annual Report and Note 1 - Overview, Basis of Presentation and Significant Accounting Policies to our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are included within Note 1 - Overview, Basis of Presentation and Significant Accounting Policies, included elsewhere in the notes to consolidated financial statements covered under Part I, Item 1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are included within Note 1 - Overview, Basis of Presentation and Significant Accounting Policies, included elsewhere in the notes to consolidated financial statements covered under Part I, Item 1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17 C.F.R. § 229.10, the Company is not required to provide information required by this Item.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Principal Financial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Chief Executive Officer carried out an evaluation of the effectiveness of the design and operation of our disclosure controls and procedures as of March 31, 2024.</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identified errors in the accounting for a settlement agreement entered into with a vendor. Therefore, the Company restated it’s unaudited condensed financial statements as of and for the period ended March 31, 2024. Based on the evaluation, and further supported by the error identified and associated restatement, our Chief Executive Officer and Principal Financial Officer concluded that, due to the material weaknesses in our internal control over financial reporting previously identified in Item 9A, “Controls and Procedures” of our Annual Report on Form 10-K for the fiscal year ended December 31, 2023 and filed with the SEC on April 15, 2024, as amended on April 29, 2024 our disclosure controls and procedures were not effective at the reasonable assurance level as of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implementing certain measures to remediate the material weaknesses identified in the design and operation of our internal control over financial reporting, including hiring additional qualified personnel, further documentation and implementation of control procedures and the implementation of control monitoring. Other than those measures, there have been no changes in our internal control over financial reporting (as such term is defined in Rules 13a-15(f) and 15d-15(f) under the Exchange Act) during the quarter ended March 31, 2024 that have materially affected, or are reasonably likely to materially affect,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Proceedings in Note 14 - Commitments and Contingencies to our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are no material changes to our risk factors as previously disclosed in Part I, Item 1A of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Certificate of Amendment to Articles of Incorporation of Agrify Corporation, filed January 22, 2024 (incorporated by reference to Exhibit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4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Company’s Current Report on Form 8-K filed with the Securities and Exchange Commission on January 25, 2024).</w:t>
              </w:r>
            </w:hyperlink>
          </w:p>
        </w:tc>
        <w:tc>
          <w:tcPr>
            <w:tcW w:w="106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gridSpan w:val="11"/>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Senior Secured Amended, Restated and Consolidated Convertible Note dated January 25, 2024 (incorporated by reference to Exhibit 4.1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the Company’s Current Report on Form 8-K filed with the Securities and Exchange Commission on January 25, 2024).</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Pre-Funded Warrant (incorporated by reference to Exhibit 4.21 to Amendment No. 1 to the Company’s Registration Statement on</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S-1 filed with the Securities and Exchange Commission on February 8, 2024).</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Placement Agent Warrant (incorporated by reference to Exhibit 4.22 to Amendment No. 2 to the Company’s Registration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Statement on Form S-1 filed with the Securities and Exchange Commission on February 14, 2024).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Agrify 2022 Omnibus Equity Incentive Plan, as amended (incorporated by reference to Appendix A to the Company’s Definitive Proxy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Statement on Schedule 14A filed with the Securities and Exchange Commission on December 18, 2023).</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Term Sheet between Nature’s Miracle Holding Inc. and Agrify Corporation (incorporated by reference to Exhibit 10.1 to the Company’s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1"/>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Current Report on Form 8-K filed with the Securities and Exchange Commission on April 22, 2024).</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Term Sheet between Nature’s Miracle Holding Inc., CP Acquisitions LLC and GIC Acquisition, LLC (incorporated by reference to Exhibit</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Company’s Current Report on Form 8-K filed with the Securities and Exchange Commission on April 22, 2024).</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tcPr>
          <w:p>
            <w:pPr>
              <w:spacing w:after="0"/>
              <w:rPr>
                <w:sz w:val="15"/>
                <w:szCs w:val="15"/>
                <w:color w:val="auto"/>
              </w:rPr>
            </w:pPr>
          </w:p>
        </w:tc>
        <w:tc>
          <w:tcPr>
            <w:tcW w:w="89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executive officer and principal financial and accounting officer</w:t>
            </w:r>
          </w:p>
        </w:tc>
        <w:tc>
          <w:tcPr>
            <w:tcW w:w="1160" w:type="dxa"/>
            <w:vAlign w:val="bottom"/>
            <w:tcBorders>
              <w:top w:val="single" w:sz="8" w:color="CCEEFF"/>
            </w:tcBorders>
            <w:gridSpan w:val="3"/>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executive officer and principal financial and accounting officer</w:t>
            </w:r>
          </w:p>
        </w:tc>
        <w:tc>
          <w:tcPr>
            <w:tcW w:w="2740" w:type="dxa"/>
            <w:vAlign w:val="bottom"/>
            <w:tcBorders>
              <w:bottom w:val="single" w:sz="8" w:color="CCEEFF"/>
            </w:tcBorders>
            <w:gridSpan w:val="7"/>
            <w:shd w:val="clear" w:color="auto" w:fill="CCEEFF"/>
          </w:tcPr>
          <w:p>
            <w:pPr>
              <w:spacing w:after="0"/>
              <w:rPr>
                <w:sz w:val="17"/>
                <w:szCs w:val="17"/>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520" w:firstLine="8"/>
        <w:spacing w:after="0" w:line="490" w:lineRule="auto"/>
        <w:tabs>
          <w:tab w:leader="none" w:pos="11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 (b)(32) of Regulation S-K.</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7" w:lineRule="exact"/>
        <w:rPr>
          <w:sz w:val="20"/>
          <w:szCs w:val="20"/>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677"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Chang, certify that:</w:t>
      </w:r>
    </w:p>
    <w:p>
      <w:pPr>
        <w:spacing w:after="0" w:line="225"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Quarterly Report on Form 10-Q of Agrify Corporation (the “Company”) for the quarterly period ended March 31, 2024;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200" w:type="dxa"/>
            <w:vAlign w:val="bottom"/>
          </w:tcPr>
          <w:p>
            <w:pPr>
              <w:spacing w:after="0"/>
              <w:rPr>
                <w:sz w:val="17"/>
                <w:szCs w:val="17"/>
                <w:color w:val="auto"/>
              </w:rPr>
            </w:pPr>
          </w:p>
        </w:tc>
        <w:tc>
          <w:tcPr>
            <w:tcW w:w="312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20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Amendment No. 1 to the Quarterly Report on Form 10-Q of Agrify Corporation (the “Company”) for the quarterly period ended March 31, 2024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200" w:type="dxa"/>
            <w:vAlign w:val="bottom"/>
          </w:tcPr>
          <w:p>
            <w:pPr>
              <w:spacing w:after="0"/>
              <w:rPr>
                <w:sz w:val="17"/>
                <w:szCs w:val="17"/>
                <w:color w:val="auto"/>
              </w:rPr>
            </w:pPr>
          </w:p>
        </w:tc>
        <w:tc>
          <w:tcPr>
            <w:tcW w:w="3120" w:type="dxa"/>
            <w:vAlign w:val="bottom"/>
          </w:tcPr>
          <w:p>
            <w:pPr>
              <w:ind w:left="25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200" w:type="dxa"/>
            <w:vAlign w:val="bottom"/>
          </w:tcPr>
          <w:p>
            <w:pPr>
              <w:spacing w:after="0"/>
              <w:rPr>
                <w:sz w:val="18"/>
                <w:szCs w:val="18"/>
                <w:color w:val="auto"/>
              </w:rPr>
            </w:pPr>
          </w:p>
        </w:tc>
        <w:tc>
          <w:tcPr>
            <w:tcW w:w="31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73" Type="http://schemas.openxmlformats.org/officeDocument/2006/relationships/hyperlink" Target="https://www.sec.gov/Archives/edgar/data/1800637/000121390024006275/ea192155ex3-1_agrify.htm" TargetMode="External"/><Relationship Id="rId74" Type="http://schemas.openxmlformats.org/officeDocument/2006/relationships/hyperlink" Target="https://www.sec.gov/Archives/edgar/data/1800637/000121390024006275/ea192155ex4-1_agrify.htm" TargetMode="External"/><Relationship Id="rId75" Type="http://schemas.openxmlformats.org/officeDocument/2006/relationships/hyperlink" Target="https://www.sec.gov/Archives/edgar/data/1800637/000121390024011247/fs12024a1ex4-21_agrifycorp.htm" TargetMode="External"/><Relationship Id="rId76" Type="http://schemas.openxmlformats.org/officeDocument/2006/relationships/hyperlink" Target="https://www.sec.gov/Archives/edgar/data/1800637/000121390024013681/fs12024a2ex4-22_agrifycorp.htm" TargetMode="External"/><Relationship Id="rId77" Type="http://schemas.openxmlformats.org/officeDocument/2006/relationships/hyperlink" Target="https://www.sec.gov/Archives/edgar/data/1800637/000121390023096287/def14a1223_agrifycorp.htm#T9921" TargetMode="External"/><Relationship Id="rId78" Type="http://schemas.openxmlformats.org/officeDocument/2006/relationships/hyperlink" Target="https://www.sec.gov/Archives/edgar/data/1800637/000121390024034983/ea020430401ex10-1_agrifycorp.htm" TargetMode="External"/><Relationship Id="rId79" Type="http://schemas.openxmlformats.org/officeDocument/2006/relationships/hyperlink" Target="https://www.sec.gov/Archives/edgar/data/1800637/000121390024034983/ea020430401ex10-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2024-08-14T16:04:19Z</dcterms:created>
  <dcterms:modified xsi:type="dcterms:W3CDTF">2024-08-14T16:04:19Z</dcterms:modified>
</cp:coreProperties>
</file>