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60" w:type="dxa"/>
            <w:vAlign w:val="bottom"/>
          </w:tcPr>
          <w:p>
            <w:pPr>
              <w:spacing w:after="0"/>
              <w:rPr>
                <w:sz w:val="18"/>
                <w:szCs w:val="18"/>
                <w:color w:val="auto"/>
              </w:rPr>
            </w:pPr>
          </w:p>
        </w:tc>
      </w:tr>
      <w:tr>
        <w:trPr>
          <w:trHeight w:val="238"/>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6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4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2024</w:t>
            </w:r>
          </w:p>
        </w:tc>
        <w:tc>
          <w:tcPr>
            <w:tcW w:w="3260" w:type="dxa"/>
            <w:vAlign w:val="bottom"/>
          </w:tcPr>
          <w:p>
            <w:pPr>
              <w:spacing w:after="0"/>
              <w:rPr>
                <w:sz w:val="24"/>
                <w:szCs w:val="24"/>
                <w:color w:val="auto"/>
              </w:rPr>
            </w:pPr>
          </w:p>
        </w:tc>
      </w:tr>
      <w:tr>
        <w:trPr>
          <w:trHeight w:val="414"/>
        </w:trPr>
        <w:tc>
          <w:tcPr>
            <w:tcW w:w="3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6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0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240" w:type="dxa"/>
            <w:vAlign w:val="bottom"/>
            <w:tcBorders>
              <w:top w:val="single" w:sz="8" w:color="auto"/>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260" w:type="dxa"/>
            <w:vAlign w:val="bottom"/>
          </w:tcPr>
          <w:p>
            <w:pPr>
              <w:spacing w:after="0"/>
              <w:rPr>
                <w:sz w:val="24"/>
                <w:szCs w:val="24"/>
                <w:color w:val="auto"/>
              </w:rPr>
            </w:pPr>
          </w:p>
        </w:tc>
      </w:tr>
      <w:tr>
        <w:trPr>
          <w:trHeight w:val="245"/>
        </w:trPr>
        <w:tc>
          <w:tcPr>
            <w:tcW w:w="3240" w:type="dxa"/>
            <w:vAlign w:val="bottom"/>
            <w:tcBorders>
              <w:bottom w:val="single" w:sz="8" w:color="auto"/>
            </w:tcBorders>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40" w:type="dxa"/>
            <w:vAlign w:val="bottom"/>
            <w:gridSpan w:val="3"/>
          </w:tcPr>
          <w:p>
            <w:pPr>
              <w:spacing w:after="0"/>
              <w:rPr>
                <w:sz w:val="20"/>
                <w:szCs w:val="20"/>
                <w:color w:val="auto"/>
              </w:rPr>
            </w:pPr>
          </w:p>
        </w:tc>
        <w:tc>
          <w:tcPr>
            <w:tcW w:w="326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Convertible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January 25, 2024, Agrify Corporation (the “Company”) and CP Acquisitions, LLC (“CP”), an entity affiliated with and controlled by Raymond Chang, the Chief Executive Officer of the Company and a member of its Board of Directors (the “Board”), and I-Tseng Jenny Chan, a member of the Board, agreed to amend, restate and consolidate certain outstanding notes held by CP into a Senior Secured Amended, Restated and Consolidated Convertible Note (the “Convertible Note”).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2024, the Company and CP entered into an amendment to the Convertible Note (the “CP Note Amendment”), pursuant to which CP may elect, in lieu of shares of common stock issuable upon conversion of the Convertible Note, to instead receive pre-funded warrants (“Pre-Funded Warrants”). The conversion price applicable to the Pre-Funded Warrants will remain unchanged at $1.46.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were exercisable upon issuance, will expire when the applicable warrant is exercised in full, and are exercisable on a cash basis or, if there is no effective registration statement registering the resale of the underlying shares of common stock, on a cashless exercise basis at CP’s discretion.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provide that each time the Company consummates any bona fide equity financing with the primary purpose of raising capital, then the number of shares of common stock underlying the Pre-Funded Warrants will be increased (the “Adjustment Provision”) to an amount equal to (i) the amount of the Convertible Note that was originally converted into the applicable Pre-Funded Warrants divided by (ii) the purchase or conversion price in the equity financing transaction, subject to proportional adjustment in the event the Pre-Funded Warrant has been partially exercised. The Adjustment Provision will not be effective unless and until it is approved by stockholders of the Company pursuant to Nasdaq Listing Rule 5635.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following the execution of the CP Note Amendment, CP elected to convert $11.5 million of outstanding principal into a Pre-Funded Warrant exercisable at issuance for up to 7,876,712 shares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Junior Secured Promissory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July 12, 2023, the Company issued an unsecured promissory note with an original principal amount of $500,000 in favor of GIC Acquisition LLC (“GIC”), an entity that is indirectly owned and managed by Mr. Chang, and on October 27, 2023, GIC and the Company amended and restated the note to extend the maturity date to December 31, 2023, and to grant a security interest in the Company’s assets that ranks junior to the Convertible Note (the “Junior Note”). As previously reported, on January 25, 2024, GIC and the Company amended and restated the Junior Note to increase the principal amount thereunder to $1.0 million and to extend the maturity date until June 30,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2024, GIC and the Company amended and restated the Junior Note (the “Restated Junior Note”) to increase the aggregate principal amount to approximately $2.29 million, extend the maturity date to December 31, 2025, and provide that the Junior Note may be converted into common stock of the Company or, at GIC’s election, Pre-Funded Warrants, in each case at a conversion price of $0.31.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the execution of the Restated Junior Note, GIC elected to convert all of the outstanding principal and accrued but unpaid interest under the Restated Junior Note into a Pre-Funded Warrant exercisable at issuance for up to 7,383,053 shares of common stock. The Pre-Funded Warrant includes an Adjustment Provision, subject to stockholder approval pursuant to Nasdaq Listing Rule 5635.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CP Note Amendment, the form of Pre-Funded Warrant, and the Restated Junior Note do not purport to be complete, and are qualified in their entirety by reference to copies of the CP Note Amendment, the form of Pre-Funded Warrant, and the Restated Junior Note, which are filed as Exhibits 4.1, 4.2, and 4.3 hereto,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CP Note Amendment and the Restated Junior Note is incorporated herein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December 1, 2023, the Company received a notice from Nasdaq stating that the Company was no longer in compliance with Nasdaq Listing Rule 5550(b)(1) (the “Listing Rule”), which requires that listed companies maintain a minimum of $2.5 million in stockholders’ equity. In response, the Company timely requested a hearing before a Nasdaq Hearings Panel (the “Panel”). On January 30, 2024, the Company received formal notice that the Panel had granted the Company’s request for an exception through April 15, 2024, to evidence compliance with the Listing Rule, which exception was subsequently extended through May 22,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conversion of the Convertible Note and the Restated Junior Note as set forth in Item 1.01 above, the Company believes it has stockholders’ equity of at least $2.5 million as of the date of this filing, as required by the Listing Rule.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amendment of the Convertible Note, the restatement of the Restated Junior Note, and the issuance of the Pre-Funded Warrants upon conversion of the Convertible Note and the Restated Junior Note is incorporated herein by reference into this Item 3.02.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 the Restated Junior Note, and the shares of common stock and/or Pre-Funded Warrants underlying such notes (collectively, the “Securities”) were, and will be, offered and sold in transactions exempt from registration under the Securities Act in reliance on Section 4(a)(2) thereof and Rule 506(b) of Regulation D thereunder. Each of CP and GIC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shares of common stock, notes, or any other securities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22, 2024, the Company issued a press release announcing the note conversion as set forth in Item 1.01 and the Company’s belief that it is in compliance with the Listing Rule as set forth in Item 3.01 of this Current Report on Form 8-K. The full text of the press release is filed as Exhibit 99.1 to this Current Report on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and Exhibit 99.1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shall not be incorporated by reference into any filing with the SEC made by the Company, whether made before or after the date hereof,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U.S. securities laws with respect to the Company’s compliance with Nasdaq listing rules, other future plans and intentions, or other future events. These forward-looking statements generally are identified by words such as “will,” “intend,” “should,” “plan,” or similar statements, reflect management’s current beliefs and assumptions and are based on the information currently available to management.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For additional details on the uncertainties that may cause our actual results to be materially different than those expressed in our forward-looking statements, please review the most recent Annual Reports on Form 10-K filed by the Company with the Securities and Exchange Commission at www.sec.gov, particularly the information contained in the sections entitled “Risk Factors.” Forward-looking statements speak only as of the date on which they are made, and the Company does not assume any obligation to update or revise any forward-looking statements or other information contained herein, whether as a result of new information, future events or otherwise. You are cautioned not to put undue reliance on these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No. 1 to Senior Secured Amended, Restated and Consolidated Convertible Note between Agrify Corporation and CP</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Acquisitions, LLC</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Third Amended and Restated Junior Secured Convertible Promissory Note dated as of May 21, 2024</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72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May 22, 2024</w:t>
            </w:r>
          </w:p>
        </w:tc>
        <w:tc>
          <w:tcPr>
            <w:tcW w:w="2840" w:type="dxa"/>
            <w:vAlign w:val="bottom"/>
            <w:tcBorders>
              <w:top w:val="single" w:sz="8" w:color="CCEE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22, 2024</w:t>
      </w:r>
      <w:r>
        <w:rPr>
          <w:sz w:val="20"/>
          <w:szCs w:val="20"/>
          <w:color w:val="auto"/>
        </w:rPr>
        <w:tab/>
      </w:r>
      <w:r>
        <w:rPr>
          <w:rFonts w:ascii="Times New Roman" w:cs="Times New Roman" w:eastAsia="Times New Roman" w:hAnsi="Times New Roman"/>
          <w:sz w:val="18"/>
          <w:szCs w:val="18"/>
          <w:color w:val="auto"/>
        </w:rPr>
        <w:t>By: /s/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AMENDED, RESTATED AND CONSOLIDATED CONVERTIBLE NOTE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TO SENIOR SECURED AMENDED, RESTATED AND CONSOLIDATED CONVERTIBLE NOTE, dated as of May 21,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among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CP Acquisitions, LLC, a Delaware limited liability company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issued to Holder a senior secured amended, restated and consolidated convertible note with an aggregate original principal amount of $18,900,583.71 (as amended, supplemented or otherwise modified from time to time,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Holder desire to modify certain of the terms of the Note, including certain of the conversion provisions set forth in the Note, as further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Company and Holder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DEFINED TERMS AND SECTIONS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set forth herein shall, unless otherwise expressly provided, have the meanings when used herein as set forth in the Note. Section references used herein shall, unless otherwise expressly provided, be deemed to be references to Sections of the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AMENDMENTS TO NOTE</w:t>
      </w:r>
    </w:p>
    <w:p>
      <w:pPr>
        <w:spacing w:after="0" w:line="229"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Note is hereby amended to add the following defined term “Pre-Funded Warrants” in the appropriate alphabetical order:</w:t>
      </w:r>
    </w:p>
    <w:p>
      <w:pPr>
        <w:spacing w:after="0" w:line="221" w:lineRule="exact"/>
        <w:rPr>
          <w:rFonts w:ascii="Times New Roman" w:cs="Times New Roman" w:eastAsia="Times New Roman" w:hAnsi="Times New Roman"/>
          <w:sz w:val="18"/>
          <w:szCs w:val="18"/>
          <w:color w:val="auto"/>
        </w:rPr>
      </w:pPr>
    </w:p>
    <w:p>
      <w:pPr>
        <w:ind w:firstLine="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means the pre-funded common share purchase warrants in the form of Exhibit B, which may be issued pursuant to Section 7(J) of this Note.”</w:t>
      </w:r>
    </w:p>
    <w:p>
      <w:pPr>
        <w:spacing w:after="0" w:line="15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Note is hereby amended to add a new section (J) immediately following Section (I), as follows:</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i w:val="1"/>
          <w:iCs w:val="1"/>
          <w:color w:val="auto"/>
        </w:rPr>
        <w:t xml:space="preserve"> Pre-Funded Warrants</w:t>
      </w:r>
      <w:r>
        <w:rPr>
          <w:rFonts w:ascii="Times New Roman" w:cs="Times New Roman" w:eastAsia="Times New Roman" w:hAnsi="Times New Roman"/>
          <w:sz w:val="18"/>
          <w:szCs w:val="18"/>
          <w:color w:val="auto"/>
        </w:rPr>
        <w:t>. Notwithstanding anything herein to the contrary, the Holder shall have the right, in its sole discretion, to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the shares of Common Stock due in respect of any conversion of this Note pursuant to this Section 7 in the form of Pre-Funded Warrants.”</w:t>
      </w:r>
    </w:p>
    <w:p>
      <w:pPr>
        <w:spacing w:after="0" w:line="160" w:lineRule="exact"/>
        <w:rPr>
          <w:sz w:val="20"/>
          <w:szCs w:val="20"/>
          <w:color w:val="auto"/>
        </w:rPr>
      </w:pPr>
    </w:p>
    <w:p>
      <w:pPr>
        <w:ind w:firstLine="332"/>
        <w:spacing w:after="0" w:line="282" w:lineRule="auto"/>
        <w:tabs>
          <w:tab w:leader="none" w:pos="5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Note is hereby amended to add a new Exhibit B, immediately following Exhibit A therein, which new Exhibit B shall be in the form of Schedule 1 attached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firstLine="332"/>
        <w:spacing w:after="0" w:line="282" w:lineRule="auto"/>
        <w:tabs>
          <w:tab w:leader="none" w:pos="5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power and authority to enter into and perform its obligations under this Amendment and the Note (as amended hereby).</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Note (as amended hereby), constitutes a legal, valid and binding obligation of the Company,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TO EFFECTIVENESS OF THIS AMENDMENT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Company and the Holder shall have executed this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herein, the Note shall remain in full force and effect with no further amendments, modifications or changes.</w:t>
      </w:r>
    </w:p>
    <w:p>
      <w:pPr>
        <w:spacing w:after="0" w:line="225" w:lineRule="exact"/>
        <w:rPr>
          <w:rFonts w:ascii="Times New Roman" w:cs="Times New Roman" w:eastAsia="Times New Roman" w:hAnsi="Times New Roman"/>
          <w:sz w:val="18"/>
          <w:szCs w:val="18"/>
          <w:color w:val="auto"/>
        </w:rPr>
      </w:pPr>
    </w:p>
    <w:p>
      <w:pPr>
        <w:jc w:val="both"/>
        <w:ind w:firstLine="332"/>
        <w:spacing w:after="0" w:line="254" w:lineRule="auto"/>
        <w:tabs>
          <w:tab w:leader="none" w:pos="5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88" w:lineRule="exact"/>
        <w:rPr>
          <w:rFonts w:ascii="Times New Roman" w:cs="Times New Roman" w:eastAsia="Times New Roman" w:hAnsi="Times New Roman"/>
          <w:sz w:val="18"/>
          <w:szCs w:val="18"/>
          <w:color w:val="auto"/>
        </w:rPr>
      </w:pPr>
    </w:p>
    <w:p>
      <w:pPr>
        <w:ind w:right="20" w:firstLine="332"/>
        <w:spacing w:after="0" w:line="282" w:lineRule="auto"/>
        <w:tabs>
          <w:tab w:leader="none" w:pos="5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questions concerning the construction, validity, enforcement and interpretation of this Amendment shall be determined in accordance with the provisions of the Note, including without, limitation, Sections 19 and 20 of the Note, which are incorporated herein by reference, </w:t>
      </w:r>
      <w:r>
        <w:rPr>
          <w:rFonts w:ascii="Times New Roman" w:cs="Times New Roman" w:eastAsia="Times New Roman" w:hAnsi="Times New Roman"/>
          <w:sz w:val="18"/>
          <w:szCs w:val="18"/>
          <w:i w:val="1"/>
          <w:iCs w:val="1"/>
          <w:color w:val="auto"/>
        </w:rPr>
        <w:t>mutatis mutandis.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 xml:space="preserve">WITNESS </w:t>
      </w:r>
      <w:r>
        <w:rPr>
          <w:rFonts w:ascii="Times New Roman" w:cs="Times New Roman" w:eastAsia="Times New Roman" w:hAnsi="Times New Roman"/>
          <w:sz w:val="17"/>
          <w:szCs w:val="17"/>
          <w:color w:val="auto"/>
        </w:rPr>
        <w:t>the due execution hereof by the respective duly authorized officers of the undersigned as of the date first written above.</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David Kessler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EVP</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[Signature Page to the Amendment No. 1 to Senior Secured Amended, Restated and Consolidated Convertible Note]</w:t>
      </w: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Schedule 1</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1294765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 w:name="page10"/>
    <w:bookmarkEnd w:id="9"/>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May 21, 2024</w:t>
      </w:r>
    </w:p>
    <w:p>
      <w:pPr>
        <w:spacing w:after="0" w:line="200" w:lineRule="exact"/>
        <w:rPr>
          <w:sz w:val="20"/>
          <w:szCs w:val="20"/>
          <w:color w:val="auto"/>
        </w:rPr>
      </w:pPr>
    </w:p>
    <w:p>
      <w:pPr>
        <w:sectPr>
          <w:pgSz w:w="11900" w:h="16838" w:orient="portrait"/>
          <w:cols w:equalWidth="0" w:num="2">
            <w:col w:w="8660" w:space="720"/>
            <w:col w:w="1860"/>
          </w:cols>
          <w:pgMar w:left="320" w:top="117"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______________</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____________ shares (as subject to adjustment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ind w:left="660" w:hanging="4"/>
        <w:spacing w:after="0" w:line="260" w:lineRule="auto"/>
        <w:tabs>
          <w:tab w:leader="none" w:pos="9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current transfer agent of the Company, with a mailing address of 51 Mercedes Way, Edgewood, New York 11717,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of the Warrant and reasonably acceptable to the Company, the fees and expenses of which shall be paid by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left="-460" w:firstLine="644"/>
        <w:spacing w:after="0" w:line="256"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620" w:hanging="436"/>
        <w:spacing w:after="0" w:line="253" w:lineRule="auto"/>
        <w:tabs>
          <w:tab w:leader="none" w:pos="4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620" w:hanging="436"/>
        <w:spacing w:after="0" w:line="282" w:lineRule="auto"/>
        <w:tabs>
          <w:tab w:leader="none" w:pos="4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328"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onto the holder period of this Warrant. The Company agrees not to take any position contrary to this Section 2(c).</w:t>
      </w:r>
    </w:p>
    <w:p>
      <w:pPr>
        <w:spacing w:after="0" w:line="176"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8"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4" w:name="page15"/>
    <w:bookmarkEnd w:id="14"/>
    <w:p>
      <w:pPr>
        <w:jc w:val="both"/>
        <w:ind w:left="840" w:firstLine="640"/>
        <w:spacing w:after="0" w:line="261" w:lineRule="auto"/>
        <w:tabs>
          <w:tab w:leader="none" w:pos="16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firstLine="640"/>
        <w:spacing w:after="0" w:line="282" w:lineRule="auto"/>
        <w:tabs>
          <w:tab w:leader="none" w:pos="17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4" w:lineRule="auto"/>
        <w:tabs>
          <w:tab w:leader="none" w:pos="17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firstLine="644"/>
        <w:spacing w:after="0" w:line="25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49.99%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left="-460" w:firstLine="644"/>
        <w:spacing w:after="0" w:line="253" w:lineRule="auto"/>
        <w:tabs>
          <w:tab w:leader="none" w:pos="3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460" w:firstLine="644"/>
        <w:spacing w:after="0" w:line="266"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2" w:lineRule="auto"/>
        <w:tabs>
          <w:tab w:leader="none" w:pos="17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 w:hanging="4"/>
        <w:spacing w:after="0" w:line="253" w:lineRule="auto"/>
        <w:tabs>
          <w:tab w:leader="none" w:pos="2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Number of Warrant Shares Issuable</w:t>
      </w:r>
      <w:r>
        <w:rPr>
          <w:rFonts w:ascii="Times New Roman" w:cs="Times New Roman" w:eastAsia="Times New Roman" w:hAnsi="Times New Roman"/>
          <w:sz w:val="18"/>
          <w:szCs w:val="18"/>
          <w:color w:val="auto"/>
        </w:rPr>
        <w:t>. During the twelve (12) month period after the Issue Date and following the Requisite Stockholder Approval, upon each bona fide equity financing (either as a single transaction or series of related transactions) pursuant to which the Company issues and sells shares of its capital stock with the principal purpose of raising capital (each, a “</w:t>
      </w:r>
      <w:r>
        <w:rPr>
          <w:rFonts w:ascii="Times New Roman" w:cs="Times New Roman" w:eastAsia="Times New Roman" w:hAnsi="Times New Roman"/>
          <w:sz w:val="18"/>
          <w:szCs w:val="18"/>
          <w:u w:val="single" w:color="auto"/>
          <w:color w:val="auto"/>
        </w:rPr>
        <w:t>Qualified Equity Financing</w:t>
      </w:r>
      <w:r>
        <w:rPr>
          <w:rFonts w:ascii="Times New Roman" w:cs="Times New Roman" w:eastAsia="Times New Roman" w:hAnsi="Times New Roman"/>
          <w:sz w:val="18"/>
          <w:szCs w:val="18"/>
          <w:color w:val="auto"/>
        </w:rPr>
        <w:t>”), the number of Warrant Shares shall be adjusted to be equal to, rounded up to the next whole number, the quotient of (A) the product of (x) $_____________ and (y) the percentage of the Warrant Shares initially issuable under this Warrant for which Warrant Shares have not been issued at the time of such adjustment (the “</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price per share of Common Stock offered in the Qualified Equity Financing (the “Adjustment Price”). Notwithstanding the foregoing, under no circumstances shall the number of Warrant Shares be reduced as a result of the adjustments pursuant to this Section 3(g) and no adjustment or issuance pursuant to this Section 3(g) shall become effective unless and until the Requisite Stockholder Approval has been obtained. As used herein,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means the stockholder approval contemplated by Nasdaq Listing Rule 5635 with respect to the adjustment provision in this Warrant pursuant to this Section 3(g); provided, however, that the Requisite Stockholder Approval will be deemed to be obtained if, due to any amendment or binding change in the interpretation of the applicable listing standards of the Nasdaq Capital Market, such stockholder approval is no longer required.</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53" w:lineRule="auto"/>
        <w:tabs>
          <w:tab w:leader="none" w:pos="8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firstLine="644"/>
        <w:spacing w:after="0" w:line="256"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Warrants under the Securities Act.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left="-460" w:firstLine="644"/>
        <w:spacing w:after="0" w:line="258" w:lineRule="auto"/>
        <w:tabs>
          <w:tab w:leader="none" w:pos="3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3" w:name="page24"/>
    <w:bookmarkEnd w:id="23"/>
    <w:p>
      <w:pPr>
        <w:jc w:val="both"/>
        <w:ind w:left="-460" w:firstLine="644"/>
        <w:spacing w:after="0" w:line="252" w:lineRule="auto"/>
        <w:tabs>
          <w:tab w:leader="none" w:pos="3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4" w:firstLine="644"/>
        <w:spacing w:after="0" w:line="252" w:lineRule="auto"/>
        <w:tabs>
          <w:tab w:leader="none" w:pos="8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2468 Industrial Row Drive, Troy, Michigan 48084, Attention: Chief Executive Officer, email address: raymond.chang@agrify.com,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0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AGRIFY CORPORATION</w:t>
      </w:r>
    </w:p>
    <w:p>
      <w:pPr>
        <w:spacing w:after="0" w:line="225" w:lineRule="exact"/>
        <w:rPr>
          <w:sz w:val="20"/>
          <w:szCs w:val="20"/>
          <w:color w:val="auto"/>
        </w:rPr>
      </w:pPr>
    </w:p>
    <w:p>
      <w:pPr>
        <w:ind w:firstLine="1304"/>
        <w:spacing w:after="0" w:line="282" w:lineRule="auto"/>
        <w:tabs>
          <w:tab w:leader="none" w:pos="15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ASSIGNMENT FORM</w:t>
            </w:r>
          </w:p>
        </w:tc>
      </w:tr>
      <w:tr>
        <w:trPr>
          <w:trHeight w:val="432"/>
        </w:trPr>
        <w:tc>
          <w:tcPr>
            <w:tcW w:w="1124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p>
        </w:tc>
      </w:tr>
      <w:tr>
        <w:trPr>
          <w:trHeight w:val="432"/>
        </w:trPr>
        <w:tc>
          <w:tcPr>
            <w:tcW w:w="1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tc>
      </w:tr>
      <w:tr>
        <w:trPr>
          <w:trHeight w:val="41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1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4080" w:type="dxa"/>
            <w:vAlign w:val="bottom"/>
          </w:tcPr>
          <w:p>
            <w:pPr>
              <w:spacing w:after="0"/>
              <w:rPr>
                <w:sz w:val="20"/>
                <w:szCs w:val="20"/>
                <w:color w:val="auto"/>
              </w:rPr>
            </w:pPr>
          </w:p>
        </w:tc>
        <w:tc>
          <w:tcPr>
            <w:tcW w:w="71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71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4080" w:type="dxa"/>
            <w:vAlign w:val="bottom"/>
          </w:tcPr>
          <w:p>
            <w:pPr>
              <w:spacing w:after="0"/>
              <w:rPr>
                <w:sz w:val="20"/>
                <w:szCs w:val="20"/>
                <w:color w:val="auto"/>
              </w:rPr>
            </w:pPr>
          </w:p>
        </w:tc>
        <w:tc>
          <w:tcPr>
            <w:tcW w:w="71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(Please Print)</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71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71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7160" w:type="dxa"/>
            <w:vAlign w:val="bottom"/>
          </w:tcPr>
          <w:p>
            <w:pPr>
              <w:spacing w:after="0"/>
              <w:rPr>
                <w:sz w:val="24"/>
                <w:szCs w:val="24"/>
                <w:color w:val="auto"/>
              </w:rPr>
            </w:pP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w:t>
            </w:r>
          </w:p>
        </w:tc>
        <w:tc>
          <w:tcPr>
            <w:tcW w:w="7160" w:type="dxa"/>
            <w:vAlign w:val="bottom"/>
          </w:tcPr>
          <w:p>
            <w:pPr>
              <w:spacing w:after="0"/>
              <w:rPr>
                <w:sz w:val="24"/>
                <w:szCs w:val="24"/>
                <w:color w:val="auto"/>
              </w:rPr>
            </w:pP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w:t>
            </w:r>
          </w:p>
        </w:tc>
        <w:tc>
          <w:tcPr>
            <w:tcW w:w="7160" w:type="dxa"/>
            <w:vAlign w:val="bottom"/>
          </w:tcPr>
          <w:p>
            <w:pPr>
              <w:spacing w:after="0"/>
              <w:rPr>
                <w:sz w:val="24"/>
                <w:szCs w:val="24"/>
                <w:color w:val="auto"/>
              </w:rPr>
            </w:pPr>
          </w:p>
        </w:tc>
      </w:tr>
      <w:tr>
        <w:trPr>
          <w:trHeight w:val="655"/>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9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tc>
      </w:tr>
      <w:tr>
        <w:trPr>
          <w:trHeight w:val="432"/>
        </w:trPr>
        <w:tc>
          <w:tcPr>
            <w:tcW w:w="1380" w:type="dxa"/>
            <w:vAlign w:val="bottom"/>
          </w:tcPr>
          <w:p>
            <w:pPr>
              <w:spacing w:after="0"/>
              <w:rPr>
                <w:sz w:val="24"/>
                <w:szCs w:val="24"/>
                <w:color w:val="auto"/>
              </w:rPr>
            </w:pPr>
          </w:p>
        </w:tc>
        <w:tc>
          <w:tcPr>
            <w:tcW w:w="9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THIRD AMENDED AND RESTATED JUNIOR SECURED CONVERTIBLE PROMISSORY NOTE</w:t>
            </w:r>
          </w:p>
        </w:tc>
      </w:tr>
      <w:tr>
        <w:trPr>
          <w:trHeight w:val="414"/>
        </w:trPr>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8"/>
              </w:rPr>
              <w:t>$2,288,746.45</w:t>
            </w:r>
          </w:p>
        </w:tc>
        <w:tc>
          <w:tcPr>
            <w:tcW w:w="9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21, 2024</w:t>
            </w:r>
          </w:p>
        </w:tc>
      </w:tr>
      <w:tr>
        <w:trPr>
          <w:trHeight w:val="234"/>
        </w:trPr>
        <w:tc>
          <w:tcPr>
            <w:tcW w:w="1380" w:type="dxa"/>
            <w:vAlign w:val="bottom"/>
          </w:tcPr>
          <w:p>
            <w:pPr>
              <w:spacing w:after="0"/>
              <w:rPr>
                <w:sz w:val="20"/>
                <w:szCs w:val="20"/>
                <w:color w:val="auto"/>
              </w:rPr>
            </w:pPr>
          </w:p>
        </w:tc>
        <w:tc>
          <w:tcPr>
            <w:tcW w:w="9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Boston, Massachusetts</w:t>
            </w: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AGRIFY CORPORATION</w:t>
      </w:r>
      <w:r>
        <w:rPr>
          <w:rFonts w:ascii="Times New Roman" w:cs="Times New Roman" w:eastAsia="Times New Roman" w:hAnsi="Times New Roman"/>
          <w:sz w:val="18"/>
          <w:szCs w:val="18"/>
          <w:color w:val="auto"/>
        </w:rPr>
        <w:t xml:space="preserve">, a Nevada corporation (“Maker”), promises to pay to the order of </w:t>
      </w:r>
      <w:r>
        <w:rPr>
          <w:rFonts w:ascii="Times New Roman" w:cs="Times New Roman" w:eastAsia="Times New Roman" w:hAnsi="Times New Roman"/>
          <w:sz w:val="18"/>
          <w:szCs w:val="18"/>
          <w:b w:val="1"/>
          <w:bCs w:val="1"/>
          <w:color w:val="auto"/>
        </w:rPr>
        <w:t>GIC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 with an office at 675 VFW Parkway, Suite 152, Chestnut Hill, Massachusetts 02467-3656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sum advanced to Maker from time to time up to a maximum of </w:t>
      </w:r>
      <w:r>
        <w:rPr>
          <w:rFonts w:ascii="Times New Roman" w:cs="Times New Roman" w:eastAsia="Times New Roman" w:hAnsi="Times New Roman"/>
          <w:sz w:val="18"/>
          <w:szCs w:val="18"/>
          <w:b w:val="1"/>
          <w:bCs w:val="1"/>
          <w:color w:val="auto"/>
        </w:rPr>
        <w:t>TWO MILLION TWO HUNDRED EIGHTY-EIGHT THOUSAND SEVEN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HUNDRED FORTY-SIX AND 45/00 DOLLARS ($2,288,746.45) </w:t>
      </w:r>
      <w:r>
        <w:rPr>
          <w:rFonts w:ascii="Times New Roman" w:cs="Times New Roman" w:eastAsia="Times New Roman" w:hAnsi="Times New Roman"/>
          <w:sz w:val="18"/>
          <w:szCs w:val="18"/>
          <w:color w:val="auto"/>
        </w:rPr>
        <w:t>in lawful money of the United States of America, under the terms and at the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and interest due under this Third Amended and Restated Junior Secured Convertible Promissory Note (this “Note”) shall be payable in full on December 31, 2025 (the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may be prepaid, in whole or in part, at any time without any penalty, fee, or premium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Note represents a junior security interest in Maker secured by the security granted under that certain Security Agreement, dated as of October 27, 2023, by and between the Maker and the Holder, and such junior security interest herein granted and provided for is made and given to secure, and shall secure, the payment and performance of this Note,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security interest and any payments due under this Note shall be subordinate to any obligations of and interests granted in those certain senior secured notes previously issued by Maker (the “Senior Secured Notes”).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principal balance outstanding under this Note from time to time shall bear interest at the rate of ten percent (10%) per annum computed on the basis of a 360 day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a payment default, and at all times thereafter until this Note is paid in full, the principal balance of this Note shall bear interest at the default rate of eighteen percent (18%) per annum computed on the basis of a 360 day year.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Note may be converted in part, but only in an Authorized Denomination (as defined below). Provisions herein relating to the conversion of this Note in whole will equally apply to conversions of any permitted portion of this Note. The Holder may convert this Note at any time until the close of business on the second (2nd) Scheduled Trading Day (as defined below) immediately before the Maturity Date. To convert this Note, the Holder must complete, sign and deliver to the Maker the conversion notice attached to this Note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“Holder Conversion Notice”). For the avoidance of doubt, the Holder Conversion Notice may be delivered by e-mail. If the Maker fails to deliver, by the related Conversion Settlement Date (as defined below), any shares of common stock, par value $0.001 per share, of the Maker (“Common Stock”) forming part of the Conversion Consideration (as defined below) of the conversion of this Note, the Holder, by notice to the Maker, may rescind all or any portion of the corresponding Holder Conversion Notice at any time until such shares of Common Stock are delivered. The person in whose name any shares of Common Stock is issuable upon conversion of this Note will be deemed to become the holder of record of such shares as of the close of business on the Conversion Date (as defined below) for such conversion, conferring, as of such time, upon such person, without limitation, all voting and other rights appurtenant to such shares. If the Holder converts all or any portion of this Note, the Maker will pay any documentary, stamp or similar issue or transfer tax or duty due on the issue of any shares of Common Stock upon such conversion.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consideration (the “Conversion Consideration”) due in respect of any portion of the outstanding principal amount of this Note, to be converted (the “Conversion Amount”) will consist of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 number of shares of Common Stock determined by dividing the Conversion Amount by the Conversion Price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1304"/>
        <w:spacing w:after="0" w:line="261" w:lineRule="auto"/>
        <w:tabs>
          <w:tab w:leader="none" w:pos="15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Maker, a number of validly issued, fully paid and Common Stock (the “Conversion Consideration Interest Shares”) equal to the quotient (rounded up to the closest whole number) obtained by dividing the aggregate accrued and unpaid interest on this Note to, but excluding, the Conversion Settlement Date by the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total number of shares of Common Stock due in respect of any conversion of this Note will be determined on the basis of the total principal amount of this Note to be converted with the same Conversion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is not a whole number, then such number will be rounded up to the nearest whole number.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Maker will pay or deliver, as applicable, the Conversion Consideration due upon the conversion of this Note, to the Maker on or before the second (2nd) business day (or, if earlier, the standard settlement period for the primary Eligible Exchange (as defined below) (measured in terms of trading volume for its Common Stock) on which the Common Stock are traded) immediately after the Conversion Date for such conversion (the “Conversion Settlement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Note is converted in full, then, from and after the date the Conversion Consideration therefor is issued or delivered in settlement of such conversion, this Note will cease to be outstanding and all interest will cease to accrue on this Note.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share of Common Stock delivered pursuant to this Note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Maker will cause each share of Common Stock issued pursuant to this Note, when delivered, to be admitted for listing on such exchange or quotation on such system.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occurs:</w:t>
      </w:r>
    </w:p>
    <w:p>
      <w:pPr>
        <w:spacing w:after="0" w:line="225" w:lineRule="exact"/>
        <w:rPr>
          <w:sz w:val="20"/>
          <w:szCs w:val="20"/>
          <w:color w:val="auto"/>
        </w:rPr>
      </w:pPr>
    </w:p>
    <w:p>
      <w:pPr>
        <w:jc w:val="both"/>
        <w:ind w:firstLine="1304"/>
        <w:spacing w:after="0" w:line="266" w:lineRule="auto"/>
        <w:tabs>
          <w:tab w:leader="none" w:pos="15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Maker;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Maker and its subsidiaries, taken as a whole, to any person;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in each case, as a result of such occurrence, the Common Stock is converted into, or is exchanged for, or represents solely the right to receive, other securities or other property (including cash or any combination of the foregoing) (such an event, a “Common Stock Change Event,” and such other securities or other property, the “Reference Property,” and the amount and kind of Reference Property that a holder of one (1) share of Common Stock would be entitled to receive on account of such Common Stock Change Event (without giving effect to any arrangement not to issue fractional shares of securities or other property), a “Reference Property Unit”), then, notwithstanding anything to the contrary in this Note, at the effective time of such Common Stock Change Event, (x) the Conversion Consideration due upon conversion of any Note will be determined in the same manner as if each reference to any number of shares of Common Stock were instead a reference to the same number of Reference Property Units; and (y) each reference to any number of shares of Common Stock herein will instead be deemed to be a reference to the same number of Reference Property Units;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Maker will notify the Holder of such weighted average as soon as practicable after such determination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Maker and the resulting, surviving or transferee Person (if not the Maker) of such Common Stock Change Event (the “Successor Person”) will execute and deliver such instruments or agreements that (x) provides for subsequent conversions of this Note in the manner set forth herein; and (y) contains such other provisions as the Maker reasonably determines are appropriate to preserve the economic interests of the Holder and to give effect to the provisions of this Note. If the Reference Property includes shares of stock or other securities or assets of a person other than the Successor Person, then such other person will also execute such instruments or agreements and such instruments or agreements will contain such additional provisions the Maker reasonably determines are appropriate to preserve the economic interests of the Holder. As soon as practicable after learning the anticipated or actual effective date of any Common Stock Change Event, the Maker will provide written notice to the Holder of such Common Stock Change Event, including a brief description of such Common Stock Change Event, its anticipated effective date and a brief description of the anticipated change in the conversion right of this Note.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Holder shall have the right, in its sole discretion, to elect to receive the shares of Common Stock due in respect of any conversion of this Note in the form of Pre-Funded Warrants (as defined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capitalized terms shall be defined as follows: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“Authorized Denomination” means, with respect to this Note, a principal amount equal to $1,000 or any integral multiple of $1,000 in excess thereof, or, if the principal amount then-outstanding is less than $1,000, then such outstanding principal amount.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Date” means the first business day on which the requirements to convert this Note are satisfied.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“Conversion Price” means an amount equal to $0.31 per share of Common Stock; provided, however, that if after the date of the amendment and restatement of this Note the Company effects any stock split, reverse stock split, share combination or similar transaction, the Conversion Price shall be equitably adjusted to reflect the ratio of such split or similar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“Eligible Exchange” means any of The New York Stock Exchange, The NYSE American LLC, The Nasdaq Capital Market, The Nasdaq Global Market or The Nasdaq Global Select Market (or any of their respective successors).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Disruption Event”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“Pre-Funded Warrants” means the pre-funded common share purchase warrants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may be issued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“Scheduled Trading Day”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“Trading Day”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Maker waives presentment, demand, notice, protest, and delay in connection with the delivery, acceptance, performance, collection, and enforcement of this Note.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delay or omission on the part of Holder in exercising any right hereunder shall operate as a waiver of such right or of any other right under this Note. A waiver on anyone occasion shall not be construed as a bar to or a waiver of any such right and/or remedy on any future occasion.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 shall be entitled to an award of its reasonable costs and expenses, including, but not limited to, reasonable attorney’s fees, incurred in enforcing and collecting the amounts due under this Note.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the laws of the Commonwealth of Massachusetts.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Maker will take all reasonably necessary steps to publish and file any financing statements associated with the security interest contained herein under applicable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Note constitutes an amendment and restatement, but not an extinguishment, of the Second Amended and Restated Junior Secured Promissory Note, made by Maker on January 25, 2024 (the “Prior Note”). Nothing herein shall be construed to constitute satisfaction of the outstanding obligations under the Prior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upon the execution and delivery of this Note, such obligations shall be enforceable in accordance with this Note and not the Prior Note.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IN WITNESS WHEREOF, Maker has executed this Note as a sealed instrument as of the date first hereinabove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David Kessler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Junior Secured Convertible Note due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this Note, by executing and delivering this Conversion Notice, the undersigned Holder of this Note directs the Maker to convert the following principal amount of this Note: $ ____________________ ,000 in accordance with the following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-48260</wp:posOffset>
            </wp:positionV>
            <wp:extent cx="28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jc w:val="center"/>
        <w:ind w:right="6320"/>
        <w:spacing w:after="0"/>
        <w:rPr>
          <w:sz w:val="20"/>
          <w:szCs w:val="20"/>
          <w:color w:val="auto"/>
        </w:rPr>
      </w:pPr>
      <w:r>
        <w:rPr>
          <w:rFonts w:ascii="Times New Roman" w:cs="Times New Roman" w:eastAsia="Times New Roman" w:hAnsi="Times New Roman"/>
          <w:sz w:val="17"/>
          <w:szCs w:val="17"/>
          <w:color w:val="auto"/>
        </w:rPr>
        <w:t>Shares of Common Stock to be delivered (the “</w:t>
      </w:r>
      <w:r>
        <w:rPr>
          <w:rFonts w:ascii="Times New Roman" w:cs="Times New Roman" w:eastAsia="Times New Roman" w:hAnsi="Times New Roman"/>
          <w:sz w:val="17"/>
          <w:szCs w:val="17"/>
          <w:b w:val="1"/>
          <w:bCs w:val="1"/>
          <w:color w:val="auto"/>
        </w:rPr>
        <w:t>Delivered Shares</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Pre-Funded Warrants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Announces Approximately $13.8 Million Debt-to-Equity Conversion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Expects to Regain Compliance with Nasdaq Shareholders’ Equity Requirement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TROY, Michigan, May 22, 2024 - Agrify Corporation (Nasdaq: AGFY) (“Agrify” or the “Company”), a leading provider of innovative cultivation and extraction solutions for the cannabis industry, today announced an approximately $13.8 million debt-to-equity conversion by CP Acquisitions, LLC and GIC Acquisitions LLC. As a result of the conversion, the Company is expected to regain compliance with Nasdaq’s Listing Rule, achieving stockholder’s equity of at least $2.5 million as of the date of conversion.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conversions, CP Acquisitions, LLC (“CP”), an entity affiliated with and controlled by Raymond Chang, the Chairman and Chief Executive Officer of the Company, and I-Tseng Jenny Chan, a member of Agrify’s Board of Directors, converted $11.5 million of its senior convertible note into a Pre-Funded Warrant exercisable at issuance for up to 8,561,644 shares of common stock. GIC Acquisitions LLC (“GIC”), an entity affiliate with and controlled by Mr. Chang, converted approximately $2.29 million of its junior secured note into a Pre-Funded Warrant exercisable at issuance for up to 3,225,807 shares of common stock. Each Pre-Funded Warrant includes adjustment provisions in the event that Agrify conducts any equity financing during the twelve month period following conversion, subject to shareholder approval.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conversions, the Company believes that its shareholders’ equity exceeds $2.5 million, which would allow the Company to regain compliance with Nasdaq Listing Rule 5550(b)(1). Raymond Chang, Chairman and Chief Executive Office of Agrify, stated “I am very pleased to see the continuous turnaround in Agrify. The decision to convert a substantial portion of the senior debt shows the management and the shareholders’ commitment to the future of Agrify. We are excited to see the strong positive momentum in our business across both the extraction and cultivation divisions. We believe this large debt conversion allows Agrify to meet the minimum shareholders’ equity requirement under Nasdaq continued listing rules and provides Agrify with a cleaner and positive balance sheet to fuel our future growth. We remain focused on executing the Company’s turnaround.”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Agrify’s proprietary micro-environment-controlled Vertical Farming Units (VFUs) enable cultivators to produce the highest quality products with unmatched consistency, yield, and ROI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the ability to regian compliance with Nasdaq listing rules, Agrify’s future growth,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lowerLetter"/>
      <w:start w:val="1"/>
    </w:lvl>
    <w:lvl w:ilvl="1">
      <w:lvlJc w:val="left"/>
      <w:lvlText w:val="\ldblquote"/>
      <w:numFmt w:val="bullet"/>
      <w:start w:val="1"/>
    </w:lvl>
  </w:abstractNum>
  <w:abstractNum w:abstractNumId="3">
    <w:nsid w:val="4E6AFB66"/>
    <w:multiLevelType w:val="hybridMultilevel"/>
    <w:lvl w:ilvl="0">
      <w:lvlJc w:val="left"/>
      <w:lvlText w:val="(%1)"/>
      <w:numFmt w:val="lowerLetter"/>
      <w:start w:val="3"/>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4"/>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1)"/>
      <w:numFmt w:val="upperLetter"/>
      <w:start w:val="24"/>
    </w:lvl>
  </w:abstractNum>
  <w:abstractNum w:abstractNumId="11">
    <w:nsid w:val="436C6125"/>
    <w:multiLevelType w:val="hybridMultilevel"/>
    <w:lvl w:ilvl="0">
      <w:lvlJc w:val="left"/>
      <w:lvlText w:val="%1)"/>
      <w:numFmt w:val="lowerLetter"/>
      <w:start w:val="4"/>
    </w:lvl>
  </w:abstractNum>
  <w:abstractNum w:abstractNumId="12">
    <w:nsid w:val="628C895D"/>
    <w:multiLevelType w:val="hybridMultilevel"/>
    <w:lvl w:ilvl="0">
      <w:lvlJc w:val="left"/>
      <w:lvlText w:val="%1."/>
      <w:numFmt w:val="lowerRoman"/>
      <w:start w:val="2"/>
    </w:lvl>
  </w:abstractNum>
  <w:abstractNum w:abstractNumId="13">
    <w:nsid w:val="333AB105"/>
    <w:multiLevelType w:val="hybridMultilevel"/>
    <w:lvl w:ilvl="0">
      <w:lvlJc w:val="left"/>
      <w:lvlText w:val="%1."/>
      <w:numFmt w:val="lowerRoman"/>
      <w:start w:val="6"/>
    </w:lvl>
  </w:abstractNum>
  <w:abstractNum w:abstractNumId="14">
    <w:nsid w:val="721DA317"/>
    <w:multiLevelType w:val="hybridMultilevel"/>
    <w:lvl w:ilvl="0">
      <w:lvlJc w:val="left"/>
      <w:lvlText w:val="%1)"/>
      <w:numFmt w:val="lowerLetter"/>
      <w:start w:val="5"/>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lowerLetter"/>
      <w:start w:val="5"/>
    </w:lvl>
    <w:lvl w:ilvl="1">
      <w:lvlJc w:val="left"/>
      <w:lvlText w:val="%2."/>
      <w:numFmt w:val="lowerRoman"/>
      <w:start w:val="1"/>
    </w:lvl>
  </w:abstractNum>
  <w:abstractNum w:abstractNumId="18">
    <w:nsid w:val="75A2A8D4"/>
    <w:multiLevelType w:val="hybridMultilevel"/>
    <w:lvl w:ilvl="0">
      <w:lvlJc w:val="left"/>
      <w:lvlText w:val="%1)"/>
      <w:numFmt w:val="lowerLetter"/>
      <w:start w:val="7"/>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2"/>
    </w:lvl>
  </w:abstractNum>
  <w:abstractNum w:abstractNumId="23">
    <w:nsid w:val="189A769B"/>
    <w:multiLevelType w:val="hybridMultilevel"/>
    <w:lvl w:ilvl="0">
      <w:lvlJc w:val="left"/>
      <w:lvlText w:val="%1)"/>
      <w:numFmt w:val="lowerLetter"/>
      <w:start w:val="5"/>
    </w:lvl>
  </w:abstractNum>
  <w:abstractNum w:abstractNumId="24">
    <w:nsid w:val="54E49EB4"/>
    <w:multiLevelType w:val="hybridMultilevel"/>
    <w:lvl w:ilvl="0">
      <w:lvlJc w:val="left"/>
      <w:lvlText w:val="%1"/>
      <w:numFmt w:val="lowerRoman"/>
      <w:start w:val="1"/>
    </w:lvl>
    <w:lvl w:ilvl="1">
      <w:lvlJc w:val="left"/>
      <w:lvlText w:val="%2)"/>
      <w:numFmt w:val="lowerLetter"/>
      <w:start w:val="8"/>
    </w:lvl>
  </w:abstractNum>
  <w:abstractNum w:abstractNumId="25">
    <w:nsid w:val="71F32454"/>
    <w:multiLevelType w:val="hybridMultilevel"/>
    <w:lvl w:ilvl="0">
      <w:lvlJc w:val="left"/>
      <w:lvlText w:val="(%1)"/>
      <w:numFmt w:val="lowerRoman"/>
      <w:start w:val="4"/>
    </w:lvl>
    <w:lvl w:ilvl="1">
      <w:lvlJc w:val="left"/>
      <w:lvlText w:val="%2)"/>
      <w:numFmt w:val="lowerLetter"/>
      <w:start w:val="9"/>
    </w:lvl>
  </w:abstractNum>
  <w:abstractNum w:abstractNumId="26">
    <w:nsid w:val="2CA88611"/>
    <w:multiLevelType w:val="hybridMultilevel"/>
    <w:lvl w:ilvl="0">
      <w:lvlJc w:val="left"/>
      <w:lvlText w:val="(%1)"/>
      <w:numFmt w:val="decimal"/>
      <w:start w:val="1"/>
    </w:lvl>
    <w:lvl w:ilvl="1">
      <w:lvlJc w:val="left"/>
      <w:lvlText w:val="☐"/>
      <w:numFmt w:val="bullet"/>
      <w:start w:val="1"/>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2024-05-22T06:35:08Z</dcterms:created>
  <dcterms:modified xsi:type="dcterms:W3CDTF">2024-05-22T06:35:08Z</dcterms:modified>
</cp:coreProperties>
</file>