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Chan I-Tseng Jenny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2468 INDUSTRIAL DRIVE</w:t>
            </w: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TROY</w:t>
            </w: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MI</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48084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CP</w:t>
            </w:r>
          </w:p>
        </w:tc>
        <w:tc>
          <w:tcPr>
            <w:tcW w:w="0" w:type="dxa"/>
            <w:vAlign w:val="bottom"/>
          </w:tcPr>
          <w:p>
            <w:pPr>
              <w:spacing w:after="0"/>
              <w:rPr>
                <w:sz w:val="1"/>
                <w:szCs w:val="1"/>
                <w:color w:val="auto"/>
              </w:rPr>
            </w:pPr>
          </w:p>
        </w:tc>
      </w:tr>
      <w:tr>
        <w:trPr>
          <w:trHeight w:val="240"/>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Convertible Note</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09/19/2025</w:t>
            </w:r>
          </w:p>
        </w:tc>
        <w:tc>
          <w:tcPr>
            <w:tcW w:w="17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8000"/>
              </w:rPr>
              <w:t>(1)</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Acquisitions,</w:t>
            </w:r>
          </w:p>
        </w:tc>
        <w:tc>
          <w:tcPr>
            <w:tcW w:w="0" w:type="dxa"/>
            <w:vAlign w:val="bottom"/>
          </w:tcPr>
          <w:p>
            <w:pPr>
              <w:spacing w:after="0"/>
              <w:rPr>
                <w:sz w:val="1"/>
                <w:szCs w:val="1"/>
                <w:color w:val="auto"/>
              </w:rPr>
            </w:pPr>
          </w:p>
        </w:tc>
      </w:tr>
      <w:tr>
        <w:trPr>
          <w:trHeight w:val="341"/>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27, 2023, CP Acquisitions, LLC ("CP Acquisitions") and an institutional investor (the "Existing Lender") entered into a Note Purchase and Sale Agreement, in which CP Acquisitions acquired from the Existing Lender a Senior Secured Convertible Note due 2025 (the "Note") issued by Agrify Corporation (the "Issuer") with an outstanding principal amount of $8,840,000.00, which as of the date of this Amendment No. 1 is convertible, subject to stockholder approval and a 4.99% beneficial ownership limitation, into shares of common stock of the Issuer at a current conversion price of $7.64 per share, as may be adjusted per the Note from time to time.</w:t>
      </w:r>
    </w:p>
    <w:p>
      <w:pPr>
        <w:spacing w:after="0" w:line="33"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I-Tseng Jenny Chan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01/29/2024</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46" w:lineRule="exact"/>
        <w:rPr>
          <w:sz w:val="20"/>
          <w:szCs w:val="20"/>
          <w:color w:val="auto"/>
        </w:rPr>
      </w:pPr>
    </w:p>
    <w:p>
      <w:pPr>
        <w:ind w:right="180" w:firstLine="720"/>
        <w:spacing w:after="0" w:line="257" w:lineRule="auto"/>
        <w:rPr>
          <w:sz w:val="20"/>
          <w:szCs w:val="20"/>
          <w:color w:val="auto"/>
        </w:rPr>
      </w:pPr>
      <w:r>
        <w:rPr>
          <w:rFonts w:ascii="Times New Roman" w:cs="Times New Roman" w:eastAsia="Times New Roman" w:hAnsi="Times New Roman"/>
          <w:sz w:val="20"/>
          <w:szCs w:val="20"/>
          <w:color w:val="auto"/>
        </w:rPr>
        <w:t>I, I-Tseng Jenny Chan (the “</w:t>
      </w:r>
      <w:r>
        <w:rPr>
          <w:rFonts w:ascii="Times New Roman" w:cs="Times New Roman" w:eastAsia="Times New Roman" w:hAnsi="Times New Roman"/>
          <w:sz w:val="20"/>
          <w:szCs w:val="20"/>
          <w:b w:val="1"/>
          <w:bCs w:val="1"/>
          <w:u w:val="single" w:color="auto"/>
          <w:color w:val="auto"/>
        </w:rPr>
        <w:t>Applicant/Filer</w:t>
      </w:r>
      <w:r>
        <w:rPr>
          <w:rFonts w:ascii="Times New Roman" w:cs="Times New Roman" w:eastAsia="Times New Roman" w:hAnsi="Times New Roman"/>
          <w:sz w:val="20"/>
          <w:szCs w:val="20"/>
          <w:color w:val="auto"/>
        </w:rPr>
        <w:t>”), hereby appoint Chad Porter and Robert Petitt of Burns &amp; Levinson LLP of Boston, Massachusetts, and other designated attorneys and paralegals of such firm, including Kathrine LeBlanc, as well as Josh Savitz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other designated agents of the Company, including its President and Chief Executive Officer, to each be the true and lawful attorney-in-fact (each, the “</w:t>
      </w:r>
      <w:r>
        <w:rPr>
          <w:rFonts w:ascii="Times New Roman" w:cs="Times New Roman" w:eastAsia="Times New Roman" w:hAnsi="Times New Roman"/>
          <w:sz w:val="20"/>
          <w:szCs w:val="20"/>
          <w:b w:val="1"/>
          <w:bCs w:val="1"/>
          <w:u w:val="single" w:color="auto"/>
          <w:color w:val="auto"/>
        </w:rPr>
        <w:t>Attorney-in-Fact</w:t>
      </w:r>
      <w:r>
        <w:rPr>
          <w:rFonts w:ascii="Times New Roman" w:cs="Times New Roman" w:eastAsia="Times New Roman" w:hAnsi="Times New Roman"/>
          <w:sz w:val="20"/>
          <w:szCs w:val="20"/>
          <w:color w:val="auto"/>
        </w:rPr>
        <w:t>”) in the Applicant/Filer’s name and on the Applicant/Filer’s behalf, including with the general legal authority to bind Applicant/Filer for purposes of opening an account in the Applicant/Filer name on EDGAR, to:</w:t>
      </w:r>
    </w:p>
    <w:p>
      <w:pPr>
        <w:spacing w:after="0" w:line="203" w:lineRule="exact"/>
        <w:rPr>
          <w:sz w:val="20"/>
          <w:szCs w:val="20"/>
          <w:color w:val="auto"/>
        </w:rPr>
      </w:pPr>
    </w:p>
    <w:p>
      <w:pPr>
        <w:ind w:right="140" w:firstLine="720"/>
        <w:spacing w:after="0" w:line="286" w:lineRule="auto"/>
        <w:tabs>
          <w:tab w:leader="none" w:pos="10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prepare, execute, acknowledge, deliver and file </w:t>
      </w:r>
      <w:r>
        <w:rPr>
          <w:rFonts w:ascii="Times New Roman" w:cs="Times New Roman" w:eastAsia="Times New Roman" w:hAnsi="Times New Roman"/>
          <w:sz w:val="20"/>
          <w:szCs w:val="20"/>
          <w:b w:val="1"/>
          <w:bCs w:val="1"/>
          <w:color w:val="auto"/>
        </w:rPr>
        <w:t>SEC Form ID</w:t>
      </w:r>
      <w:r>
        <w:rPr>
          <w:rFonts w:ascii="Times New Roman" w:cs="Times New Roman" w:eastAsia="Times New Roman" w:hAnsi="Times New Roman"/>
          <w:sz w:val="20"/>
          <w:szCs w:val="20"/>
          <w:color w:val="auto"/>
        </w:rPr>
        <w:t>s and any other documents necessary with the United States Securities and Exchange Commission on behalf of the Applicant/Filer to obtain filing codes for the Applicant/Filer;</w:t>
      </w:r>
    </w:p>
    <w:p>
      <w:pPr>
        <w:spacing w:after="0" w:line="176" w:lineRule="exact"/>
        <w:rPr>
          <w:rFonts w:ascii="Times New Roman" w:cs="Times New Roman" w:eastAsia="Times New Roman" w:hAnsi="Times New Roman"/>
          <w:sz w:val="20"/>
          <w:szCs w:val="20"/>
          <w:color w:val="auto"/>
        </w:rPr>
      </w:pPr>
    </w:p>
    <w:p>
      <w:pPr>
        <w:ind w:right="240" w:firstLine="720"/>
        <w:spacing w:after="0" w:line="261" w:lineRule="auto"/>
        <w:tabs>
          <w:tab w:leader="none" w:pos="10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80" w:firstLine="720"/>
        <w:spacing w:after="0" w:line="258" w:lineRule="auto"/>
        <w:tabs>
          <w:tab w:leader="none" w:pos="10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Applicant/Filer's representative and on the Applicant/Filer's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Applicant/Filer hereby authorizes any such person to release any such information to the Applicant/Filer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100" w:firstLine="720"/>
        <w:spacing w:after="0" w:line="282" w:lineRule="auto"/>
        <w:tabs>
          <w:tab w:leader="none" w:pos="10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Applicant/Filer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Applicant/Filer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they receive is accurate and complete and they have no obligation to independently verify such information and is not responsible for any liability based on the inaccuracy or incompleteness of such information as it is provided by the Applicant/Filer;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466725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firstLine="720"/>
        <w:spacing w:after="0" w:line="266" w:lineRule="auto"/>
        <w:tabs>
          <w:tab w:leader="none" w:pos="100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Applicant/Filer pursuant to this Limited Power of Attorney will be in such form and will contain such information and disclosure as such Attorney-in-Fact, in their discretion, deems necessary or desirable;</w:t>
      </w:r>
    </w:p>
    <w:p>
      <w:pPr>
        <w:spacing w:after="0" w:line="195" w:lineRule="exact"/>
        <w:rPr>
          <w:rFonts w:ascii="Times New Roman" w:cs="Times New Roman" w:eastAsia="Times New Roman" w:hAnsi="Times New Roman"/>
          <w:sz w:val="20"/>
          <w:szCs w:val="20"/>
          <w:color w:val="auto"/>
        </w:rPr>
      </w:pPr>
    </w:p>
    <w:p>
      <w:pPr>
        <w:jc w:val="both"/>
        <w:ind w:right="140" w:firstLine="720"/>
        <w:spacing w:after="0" w:line="261" w:lineRule="auto"/>
        <w:tabs>
          <w:tab w:leader="none" w:pos="100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Applicant/Filer's responsibility to comply with the requirement of the Exchange Act, (ii) any liability of the Applicant/Filer for any failure to comply with such requirements, or</w:t>
      </w:r>
    </w:p>
    <w:p>
      <w:pPr>
        <w:ind w:left="360" w:hanging="360"/>
        <w:spacing w:after="0"/>
        <w:tabs>
          <w:tab w:leader="none" w:pos="3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liability of the Applicant/Filer for profit disgorgement under Section 16(b) of the Exchange Act;</w:t>
      </w:r>
    </w:p>
    <w:p>
      <w:pPr>
        <w:spacing w:after="0" w:line="230" w:lineRule="exact"/>
        <w:rPr>
          <w:rFonts w:ascii="Times New Roman" w:cs="Times New Roman" w:eastAsia="Times New Roman" w:hAnsi="Times New Roman"/>
          <w:sz w:val="20"/>
          <w:szCs w:val="20"/>
          <w:color w:val="auto"/>
        </w:rPr>
      </w:pPr>
    </w:p>
    <w:p>
      <w:pPr>
        <w:ind w:right="200" w:firstLine="720"/>
        <w:spacing w:after="0" w:line="266" w:lineRule="auto"/>
        <w:tabs>
          <w:tab w:leader="none" w:pos="100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Applicant/Filer from responsibility for compliance with the Applicant/Filer's obligations under the Exchange Act, including without limitation the reporting requirements under Section 16 of the Exchange Act; and</w:t>
      </w:r>
    </w:p>
    <w:p>
      <w:pPr>
        <w:spacing w:after="0" w:line="195" w:lineRule="exact"/>
        <w:rPr>
          <w:rFonts w:ascii="Times New Roman" w:cs="Times New Roman" w:eastAsia="Times New Roman" w:hAnsi="Times New Roman"/>
          <w:sz w:val="20"/>
          <w:szCs w:val="20"/>
          <w:color w:val="auto"/>
        </w:rPr>
      </w:pPr>
    </w:p>
    <w:p>
      <w:pPr>
        <w:jc w:val="both"/>
        <w:ind w:right="20" w:firstLine="720"/>
        <w:spacing w:after="0" w:line="261" w:lineRule="auto"/>
        <w:tabs>
          <w:tab w:leader="none" w:pos="100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Applicant/Filer also hereby agrees that the Attorney-in-Fact shall not be liable for any error of judgment or for any act reasonably done or step reasonably taken or omitted in good faith, and that the Applicant/Filer agrees to indemnify, defend on a current basis, and hold harmless the Attorney-in-Fact from and against any and all claims, obligations, liabilities or causes of action asserted by any person relating to or arising out of, or as a consequence of, any such action or omission hereunder.</w:t>
      </w:r>
    </w:p>
    <w:p>
      <w:pPr>
        <w:spacing w:after="0" w:line="200" w:lineRule="exact"/>
        <w:rPr>
          <w:sz w:val="20"/>
          <w:szCs w:val="20"/>
          <w:color w:val="auto"/>
        </w:rPr>
      </w:pPr>
    </w:p>
    <w:p>
      <w:pPr>
        <w:ind w:right="60" w:firstLine="720"/>
        <w:spacing w:after="0" w:line="275" w:lineRule="auto"/>
        <w:rPr>
          <w:sz w:val="20"/>
          <w:szCs w:val="20"/>
          <w:color w:val="auto"/>
        </w:rPr>
      </w:pPr>
      <w:r>
        <w:rPr>
          <w:rFonts w:ascii="Times New Roman" w:cs="Times New Roman" w:eastAsia="Times New Roman" w:hAnsi="Times New Roman"/>
          <w:sz w:val="19"/>
          <w:szCs w:val="19"/>
          <w:color w:val="auto"/>
        </w:rPr>
        <w:t>The Applicant/Filer hereby gives and grants the foregoing Attorney-in-Fact full power and authority to do and perform all and every act and thing whatsoever requisite, necessary or appropriate to be done in and about the foregoing matters as fully to all intents and purposes as the Applicant/Filer might or could do if present, hereby ratifying all that such Attorney-in-Fact of, for an on behalf of the Applicant/Filer, shall lawfully do or cause to be done by virtue of this Limited Power of Attorney. This Limited Power of Attorney shall remain in full force and effect until revoked by the Applicant/Filer in a signed writing delivered to such Attorney-in-Fact.</w:t>
      </w:r>
    </w:p>
    <w:p>
      <w:pPr>
        <w:spacing w:after="0" w:line="189"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80"/>
          </w:cols>
          <w:pgMar w:left="480" w:top="990"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IN WITNESS whereof this Limited Power of Attorney has been duly executed this 24th day of January, 2024.</w:t>
      </w:r>
    </w:p>
    <w:p>
      <w:pPr>
        <w:spacing w:after="0" w:line="2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19050</wp:posOffset>
            </wp:positionV>
            <wp:extent cx="277304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323850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259"/>
      </w:cols>
      <w:pgMar w:left="120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Roman"/>
      <w:start w:val="1"/>
    </w:lvl>
    <w:lvl w:ilvl="1">
      <w:lvlJc w:val="left"/>
      <w:lvlText w:val="(%2)"/>
      <w:numFmt w:val="decimal"/>
      <w:start w:val="2"/>
    </w:lvl>
  </w:abstractNum>
  <w:abstractNum w:abstractNumId="8">
    <w:nsid w:val="5BD062C2"/>
    <w:multiLevelType w:val="hybridMultilevel"/>
    <w:lvl w:ilvl="0">
      <w:lvlJc w:val="left"/>
      <w:lvlText w:val="(%1)"/>
      <w:numFmt w:val="lowerRoman"/>
      <w:start w:val="3"/>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09461"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2024-01-30T04:03:53Z</dcterms:created>
  <dcterms:modified xsi:type="dcterms:W3CDTF">2024-01-30T04:03:53Z</dcterms:modified>
</cp:coreProperties>
</file>