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760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7608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Chang Raymond Nobu</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0"/>
        <w:spacing w:after="0" w:line="365" w:lineRule="auto"/>
        <w:rPr>
          <w:sz w:val="20"/>
          <w:szCs w:val="20"/>
          <w:color w:val="auto"/>
        </w:rPr>
      </w:pPr>
      <w:r>
        <w:rPr>
          <w:rFonts w:ascii="Times New Roman" w:cs="Times New Roman" w:eastAsia="Times New Roman" w:hAnsi="Times New Roman"/>
          <w:sz w:val="17"/>
          <w:szCs w:val="17"/>
          <w:color w:val="0000FF"/>
        </w:rPr>
        <w:t>C/O AGRIFY CORPORATION 2468 INDUSTRIAL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0000FF"/>
              </w:rPr>
              <w:t>TROY</w:t>
            </w:r>
          </w:p>
        </w:tc>
        <w:tc>
          <w:tcPr>
            <w:tcW w:w="12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48084</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Agrify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AGFY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700" w:type="dxa"/>
            <w:vAlign w:val="bottom"/>
          </w:tcPr>
          <w:p>
            <w:pPr>
              <w:spacing w:after="0"/>
              <w:rPr>
                <w:sz w:val="3"/>
                <w:szCs w:val="3"/>
                <w:color w:val="auto"/>
              </w:rPr>
            </w:pPr>
          </w:p>
        </w:tc>
        <w:tc>
          <w:tcPr>
            <w:tcW w:w="1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7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03/29/2024</w:t>
            </w:r>
          </w:p>
        </w:tc>
        <w:tc>
          <w:tcPr>
            <w:tcW w:w="2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120" w:type="dxa"/>
            <w:vAlign w:val="bottom"/>
            <w:gridSpan w:val="2"/>
            <w:vMerge w:val="continue"/>
          </w:tcPr>
          <w:p>
            <w:pPr>
              <w:spacing w:after="0"/>
              <w:rPr>
                <w:sz w:val="11"/>
                <w:szCs w:val="11"/>
                <w:color w:val="auto"/>
              </w:rPr>
            </w:pPr>
          </w:p>
        </w:tc>
        <w:tc>
          <w:tcPr>
            <w:tcW w:w="2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CEO and Chairman</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112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02/28/2024</w:t>
            </w:r>
          </w:p>
        </w:tc>
        <w:tc>
          <w:tcPr>
            <w:tcW w:w="27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9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40" w:type="dxa"/>
            <w:vAlign w:val="bottom"/>
            <w:gridSpan w:val="2"/>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RTC3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02/28/2024</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18"/>
                <w:szCs w:val="18"/>
                <w:color w:val="auto"/>
              </w:rPr>
            </w:pPr>
          </w:p>
        </w:tc>
        <w:tc>
          <w:tcPr>
            <w:tcW w:w="940" w:type="dxa"/>
            <w:vAlign w:val="bottom"/>
          </w:tcPr>
          <w:p>
            <w:pPr>
              <w:jc w:val="center"/>
              <w:ind w:right="31"/>
              <w:spacing w:after="0" w:line="213" w:lineRule="exact"/>
              <w:rPr>
                <w:sz w:val="20"/>
                <w:szCs w:val="20"/>
                <w:color w:val="auto"/>
              </w:rPr>
            </w:pPr>
            <w:r>
              <w:rPr>
                <w:rFonts w:ascii="Times New Roman" w:cs="Times New Roman" w:eastAsia="Times New Roman" w:hAnsi="Times New Roman"/>
                <w:sz w:val="17"/>
                <w:szCs w:val="17"/>
                <w:color w:val="0000FF"/>
              </w:rPr>
              <w:t>263,157</w:t>
            </w:r>
            <w:r>
              <w:rPr>
                <w:rFonts w:ascii="Times New Roman" w:cs="Times New Roman" w:eastAsia="Times New Roman" w:hAnsi="Times New Roman"/>
                <w:sz w:val="22"/>
                <w:szCs w:val="22"/>
                <w:color w:val="008000"/>
                <w:vertAlign w:val="superscript"/>
              </w:rPr>
              <w:t>(1)</w:t>
            </w:r>
          </w:p>
        </w:tc>
        <w:tc>
          <w:tcPr>
            <w:tcW w:w="4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gridSpan w:val="2"/>
          </w:tcPr>
          <w:p>
            <w:pPr>
              <w:ind w:left="10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0.38</w:t>
            </w:r>
            <w:r>
              <w:rPr>
                <w:rFonts w:ascii="Times New Roman" w:cs="Times New Roman" w:eastAsia="Times New Roman" w:hAnsi="Times New Roman"/>
                <w:sz w:val="22"/>
                <w:szCs w:val="22"/>
                <w:color w:val="008000"/>
                <w:w w:val="92"/>
                <w:vertAlign w:val="superscript"/>
              </w:rPr>
              <w:t>(2)</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1,717,051</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02/28/2024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1,578,947</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gridSpan w:val="2"/>
            <w:vMerge w:val="restart"/>
          </w:tcPr>
          <w:p>
            <w:pPr>
              <w:ind w:left="10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0.38</w:t>
            </w:r>
            <w:r>
              <w:rPr>
                <w:rFonts w:ascii="Times New Roman" w:cs="Times New Roman" w:eastAsia="Times New Roman" w:hAnsi="Times New Roman"/>
                <w:sz w:val="22"/>
                <w:szCs w:val="22"/>
                <w:color w:val="008000"/>
                <w:w w:val="92"/>
                <w:vertAlign w:val="superscript"/>
              </w:rPr>
              <w:t>(2)</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1,578,947</w:t>
            </w:r>
          </w:p>
        </w:tc>
        <w:tc>
          <w:tcPr>
            <w:tcW w:w="320" w:type="dxa"/>
            <w:vAlign w:val="bottom"/>
          </w:tcPr>
          <w:p>
            <w:pPr>
              <w:spacing w:after="0"/>
              <w:rPr>
                <w:sz w:val="21"/>
                <w:szCs w:val="21"/>
                <w:color w:val="auto"/>
              </w:rPr>
            </w:pPr>
          </w:p>
        </w:tc>
        <w:tc>
          <w:tcPr>
            <w:tcW w:w="520" w:type="dxa"/>
            <w:vAlign w:val="bottom"/>
            <w:vMerge w:val="restart"/>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Chinwei</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Wang</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NXT3J</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648</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9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4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575</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263,157 shares of common stock were purchased directly by RTC3 2020 Irrevocable Trust using trust assets and (ii) 1,578,947 shares of common stock were purchased by Chinwei Wang, the reporting person's spouse, and may be subsequently transferred to RTC3 2020 Irrevocable Family Trust for estate planning purposes.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purchased by the reporting person at a purchase price of $0.38 per share of common stock in connection with the issuer's public offering that closed on February 28, 2024.</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RTC3 2020 Irrevocable Family Trust, of which the reporting person retains the authority to remove the independent trustee.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NXT3J Capital, LLC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80"/>
        <w:spacing w:after="0" w:line="272" w:lineRule="auto"/>
        <w:rPr>
          <w:sz w:val="20"/>
          <w:szCs w:val="20"/>
          <w:color w:val="auto"/>
        </w:rPr>
      </w:pPr>
      <w:r>
        <w:rPr>
          <w:rFonts w:ascii="Times New Roman" w:cs="Times New Roman" w:eastAsia="Times New Roman" w:hAnsi="Times New Roman"/>
          <w:sz w:val="13"/>
          <w:szCs w:val="13"/>
          <w:color w:val="008000"/>
        </w:rPr>
        <w:t>This amendment to the Form 4 filed by the reporting person on March 28, 2024 is being filed to clarify that the shares of common stock purchased by Chinwei Wang, the reporting person's spouse, were purchased in Ms. Wang's individual capacity and may subsequently be transferred to RTC3 2020 Irrevocable Family Trust at some point in the future.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Raymond Nobu Chang</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03/29/2024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140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2024-03-29T19:10:30Z</dcterms:created>
  <dcterms:modified xsi:type="dcterms:W3CDTF">2024-03-29T19:10:30Z</dcterms:modified>
</cp:coreProperties>
</file>