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4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4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November 19, 2024</w:t>
            </w:r>
          </w:p>
        </w:tc>
        <w:tc>
          <w:tcPr>
            <w:tcW w:w="3140" w:type="dxa"/>
            <w:vAlign w:val="bottom"/>
          </w:tcPr>
          <w:p>
            <w:pPr>
              <w:spacing w:after="0"/>
              <w:rPr>
                <w:sz w:val="24"/>
                <w:szCs w:val="24"/>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40" w:type="dxa"/>
            <w:vAlign w:val="bottom"/>
          </w:tcPr>
          <w:p>
            <w:pPr>
              <w:spacing w:after="0"/>
              <w:rPr>
                <w:sz w:val="20"/>
                <w:szCs w:val="20"/>
                <w:color w:val="auto"/>
              </w:rPr>
            </w:pPr>
          </w:p>
        </w:tc>
      </w:tr>
      <w:tr>
        <w:trPr>
          <w:trHeight w:val="439"/>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40" w:type="dxa"/>
            <w:vAlign w:val="bottom"/>
            <w:tcBorders>
              <w:top w:val="single" w:sz="8" w:color="auto"/>
            </w:tcBorders>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100" w:type="dxa"/>
            <w:vAlign w:val="bottom"/>
            <w:gridSpan w:val="8"/>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40" w:type="dxa"/>
            <w:vAlign w:val="bottom"/>
          </w:tcPr>
          <w:p>
            <w:pPr>
              <w:spacing w:after="0"/>
              <w:rPr>
                <w:sz w:val="24"/>
                <w:szCs w:val="24"/>
                <w:color w:val="auto"/>
              </w:rPr>
            </w:pPr>
          </w:p>
        </w:tc>
      </w:tr>
      <w:tr>
        <w:trPr>
          <w:trHeight w:val="245"/>
        </w:trPr>
        <w:tc>
          <w:tcPr>
            <w:tcW w:w="3140" w:type="dxa"/>
            <w:vAlign w:val="bottom"/>
            <w:tcBorders>
              <w:bottom w:val="single" w:sz="8" w:color="auto"/>
            </w:tcBorders>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60" w:type="dxa"/>
            <w:vAlign w:val="bottom"/>
            <w:gridSpan w:val="3"/>
          </w:tcPr>
          <w:p>
            <w:pPr>
              <w:spacing w:after="0"/>
              <w:rPr>
                <w:sz w:val="20"/>
                <w:szCs w:val="20"/>
                <w:color w:val="auto"/>
              </w:rPr>
            </w:pPr>
          </w:p>
        </w:tc>
        <w:tc>
          <w:tcPr>
            <w:tcW w:w="3140" w:type="dxa"/>
            <w:vAlign w:val="bottom"/>
          </w:tcPr>
          <w:p>
            <w:pPr>
              <w:jc w:val="center"/>
              <w:ind w:right="22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2024, Agrify Corporation (the “Company”) entered into Securities Purchase Agreements (the “Purchase Agreements”) with institutional investors and other accredited investors for the sale by the Company of (i) 203,988 shares (the “Shares”) of the Company’s common stock, par value $0.001 per share (the “Common Stock”), and (ii) pre-funded warrants (the “Pre-Funded Warrants”) to purchase up to an aggregate of 949,515 shares of Common Stock, in a private placement offering. The purchase price for one Share is $22.30 and the purchase price for one Pre-Funded Warrant is $22.2999, which is equal to the purchase price for one Share less the exercise price of the Pre-Funded Warrant.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Pre-Funded Warrant is exercisable upon issuance into one share of Common Stock at a price per share of $0.0001 (as adjusted from time to time in accordance with the terms thereof) and will expire when such Pre-Funded Warrant is fully exercised.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closing of the sales of these securities under the Purchase Agreements is expected to occur on or about November 21, 2024, subject to the satisfaction of customary closing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Benjamin Kovler, Chairman and Interim Chief Executive Officer of the Company, participated in the private placement to purchase 10,000 Shares on the same terms as other investors except for a purchase price of $38.76 pursuant to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proceeds to the Company from the private placement are expected to be approximately $25.9 million, before deducting offering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the Pre-Funded Warrants and the shares of common stock issuable upon the exercise of the Pre-Funded Warrants will be sold and issued without registration under the Securities Act of 1933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the Company and the investors also entered into Registration Rights Agreements (the “Registration Rights Agreements”), pursuant to which the Company, within 45 days following demand by a majority-in-interest of the investors, will be required to file a registration statement with the Securities and Exchange Commission to register for resale the Shares and the shares of common stock issuable upon the exercise of Pre-Funded Warrants sold in the private placement.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Agreements were made solely for the benefit of the parties to the Purchase Agreements. In addition, such representations, warranties and covenants (i) are intended as a way of allocating the risk between the parties to the Purchase Agreements and not as statements of fact, and (ii) may apply standards of materiality in a way that is different from what may be viewed as material by stockholders of, or other investors in, the Company. Accordingly, the form of Purchase Agreement is included with this filing only to provide investors with information regarding the terms of transaction, and not to provide investors with any other factual information regarding the Company. Stockholders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Purchase Agreements, which subsequent information may or may not be fully reflected in public disclosures.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form of Purchase Agreement, the form of Registration Rights Agreement and the form of Pre-Funded Warrant are filed as Exhibits 10.1, 10.2 and 4.1, respectively, to this Current Report on Form 8-K. The foregoing summaries of the terms of these documents are subject to, and qualified in their entirety by, such documents, which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above in Item 1.01 related to the Shares, the Pre-Funded Warrants and the shares of common stock underlying the Pre-Funded Warrants is hereby incorporated by reference into this Item 3.02.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2024, the Board of Directors of the Company (the “Board”), upon the recommendation of the Compensation Committee of the Board, agreed to the compensation of Benjamin Kovler for his service as the Corporation’s Interim Chief Executive Officer. Pursuant to the Board approval, Mr. Kovler will be entitled to receive annual cash compensation of $1 and is eligible to receive equity awards under the Company’s 2022 Omnibus Equity Incentive Plan, as amended (the “Plan”). On November 19, 2024, the Board approved a grant of 50,000 restricted stock units to Mr. Kovler (the “RSUs”), all of which will vest on the one-year anniversary of issuance, subject to Mr. Kovler’s continued service to the Company as Interim Chief Executive Officer, any other officer position or as executive chairman through the vesting date, and further subject to the approval by the Company’s stockholders of an increase to the numbers of shares available for issuance under the Plan that is sufficient to permit the issuance of all of the shares of common stock underlying the RSUs.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21, 2024, the Company issued a press release announcing the signing of the Purchase Agreements. The full text of the press release is attached hereto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Registration Rights Agreement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registrant dated November 21,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but not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0"/>
        <w:spacing w:after="0"/>
        <w:tabs>
          <w:tab w:leader="none" w:pos="6880" w:val="left"/>
        </w:tabs>
        <w:rPr>
          <w:sz w:val="20"/>
          <w:szCs w:val="20"/>
          <w:color w:val="auto"/>
        </w:rPr>
      </w:pPr>
      <w:r>
        <w:rPr>
          <w:rFonts w:ascii="Times New Roman" w:cs="Times New Roman" w:eastAsia="Times New Roman" w:hAnsi="Times New Roman"/>
          <w:sz w:val="18"/>
          <w:szCs w:val="18"/>
          <w:color w:val="auto"/>
        </w:rPr>
        <w:t>Date: November 21, 2024</w:t>
      </w:r>
      <w:r>
        <w:rPr>
          <w:sz w:val="20"/>
          <w:szCs w:val="20"/>
          <w:color w:val="auto"/>
        </w:rPr>
        <w:tab/>
      </w:r>
      <w:r>
        <w:rPr>
          <w:rFonts w:ascii="Times New Roman" w:cs="Times New Roman" w:eastAsia="Times New Roman" w:hAnsi="Times New Roman"/>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Shares:__________________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21, 2024</w:t>
      </w:r>
    </w:p>
    <w:p>
      <w:pPr>
        <w:spacing w:after="0" w:line="200" w:lineRule="exact"/>
        <w:rPr>
          <w:sz w:val="20"/>
          <w:szCs w:val="20"/>
          <w:color w:val="auto"/>
        </w:rPr>
      </w:pPr>
    </w:p>
    <w:p>
      <w:pPr>
        <w:sectPr>
          <w:pgSz w:w="11900" w:h="16838" w:orient="portrait"/>
          <w:cols w:equalWidth="0" w:num="2">
            <w:col w:w="8240" w:space="720"/>
            <w:col w:w="2280"/>
          </w:cols>
          <w:pgMar w:left="320" w:top="108"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 or its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_________ shares (as subject to adjustment hereunder,</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November 20, 2024,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jc w:val="both"/>
        <w:ind w:firstLine="644"/>
        <w:spacing w:after="0" w:line="256" w:lineRule="auto"/>
        <w:tabs>
          <w:tab w:leader="none" w:pos="8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140" w:hanging="496"/>
        <w:spacing w:after="0" w:line="253" w:lineRule="auto"/>
        <w:tabs>
          <w:tab w:leader="none" w:pos="9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220" w:hanging="576"/>
        <w:spacing w:after="0" w:line="282" w:lineRule="auto"/>
        <w:tabs>
          <w:tab w:leader="none" w:pos="9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holding period of this Warrant. The Company agrees not to take any position contrary to this Section 2(c).</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jc w:val="both"/>
        <w:ind w:left="328"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328" w:hanging="4"/>
        <w:spacing w:after="0" w:line="255" w:lineRule="auto"/>
        <w:tabs>
          <w:tab w:leader="none" w:pos="5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8" w:hanging="332"/>
        <w:spacing w:after="0" w:line="252" w:lineRule="auto"/>
        <w:tabs>
          <w:tab w:leader="none" w:pos="162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7" w:lineRule="exact"/>
        <w:rPr>
          <w:rFonts w:ascii="Times New Roman" w:cs="Times New Roman" w:eastAsia="Times New Roman" w:hAnsi="Times New Roman"/>
          <w:sz w:val="18"/>
          <w:szCs w:val="18"/>
          <w:color w:val="auto"/>
        </w:rPr>
      </w:pPr>
    </w:p>
    <w:p>
      <w:pPr>
        <w:jc w:val="both"/>
        <w:ind w:left="1628" w:hanging="332"/>
        <w:spacing w:after="0" w:line="261" w:lineRule="auto"/>
        <w:tabs>
          <w:tab w:leader="none" w:pos="162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628" w:hanging="332"/>
        <w:spacing w:after="0" w:line="282" w:lineRule="auto"/>
        <w:tabs>
          <w:tab w:leader="none" w:pos="162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jc w:val="both"/>
        <w:ind w:left="840" w:hanging="332"/>
        <w:spacing w:after="0" w:line="25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Warrant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840" w:hanging="332"/>
        <w:spacing w:after="0" w:line="26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hanging="332"/>
        <w:spacing w:after="0" w:line="254"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firstLine="644"/>
        <w:spacing w:after="0" w:line="251" w:lineRule="auto"/>
        <w:tabs>
          <w:tab w:leader="none" w:pos="8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left="-460" w:firstLine="644"/>
        <w:spacing w:after="0" w:line="253"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22"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3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19"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37" w:right="339" w:bottom="312" w:gutter="0" w:footer="0" w:header="0"/>
        </w:sectPr>
      </w:pPr>
    </w:p>
    <w:bookmarkStart w:id="10" w:name="page11"/>
    <w:bookmarkEnd w:id="10"/>
    <w:p>
      <w:pPr>
        <w:jc w:val="both"/>
        <w:ind w:firstLine="644"/>
        <w:spacing w:after="0" w:line="266"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89" w:lineRule="auto"/>
        <w:tabs>
          <w:tab w:leader="none" w:pos="208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1300" w:firstLine="640"/>
        <w:spacing w:after="0" w:line="252" w:lineRule="auto"/>
        <w:tabs>
          <w:tab w:leader="none" w:pos="216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firstLine="644"/>
        <w:spacing w:after="0" w:line="256"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left="-460" w:firstLine="644"/>
        <w:spacing w:after="0" w:line="258" w:lineRule="auto"/>
        <w:tabs>
          <w:tab w:leader="none" w:pos="3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right="20" w:firstLine="644"/>
        <w:spacing w:after="0" w:line="261" w:lineRule="auto"/>
        <w:tabs>
          <w:tab w:leader="none" w:pos="4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66" w:lineRule="auto"/>
        <w:tabs>
          <w:tab w:leader="none" w:pos="4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37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AGRIFY CORPORATION</w:t>
      </w:r>
    </w:p>
    <w:p>
      <w:pPr>
        <w:spacing w:after="0" w:line="225" w:lineRule="exact"/>
        <w:rPr>
          <w:sz w:val="20"/>
          <w:szCs w:val="20"/>
          <w:color w:val="auto"/>
        </w:rPr>
      </w:pPr>
    </w:p>
    <w:p>
      <w:pPr>
        <w:ind w:firstLine="1304"/>
        <w:spacing w:after="0" w:line="282" w:lineRule="auto"/>
        <w:tabs>
          <w:tab w:leader="none" w:pos="15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applicable, the Warrant Shares shall be delivered to the following DWAC Account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firstLine="4"/>
        <w:spacing w:after="0" w:line="282"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4629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-121920</wp:posOffset>
            </wp:positionV>
            <wp:extent cx="4629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-121920</wp:posOffset>
            </wp:positionV>
            <wp:extent cx="4629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22860</wp:posOffset>
            </wp:positionV>
            <wp:extent cx="4629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-121920</wp:posOffset>
            </wp:positionV>
            <wp:extent cx="4629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2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2100"/>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30480</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42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9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________________ ____, _________</w:t>
            </w:r>
          </w:p>
        </w:tc>
        <w:tc>
          <w:tcPr>
            <w:tcW w:w="13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4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4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682"/>
        </w:trPr>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November 20, 2024, between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Blank Rome LLP, with offices located at 125 High Street, Boston, MA 02110.</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has been declared effective by the Commission,</w:t>
      </w:r>
    </w:p>
    <w:p>
      <w:pPr>
        <w:spacing w:after="0" w:line="27" w:lineRule="exact"/>
        <w:rPr>
          <w:sz w:val="20"/>
          <w:szCs w:val="20"/>
          <w:color w:val="auto"/>
        </w:rPr>
      </w:pPr>
    </w:p>
    <w:p>
      <w:pPr>
        <w:jc w:val="both"/>
        <w:ind w:left="4" w:hanging="4"/>
        <w:spacing w:after="0" w:line="252" w:lineRule="auto"/>
        <w:tabs>
          <w:tab w:leader="none" w:pos="2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and Pre-Funded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Pre-Funded Warrant Shares is not an Affiliate of the Company, or (d) all of the Shares and Pre-Funded Warrant Shares may be sold pursuant to an exemption from registration under Section 4(a)(1) of the Securities Act without volume or manner-of-sale restrictions and Company Counsel has delivered to such holders a written opinion that resales may then be made by such holders of the Shares and Pre-Funded Warrant Shares pursuant to such exemption which opinion shall be in form and substance reasonably acceptable to such holders.</w:t>
      </w:r>
    </w:p>
    <w:p>
      <w:pPr>
        <w:spacing w:after="0" w:line="18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and other intercompany payables or receivables among the Company and any of its Subsidiaries),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3.1(gg).</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3.1(i).</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3.1(jj).</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$22.30, subject to adjustment for reverse and forward stock splits, stock dividends, stock combinations and other similar transactions of the Common Stock that occur after the date of this Agreement and prior to the Closing Date.</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4.6.</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Pre-Funded Warrant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Pre-Funded Warrant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the Registration Rights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Financial Solutions, Inc., the current transfer agent of the Company, with a mailing address of 51 Mercedes Way, Edgewood, NY 11717, and any successor transfer agent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up to $25.89 million of Shares;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shall be 4.99% (or, with respect to each Purchaser, at the election of such Purchaser at Closing, 9.99%) of the number of shares of the Common Stock outstanding immediately after giving effect to the issuance of the Securities on the Closing Date. Each Purchaser shall deliver to the Company, via wire transfer, immediately available funds equal to such Purchaser’s Subscription Amount as set forth on the signature page hereto executed by such Purchaser (less any amount withheld by the lead investor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and the Company shall deliver to each Purchaser its respective Shares and Pre-Funded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Company Counsel or such other location as the parties shall mutually agree.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evidence of the issuance of a number of Shares equal to such Purchaser’s Subscription Amount divided by the Per Share Purchase Price (minus the number of shares of Common Stock issuable upon exercise of such Purchaser’s Pre-Funded Warrant, if applicable), as held in book-entry form by the Transfer Agent and registered in the name of such Purchaser, which evidence shall be reasonably satisfactory to each Purchaser;</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portion of such Purchaser’s Subscription Amount applicable to Pre-Funded Warrants divided by the difference of the Per Share Purchase Price minus $0.0001, with an exercise price equal to $0.0001, subject to adjustment as provided therein;</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540" w:hanging="248"/>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sz w:val="20"/>
          <w:szCs w:val="20"/>
          <w:color w:val="auto"/>
        </w:rPr>
      </w:pPr>
    </w:p>
    <w:p>
      <w:pPr>
        <w:ind w:left="1560" w:hanging="268"/>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by wire transfer to the account specified in writing by the Company; and</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5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1"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Company shall have reserved out of its authorized and unissued Common Stock, solely for the purpose of effecting the exercise of the Pre-Funded Warrants, at least 949,515 shares of Common Stock (such number to be adjusted for any stock splits, stock dividends, stock combinations or other similar transactions involving the Common Stock that are effective at any time after the date of this Agreement); and</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left="640" w:firstLine="652"/>
        <w:spacing w:after="0" w:line="255" w:lineRule="auto"/>
        <w:tabs>
          <w:tab w:leader="none" w:pos="15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w:t>
      </w:r>
    </w:p>
    <w:p>
      <w:pPr>
        <w:spacing w:after="0" w:line="225" w:lineRule="exact"/>
        <w:rPr>
          <w:sz w:val="20"/>
          <w:szCs w:val="20"/>
          <w:color w:val="auto"/>
        </w:rPr>
      </w:pPr>
    </w:p>
    <w:p>
      <w:pPr>
        <w:jc w:val="both"/>
        <w:ind w:firstLine="644"/>
        <w:spacing w:after="0" w:line="261" w:lineRule="auto"/>
        <w:tabs>
          <w:tab w:leader="none" w:pos="9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as set forth in the SEC Reports. Except as set forth on Schedule 3.1(a) attached hereto,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firstLine="644"/>
        <w:spacing w:after="0" w:line="253"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could not have or could not reasonably be expected to result in a Material Adverse Effect.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7" w:lineRule="exact"/>
        <w:rPr>
          <w:rFonts w:ascii="Times New Roman" w:cs="Times New Roman" w:eastAsia="Times New Roman" w:hAnsi="Times New Roman"/>
          <w:sz w:val="18"/>
          <w:szCs w:val="18"/>
          <w:color w:val="auto"/>
        </w:rPr>
      </w:pPr>
    </w:p>
    <w:p>
      <w:pPr>
        <w:jc w:val="both"/>
        <w:ind w:firstLine="644"/>
        <w:spacing w:after="0" w:line="253" w:lineRule="auto"/>
        <w:tabs>
          <w:tab w:leader="none" w:pos="9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460" w:firstLine="644"/>
        <w:spacing w:after="0" w:line="253" w:lineRule="auto"/>
        <w:tabs>
          <w:tab w:leader="none" w:pos="5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except as disclosed in the SEC Reports,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its Subsidiaries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the filing with the Commission pursuant to the Registration Rights Agreement, (iii) the notice and/or application(s) to each applicable Trading Market for the issuance and sale of the Securities and the listing of the Shares and Pre-Funded Warrant Shares for trading thereon in the time and manner required thereby, and (iv) the filing of a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Pre-Funded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Pre-Funded Warrants.</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 w:name="page26"/>
    <w:bookmarkEnd w:id="25"/>
    <w:p>
      <w:pPr>
        <w:jc w:val="both"/>
        <w:ind w:left="-460" w:firstLine="644"/>
        <w:spacing w:after="0" w:line="251" w:lineRule="auto"/>
        <w:tabs>
          <w:tab w:leader="none" w:pos="4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as of the time of filing of such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would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materially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jc w:val="both"/>
        <w:ind w:left="-460" w:firstLine="644"/>
        <w:spacing w:after="0" w:line="253" w:lineRule="auto"/>
        <w:tabs>
          <w:tab w:leader="none" w:pos="4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its Subsidiaries or any of their respective properties before or by any court, arbitrator, governmental or administrative agency or regulatory authority (federal, state, county, local or foreign) which (i) adversely affects or challenges the legality, validity or enforceability of any of the Transaction Documents or the Securities or (ii) would, if there were an unfavorable decision, have or reasonably be expected to result in a Material Adverse Effect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Neither the Company nor its Subsidiaries, nor, to the knowledge of the Company, any director or officer thereof, is or has been the subject of any Action involving a claim of violation of or liability under federal or state securities laws or a claim of breach of fiduciary duty.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its Subsidiaries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its Subsidiaries,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reasonably be expected to result in a Material Adverse Effect.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its Subsidiaries: (i) is in default under or in violation of (and no event has occurred that has not been waived that, with notice or lapse of time or both, would result in a default by the Company or its Subsidiaries under), nor has the Company or its Subsidiaries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jc w:val="both"/>
        <w:ind w:firstLine="644"/>
        <w:spacing w:after="0" w:line="261"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(other than with respect to intellectual property, which for the avoidance of doubt is addressed exclusively in Section 3.1(p)), except for (i) Liens as do not materially affect the value of such property and do not materially interfere with the use made and proposed to be made of such property by the Company and its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except where the failure to so comply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9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its Subsidiaries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its Subsidiaries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insured by insurers of recognized financial responsibility against such losses and risks and in such amounts as are prudent and customary in the businesses in which the Company and its Subsidiaries are engaged. Neither the Company nor its Subsidiaries has any knowledge of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both"/>
        <w:ind w:firstLine="644"/>
        <w:spacing w:after="0" w:line="254" w:lineRule="auto"/>
        <w:tabs>
          <w:tab w:leader="none" w:pos="8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its Subsidiaries and, to the knowledge of the Company, none of the employees of the Company or its Subsidiaries is presently a party to any transaction with the Company or its Subsidiaries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 Subsidiary and (iii) other employee benefits, including equity award agreements under any equity incentive plan of the Company.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jc w:val="both"/>
        <w:ind w:left="-460" w:firstLine="644"/>
        <w:spacing w:after="0" w:line="252" w:lineRule="auto"/>
        <w:tabs>
          <w:tab w:leader="none" w:pos="4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its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have established disclosure controls and procedures (as defined in Exchange Act Rules 13a-15(e) and 15d-15(e)) for the Company and its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its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jc w:val="both"/>
        <w:ind w:left="-460" w:firstLine="644"/>
        <w:spacing w:after="0" w:line="256" w:lineRule="auto"/>
        <w:tabs>
          <w:tab w:leader="none" w:pos="5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SEC Reports,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used in this subsection, “Company” shall mean the Company and its Subsidiaries, taken as a whole.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Except as set forth in the SEC Reports,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its Subsidiaries, or for which the Company or its Subsidiaries has commitments. Neither the Company nor its Subsidiaries is in default with respect to any Indebtedness.</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both"/>
        <w:ind w:left="4" w:firstLine="644"/>
        <w:spacing w:after="0" w:line="255" w:lineRule="auto"/>
        <w:tabs>
          <w:tab w:leader="none" w:pos="97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its Subsidiaries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its Subsidiaries, nor to the knowledge of the Company or its Subsidiaries, any agent or other person acting on behalf of the Company or its Subsidiaries,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its Subsidiaries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ind w:left="1024" w:hanging="376"/>
        <w:spacing w:after="0"/>
        <w:tabs>
          <w:tab w:leader="none" w:pos="10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GuzmanGray. To the knowledge and belief of the Company, such accounting firm</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registered public accounting firm as required by the Exchange Act and (ii) shall express its opinion with respect to the financial statements to be included in the Company’s Annual Report for the fiscal year ended December 31, 2024.</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1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jc w:val="both"/>
        <w:ind w:left="4" w:firstLine="644"/>
        <w:spacing w:after="0" w:line="252" w:lineRule="auto"/>
        <w:tabs>
          <w:tab w:leader="none" w:pos="10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1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material security breach or other compromise of or relating to any of the Company’s or its Subsidiaries’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except for those as would not cause a Material Adverse Effect, and (y) the Company and its Subsidiaries have not been notified of, and has no knowledge of any event or condition that would reasonably be expected to result in, any material security breach or other compromise to its IT Systems and Data that would cause a Material Adverse Effect; (ii)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its Subsidiaries have implemented and maintained commercially reasonable safeguards to maintain and protect its material confidential information and the integrity, continuous operation, redundancy and security of all IT Systems and Data; and (iv) the Company and its Subsidiaries have implemented backup and disaster recovery technology consistent with industry standards and practices.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01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equity incentive plans (including, for the avoidance of doubt, the Company’s 2022 Omnibus Equity Incentive Plan, as amended) was granted (i) in accordance with the terms of such equity incentive plan and (ii) with an exercise price at least equal to the fair market value of the Common Stock on the date such stock option would be considered granted under GAAP and applicable law. No equity award granted under the Company’s equity incentive plans has been backdated. Except as would not, individually or in the aggregate, have a Material Adverse Effect,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jc w:val="both"/>
        <w:ind w:left="-460" w:firstLine="644"/>
        <w:spacing w:after="0" w:line="266" w:lineRule="auto"/>
        <w:tabs>
          <w:tab w:leader="none" w:pos="4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its Subsidiaries nor, to the Company’s knowledge, any director, officer, agent, employee or affiliate of the Company or its Subsidiaries is currently subject to any U.S. sanctions administered by the Office of Foreign Assets Control of the U.S. Treasury Department.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its Subsidiaries with respect to the Money Laundering Laws is pending or, to the knowledge of the Company or its Subsidiaries, threatened.</w:t>
      </w:r>
    </w:p>
    <w:p>
      <w:pPr>
        <w:spacing w:after="0" w:line="183" w:lineRule="exact"/>
        <w:rPr>
          <w:rFonts w:ascii="Times New Roman" w:cs="Times New Roman" w:eastAsia="Times New Roman" w:hAnsi="Times New Roman"/>
          <w:sz w:val="18"/>
          <w:szCs w:val="18"/>
          <w:color w:val="auto"/>
        </w:rPr>
      </w:pPr>
    </w:p>
    <w:p>
      <w:pPr>
        <w:jc w:val="both"/>
        <w:ind w:left="-460" w:firstLine="707"/>
        <w:spacing w:after="0" w:line="266" w:lineRule="auto"/>
        <w:tabs>
          <w:tab w:leader="none" w:pos="6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76" w:lineRule="exact"/>
        <w:rPr>
          <w:sz w:val="20"/>
          <w:szCs w:val="20"/>
          <w:color w:val="auto"/>
        </w:rPr>
      </w:pPr>
    </w:p>
    <w:p>
      <w:pPr>
        <w:jc w:val="both"/>
        <w:ind w:left="-460" w:firstLine="644"/>
        <w:spacing w:after="0" w:line="266" w:lineRule="auto"/>
        <w:tabs>
          <w:tab w:leader="none" w:pos="5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Eligible</w:t>
      </w:r>
      <w:r>
        <w:rPr>
          <w:rFonts w:ascii="Times New Roman" w:cs="Times New Roman" w:eastAsia="Times New Roman" w:hAnsi="Times New Roman"/>
          <w:sz w:val="18"/>
          <w:szCs w:val="18"/>
          <w:color w:val="auto"/>
        </w:rPr>
        <w:t>. The Common Stock is DTC eligible and DTC has not placed a “freeze” or a “chill” on the Common Stock and the Company has no reason to believe that DTC has any intention to make the Common Stock not DTC eligible, or place a “freeze” or “chill” on the Common Stock. No federal or state regulatory authority has indicated that it will prohibit the listing of the Company’s securities based upon its prior business in the cannabis or cannabis-related markets nor will any Purchaser be prohibited from depositing, clearing or settling the Securities, including through the DTC or otherwise, on account of the Company’s prior business in the cannabis or cannabis-related markets.</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5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ind w:left="660" w:firstLine="644"/>
        <w:spacing w:after="0" w:line="282" w:lineRule="auto"/>
        <w:tabs>
          <w:tab w:leader="none" w:pos="17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Pre-Funded Warrants, it will be an “accredited investor” as defined in Rule 501(a)(1), (a)(2), (a)(3), (a)(7), (a)(8), (a)(9), (a) (12), or (a)(13) under the Securities 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left="660" w:firstLine="644"/>
        <w:spacing w:after="0" w:line="289" w:lineRule="auto"/>
        <w:tabs>
          <w:tab w:leader="none" w:pos="170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Solicitation</w:t>
      </w:r>
      <w:r>
        <w:rPr>
          <w:rFonts w:ascii="Times New Roman" w:cs="Times New Roman" w:eastAsia="Times New Roman" w:hAnsi="Times New Roman"/>
          <w:sz w:val="17"/>
          <w:szCs w:val="17"/>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57" w:lineRule="exact"/>
        <w:rPr>
          <w:rFonts w:ascii="Times New Roman" w:cs="Times New Roman" w:eastAsia="Times New Roman" w:hAnsi="Times New Roman"/>
          <w:sz w:val="17"/>
          <w:szCs w:val="17"/>
          <w:color w:val="auto"/>
        </w:rPr>
      </w:pPr>
    </w:p>
    <w:p>
      <w:pPr>
        <w:jc w:val="both"/>
        <w:ind w:left="660" w:firstLine="644"/>
        <w:spacing w:after="0" w:line="255" w:lineRule="auto"/>
        <w:tabs>
          <w:tab w:leader="none" w:pos="15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in substantially the following form:</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4" w:hanging="4"/>
        <w:spacing w:after="0" w:line="260"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(as defined in the Registration Rights Agreement) thereunder.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and Pre-Funded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Pre-Funded Warrant Shares pursuant to Rule 144 (assuming cashless exercise of the Pre-Funded Warrants), (iii) if such Shares or Pre-Funded Warrant Shares are eligible for sale under Rule 144 (assuming cashless exercise of the Pre-Funded Warrants), without the requirement for the Company to be in compliance with the current public information required under Rule 144 as to such Shares and Pre-Funded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after the Effective Date if requested by a Purchaser. If all or any portion of a Pre-Funded Warrant is exercised at a time when there is an effective registration statement to cover the resale of the Pre-Funded Warrant Shares, or if such Shares or Pre-Funded Warrant Shares may be sold under Rule 144 and the Company is then in compliance with the current public information required under Rule 144 (assuming cashless exercise of the Pre-Funded Warrants), or if the Shares or Pre-Funded Warrant Shares may be sold under Rule 144 without the requirement for the Company to be in compliance with the current public information required under Rule 144 as to such Shares or Pre-Funded Warrant Shares or if such legend is not otherwise required under applicable requirements of the Securities Act (including judicial interpretations and pronouncements issued by the staff of the Commission) then such Pre-Funded Warrant Shares shall be issued free of all legends. The Company agrees that following the Effective Date or at such time as such legend is no longer required under this Section 4.1(c), it will, no later than one (1) Trading Day following the delivery by a Purchaser to the Company or the Transfer Agent of a certificate representing Shares or Pre-Funded Warrant Shares, as the case may be, issued with a restrictive legend along with customary representation letters reasonably satisfactory to the Company’s counsel if such shares are to be sold pursuant to Rule 144,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w:t>
      </w:r>
    </w:p>
    <w:p>
      <w:pPr>
        <w:spacing w:after="0" w:line="200" w:lineRule="exact"/>
        <w:rPr>
          <w:sz w:val="20"/>
          <w:szCs w:val="20"/>
          <w:color w:val="auto"/>
        </w:rPr>
      </w:pPr>
    </w:p>
    <w:p>
      <w:pPr>
        <w:spacing w:after="0" w:line="22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jc w:val="both"/>
        <w:ind w:left="660" w:firstLine="644"/>
        <w:spacing w:after="0" w:line="258" w:lineRule="auto"/>
        <w:tabs>
          <w:tab w:leader="none" w:pos="15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within four (4) Business Days following the date hereof, (a) issue a press release disclosing the material terms of the transactions contemplated hereby, and (b) file a Current Report on Form 8-K, including the Transaction Documents as exhibits thereto, with the Commission.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its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4.6,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primarily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4.6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submit a notification to the Trading Market with respect to all of the Shares and Pre-Funded Warrant Shares.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(other than as disclosed to its legal and other representatives). Notwithstanding the foregoing, subject to applicable law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4.3.</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Pre-Funded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Right to Participate in Future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lead investor beneficially owns at least twenty percent (20%) of the Shares and Pre-Funded Warrant Shares (considered in the aggregate) issued or issuable pursuant to this Agreement (assuming the full exercise of the Pre-Funded Warrants, irrespective of any ownership limitations contained therein), subject to the exceptions described below, the Company shall not, and shall cause each of its subsidiaries not to, (x) contract with any party for any debt financing with an equity component or equity financing, or (y) issue any equity securities of the Company or any subsidiary or securities convertible, exchangeable or exercisable into or for equity securities of the Company or any of the subsidiaries for the primary purpose of raising capital (including debt securities with an equity component) (a “</w:t>
      </w:r>
      <w:r>
        <w:rPr>
          <w:rFonts w:ascii="Times New Roman" w:cs="Times New Roman" w:eastAsia="Times New Roman" w:hAnsi="Times New Roman"/>
          <w:sz w:val="18"/>
          <w:szCs w:val="18"/>
          <w:u w:val="single" w:color="auto"/>
          <w:color w:val="auto"/>
        </w:rPr>
        <w:t>Future Offering</w:t>
      </w:r>
      <w:r>
        <w:rPr>
          <w:rFonts w:ascii="Times New Roman" w:cs="Times New Roman" w:eastAsia="Times New Roman" w:hAnsi="Times New Roman"/>
          <w:sz w:val="18"/>
          <w:szCs w:val="18"/>
          <w:color w:val="auto"/>
        </w:rPr>
        <w:t>”), unless it shall have first delivered to the lead investor, or its designee appointed by the lead investor, written notice (the “</w:t>
      </w:r>
      <w:r>
        <w:rPr>
          <w:rFonts w:ascii="Times New Roman" w:cs="Times New Roman" w:eastAsia="Times New Roman" w:hAnsi="Times New Roman"/>
          <w:sz w:val="18"/>
          <w:szCs w:val="18"/>
          <w:u w:val="single" w:color="auto"/>
          <w:color w:val="auto"/>
        </w:rPr>
        <w:t>Future Offering Notice</w:t>
      </w:r>
      <w:r>
        <w:rPr>
          <w:rFonts w:ascii="Times New Roman" w:cs="Times New Roman" w:eastAsia="Times New Roman" w:hAnsi="Times New Roman"/>
          <w:sz w:val="18"/>
          <w:szCs w:val="18"/>
          <w:color w:val="auto"/>
        </w:rPr>
        <w:t>”) describing generally the proposed Future Offering and providing the lead investor an option (the “</w:t>
      </w:r>
      <w:r>
        <w:rPr>
          <w:rFonts w:ascii="Times New Roman" w:cs="Times New Roman" w:eastAsia="Times New Roman" w:hAnsi="Times New Roman"/>
          <w:sz w:val="18"/>
          <w:szCs w:val="18"/>
          <w:u w:val="single" w:color="auto"/>
          <w:color w:val="auto"/>
        </w:rPr>
        <w:t>Buyer Purchase Option</w:t>
      </w:r>
      <w:r>
        <w:rPr>
          <w:rFonts w:ascii="Times New Roman" w:cs="Times New Roman" w:eastAsia="Times New Roman" w:hAnsi="Times New Roman"/>
          <w:sz w:val="18"/>
          <w:szCs w:val="18"/>
          <w:color w:val="auto"/>
        </w:rPr>
        <w:t>”) to purchase up to a number of securities to be issued in such Future Offering equal to the product (such product, the lead investor’s “</w:t>
      </w:r>
      <w:r>
        <w:rPr>
          <w:rFonts w:ascii="Times New Roman" w:cs="Times New Roman" w:eastAsia="Times New Roman" w:hAnsi="Times New Roman"/>
          <w:sz w:val="18"/>
          <w:szCs w:val="18"/>
          <w:u w:val="single" w:color="auto"/>
          <w:color w:val="auto"/>
        </w:rPr>
        <w:t>Allocation Percentage</w:t>
      </w:r>
      <w:r>
        <w:rPr>
          <w:rFonts w:ascii="Times New Roman" w:cs="Times New Roman" w:eastAsia="Times New Roman" w:hAnsi="Times New Roman"/>
          <w:sz w:val="18"/>
          <w:szCs w:val="18"/>
          <w:color w:val="auto"/>
        </w:rPr>
        <w:t>”) of (i) a fraction, (A) the numerator of which is the sum of the number of Shares and Pre-Funded Warrant Shares (considered in the aggregate) issued or issuable pursuant to this Agreement (assuming the full exercise of the Pre-Funded Warrants, irrespective of any ownership limitations contained therein), and (B) the denominator of which is the Fully-Diluted Shares, in each case as of the date immediately prior to the date on which the Future Offering is consummated, and (ii) the total amount of securities to be issued in such Future Offering. For purposes of this Agreement, “</w:t>
      </w:r>
      <w:r>
        <w:rPr>
          <w:rFonts w:ascii="Times New Roman" w:cs="Times New Roman" w:eastAsia="Times New Roman" w:hAnsi="Times New Roman"/>
          <w:sz w:val="18"/>
          <w:szCs w:val="18"/>
          <w:u w:val="single" w:color="auto"/>
          <w:color w:val="auto"/>
        </w:rPr>
        <w:t>Fully-Diluted Shares</w:t>
      </w:r>
      <w:r>
        <w:rPr>
          <w:rFonts w:ascii="Times New Roman" w:cs="Times New Roman" w:eastAsia="Times New Roman" w:hAnsi="Times New Roman"/>
          <w:sz w:val="18"/>
          <w:szCs w:val="18"/>
          <w:color w:val="auto"/>
        </w:rPr>
        <w:t>” means, as of any date of determination, the sum of (1) the number of shares of Common Stock then outstanding, plus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directly or indirectly issuable upon exercise, conversion or exchange of outstanding Common Stock Equivalents, in each case without giving effect to any limitations on exercise, conversion or exchange of such Common Stock Equivalents (including the Pre-Funded Warrants).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56"/>
        <w:spacing w:after="0" w:line="255" w:lineRule="auto"/>
        <w:tabs>
          <w:tab w:leader="none" w:pos="9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lead investor made within five (5) Business Days after its receipt of a Future Offering Notice (an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 Request</w:t>
      </w:r>
      <w:r>
        <w:rPr>
          <w:rFonts w:ascii="Times New Roman" w:cs="Times New Roman" w:eastAsia="Times New Roman" w:hAnsi="Times New Roman"/>
          <w:sz w:val="18"/>
          <w:szCs w:val="18"/>
          <w:color w:val="auto"/>
        </w:rPr>
        <w:t>”), the Company shall provide the lead investor with such additional information regarding the proposed Future Offering, including the name of the purchaser(s), terms and conditions and use of proceeds thereof, as the lead investor shall reasonably request. The lead investor may exercise its Buyer Purchase Option by delivering written notice (the “</w:t>
      </w:r>
      <w:r>
        <w:rPr>
          <w:rFonts w:ascii="Times New Roman" w:cs="Times New Roman" w:eastAsia="Times New Roman" w:hAnsi="Times New Roman"/>
          <w:sz w:val="18"/>
          <w:szCs w:val="18"/>
          <w:u w:val="single" w:color="auto"/>
          <w:color w:val="auto"/>
        </w:rPr>
        <w:t>Buyer Purchase Notice Date</w:t>
      </w:r>
      <w:r>
        <w:rPr>
          <w:rFonts w:ascii="Times New Roman" w:cs="Times New Roman" w:eastAsia="Times New Roman" w:hAnsi="Times New Roman"/>
          <w:sz w:val="18"/>
          <w:szCs w:val="18"/>
          <w:color w:val="auto"/>
        </w:rPr>
        <w:t>”) to the Company within five (5) Business Days after the later of (i) the lead investor’s receipt of a Future Offering Notice or (ii) the date on which the lead investor has received all of the information reasonably requested in the Additional Information Requests, which notice shall state the quantity of securities being offered in the Future Offering that the lead investor will purchase, up to its Allocation Percentage, and that quantity of securities it is willing to purchase in excess of its Allocation Percentage.</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ninety (90) days following the Buyer Purchase Notice Date to sell the securities in the Future Offering (other than the securities to be purchased by the lead investor pursuant to this Section 4.14), upon terms and conditions no more favorable to the purchasers thereof, or less favorable to the Company, than specified in the Future Offering Notice. The exercise of a Buyer Purchase Option shall be contingent upon, and contemporaneous with, the consummation of such Future Offering; provided, that notwithstanding the lead investor’s exercise of the Buyer Purchase Option with respect to a particular Future Offering, the determination to complete any such Future Offering shall be within the Company’s sole discretion. In connection with such consummation, the lead investor (if it exercises its Buyer Purchase Option) shall deliver to the Company duly and properly executed originals of any documents reasonably required by the Company to effectuate such Future Offering together with payment of the purchase price for the securities being purchased by the lead investor in such Future Offering (the “</w:t>
      </w:r>
      <w:r>
        <w:rPr>
          <w:rFonts w:ascii="Times New Roman" w:cs="Times New Roman" w:eastAsia="Times New Roman" w:hAnsi="Times New Roman"/>
          <w:sz w:val="18"/>
          <w:szCs w:val="18"/>
          <w:u w:val="single" w:color="auto"/>
          <w:color w:val="auto"/>
        </w:rPr>
        <w:t>Future Offering Purchase Price</w:t>
      </w:r>
      <w:r>
        <w:rPr>
          <w:rFonts w:ascii="Times New Roman" w:cs="Times New Roman" w:eastAsia="Times New Roman" w:hAnsi="Times New Roman"/>
          <w:sz w:val="18"/>
          <w:szCs w:val="18"/>
          <w:color w:val="auto"/>
        </w:rPr>
        <w:t>”), and the Company or a subsidiary, as appropriate, shall promptly issue to the lead investor the securities purchased thereby.</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or any subsidiary, as appropriate, has not sold such securities of the Future Offering within such ninety (90) day period described above, the Company shall not thereafter issue or sell such securities or any other securities subject to this Section 4.14 without first offering such securities to the lead investor in the manner provided in this Section 4.14.</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lead investor’s rights pursuant to this Section 4.14 may not be transferred to any Person other than an Affiliate of the lead investor.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Notwithstanding any termination of this Agreement pursuant to Section 5.1, the Company shall reimburse the lead investor for its reasonable out-of-pocket expenses incurred in connection with the preparation and negotiation of the Transaction Documents and the related due diligence review, including fees and disbursements of the lead investor’s legal counsel. The amount payable to the lead investor pursuant to the preceding sentence at the Closing may be withheld as an off-set by such Buyer from its Purchase Price to be paid by it at the Closing. The Company shall pay all of its own legal, due diligence and other expenses relating to negotiating and preparing the Transaction Documents and consummating the transactions contemplated hereby and thereby.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email attachment at the email address as set forth on the signature pages attached hereto on a day that is not a Trading Day or later than 5:30 p.m. (New York City time) on any Trading Day, (c) the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This Agreement is intended for the benefit of the parties hereto and their respective successors and permitted assigns and is not for the benefit of, nor may any provision hereof be enforced by, any other Person, except as otherwise set forth in Section 4.6.</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Delaware. Each party hereby irrevocably submits to the exclusive jurisdiction of the state and federal courts sitting in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court, that such Proceeding is improper or is an inconvenient venue for such Proceeding.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Proceeding to enforce any provisions of the Transaction Documents, then, in addition to the obligations of the Company under Section 4.6, the prevailing party in such Proceeding shall be reimbursed by the non-prevailing party for its reasonable attorneys’ fees and other costs and expenses incurred with the investigation, preparation and prosecution of such Proceeding.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www.docusign.com),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Proceeding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had the opportunity to be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AGFY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20, 2024, between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Holder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each Holder hereby agrees as follows:</w:t>
      </w:r>
    </w:p>
    <w:p>
      <w:pPr>
        <w:spacing w:after="0" w:line="225" w:lineRule="exact"/>
        <w:rPr>
          <w:sz w:val="20"/>
          <w:szCs w:val="20"/>
          <w:color w:val="auto"/>
        </w:rPr>
      </w:pPr>
    </w:p>
    <w:p>
      <w:pPr>
        <w:ind w:left="240" w:hanging="232"/>
        <w:spacing w:after="0"/>
        <w:tabs>
          <w:tab w:leader="none" w:pos="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6(b).</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means a written request from Holders of a majority of the Registrable Securities then outstanding that the Company file a Form S-3 Registration Statement (except if the Company is not then eligible to register for resale the Registrable Securities on Form S-3, in which case such registration shall be on another appropriate form in accordance herewith, subject to the provisions of Section 2(d)) with respect to Registrable Securities then outstanding.</w:t>
      </w:r>
    </w:p>
    <w:p>
      <w:pPr>
        <w:spacing w:after="0" w:line="183" w:lineRule="exact"/>
        <w:rPr>
          <w:sz w:val="20"/>
          <w:szCs w:val="20"/>
          <w:color w:val="auto"/>
        </w:rPr>
      </w:pPr>
    </w:p>
    <w:p>
      <w:pPr>
        <w:jc w:val="both"/>
        <w:ind w:left="660" w:firstLine="648"/>
        <w:spacing w:after="0" w:line="19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and with respect</w:t>
      </w:r>
    </w:p>
    <w:p>
      <w:pPr>
        <w:spacing w:after="0" w:line="1"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to any additional Registration Statements which may be required pursuant to Section 2(c) or Section 3(c),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 Registration Statement is required to be filed hereunder (or, in the event of a “full review” by the Commission, the</w:t>
      </w: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9" w:lineRule="exact"/>
        <w:rPr>
          <w:sz w:val="20"/>
          <w:szCs w:val="20"/>
          <w:color w:val="auto"/>
        </w:rPr>
      </w:pPr>
    </w:p>
    <w:p>
      <w:pPr>
        <w:jc w:val="both"/>
        <w:ind w:left="660" w:firstLine="648"/>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the Company receives a Demand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of the Shares, (b) all Pre-Funded Warrant Shares then issued and issuable upon exercise of the Pre-Funded Warrants (assuming on such date the Pre-Funded Warrants are exercised in full without regard to any exercise limitations therein), and (c)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7" w:name="page48"/>
    <w:bookmarkEnd w:id="47"/>
    <w:p>
      <w:pPr>
        <w:ind w:left="280" w:hanging="272"/>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9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Holders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190"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7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with respect to filing on Form S-3 or other appropriate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 and</w:t>
      </w:r>
    </w:p>
    <w:p>
      <w:pPr>
        <w:spacing w:after="0" w:line="225" w:lineRule="exact"/>
        <w:rPr>
          <w:rFonts w:ascii="Times New Roman" w:cs="Times New Roman" w:eastAsia="Times New Roman" w:hAnsi="Times New Roman"/>
          <w:sz w:val="18"/>
          <w:szCs w:val="18"/>
          <w:color w:val="auto"/>
        </w:rPr>
      </w:pPr>
    </w:p>
    <w:p>
      <w:pPr>
        <w:jc w:val="both"/>
        <w:ind w:left="2280" w:hanging="652"/>
        <w:spacing w:after="0" w:line="266" w:lineRule="auto"/>
        <w:tabs>
          <w:tab w:leader="none" w:pos="22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Shares and Pre-Funded Warrant Shares (applied, in the case that some Shares and Pre-Funded Warrant Shares may be registered, to the Holders on a pro rata basis based on the total number of unregistered Shares and Pre-Funded Warrant Shares held by such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ind w:left="660" w:firstLine="644"/>
        <w:spacing w:after="0" w:line="282" w:lineRule="auto"/>
        <w:tabs>
          <w:tab w:leader="none" w:pos="165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660" w:firstLine="644"/>
        <w:spacing w:after="0" w:line="252" w:lineRule="auto"/>
        <w:tabs>
          <w:tab w:leader="none" w:pos="16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w:t>
      </w:r>
    </w:p>
    <w:p>
      <w:pPr>
        <w:spacing w:after="0" w:line="4" w:lineRule="exact"/>
        <w:rPr>
          <w:sz w:val="20"/>
          <w:szCs w:val="20"/>
          <w:color w:val="auto"/>
        </w:rPr>
      </w:pPr>
    </w:p>
    <w:p>
      <w:pPr>
        <w:ind w:left="660" w:right="20"/>
        <w:spacing w:after="0" w:line="209" w:lineRule="auto"/>
        <w:rPr>
          <w:sz w:val="20"/>
          <w:szCs w:val="20"/>
          <w:color w:val="auto"/>
        </w:rPr>
      </w:pPr>
      <w:r>
        <w:rPr>
          <w:rFonts w:ascii="Times New Roman" w:cs="Times New Roman" w:eastAsia="Times New Roman" w:hAnsi="Times New Roman"/>
          <w:sz w:val="18"/>
          <w:szCs w:val="18"/>
          <w:color w:val="auto"/>
        </w:rPr>
        <w:t>not less than two (2) Trading Days prior to the 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200" w:lineRule="exact"/>
        <w:rPr>
          <w:sz w:val="20"/>
          <w:szCs w:val="20"/>
          <w:color w:val="auto"/>
        </w:rPr>
      </w:pPr>
    </w:p>
    <w:p>
      <w:pPr>
        <w:jc w:val="both"/>
        <w:ind w:left="660" w:firstLine="644"/>
        <w:spacing w:after="0" w:line="269" w:lineRule="auto"/>
        <w:tabs>
          <w:tab w:leader="none" w:pos="160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660" w:hanging="4"/>
        <w:spacing w:after="0" w:line="252" w:lineRule="auto"/>
        <w:tabs>
          <w:tab w:leader="none" w:pos="9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460" w:firstLine="644"/>
        <w:spacing w:after="0" w:line="252" w:lineRule="auto"/>
        <w:tabs>
          <w:tab w:leader="none" w:pos="5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jc w:val="both"/>
        <w:ind w:left="660" w:firstLine="644"/>
        <w:spacing w:after="0" w:line="261" w:lineRule="auto"/>
        <w:tabs>
          <w:tab w:leader="none" w:pos="16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660" w:firstLine="696"/>
        <w:spacing w:after="0" w:line="253" w:lineRule="auto"/>
        <w:tabs>
          <w:tab w:leader="none" w:pos="163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Section 3(j) to suspend the availability of a Registration Statement and Prospectus, for a period not to exceed 60 calendar days (which need not be consecutive days) in any 12-month period.</w:t>
      </w:r>
    </w:p>
    <w:p>
      <w:pPr>
        <w:spacing w:after="0" w:line="192" w:lineRule="exact"/>
        <w:rPr>
          <w:sz w:val="20"/>
          <w:szCs w:val="20"/>
          <w:color w:val="auto"/>
        </w:rPr>
      </w:pPr>
    </w:p>
    <w:p>
      <w:pPr>
        <w:jc w:val="both"/>
        <w:ind w:left="660" w:firstLine="644"/>
        <w:spacing w:after="0" w:line="256" w:lineRule="auto"/>
        <w:tabs>
          <w:tab w:leader="none" w:pos="16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2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become eligible for use of Form S-3 (or any successor form thereto) for the registration of the resale of Registrable Securities.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1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75"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240" w:hanging="232"/>
        <w:spacing w:after="0"/>
        <w:tabs>
          <w:tab w:leader="none" w:pos="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6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6(b).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3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4"/>
        <w:spacing w:after="0" w:line="255" w:lineRule="auto"/>
        <w:tabs>
          <w:tab w:leader="none" w:pos="9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44"/>
        <w:spacing w:after="0" w:line="253" w:lineRule="auto"/>
        <w:tabs>
          <w:tab w:leader="none" w:pos="9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240" w:hanging="232"/>
        <w:spacing w:after="0"/>
        <w:tabs>
          <w:tab w:leader="none" w:pos="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4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6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6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58" w:lineRule="auto"/>
        <w:tabs>
          <w:tab w:leader="none" w:pos="9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disclosed in the SEC Documents, neither the Company nor any of its Subsidiaries has previously entered into any material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6" w:name="page57"/>
    <w:bookmarkEnd w:id="56"/>
    <w:p>
      <w:pPr>
        <w:jc w:val="right"/>
        <w:ind w:right="2519"/>
        <w:spacing w:after="0"/>
        <w:rPr>
          <w:sz w:val="20"/>
          <w:szCs w:val="20"/>
          <w:color w:val="auto"/>
        </w:rPr>
      </w:pPr>
      <w:r>
        <w:rPr>
          <w:rFonts w:ascii="Times New Roman" w:cs="Times New Roman" w:eastAsia="Times New Roman" w:hAnsi="Times New Roman"/>
          <w:sz w:val="18"/>
          <w:szCs w:val="18"/>
          <w:color w:val="auto"/>
        </w:rPr>
        <w:t>[SIGNATURE PAGE OF HOLDERS TO AGFY RRA]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Announces $25.9 Million Non-Brokered Private Placement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TROY, Mich., Nov. 21, 2024 (GLOBE NEWSWIRE) – Agrify Corporation (Nasdaq: AGFY) (“Agrify” or the “Company”), a leading provider of branded innovative solutions for the cannabis and hemp industries, today announced the Company has entered into securities purchase agreements with institutional and accredited investors in a non-brokered private placement priced at $22.30 per share for aggregate proceeds of approximately $25.9 million. The Company intends to use the proceeds from the private placement for general corporate purposes, including, among other things, working capital and business development. The private placement is expected to close on November 21, 2024, subject to the satisfaction of customary closing conditions. Benjamin Kovler, Chairman and Interim Chief Executive Officer, participated in the private placement to purchase 10,000 shares of common stock at a purchase price of $38.76 in compliance with applicable Nasdaq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funding is a strong move for Agrify and our shareholders as we were able to raise approximately $26 million in a non-brokered deal,” said Chairman and Interim CEO Ben Kovler. “We plan to allocate this capital into opportunities within our circle of competence to benefit stockholders. We are excited about the opportunity set and current consumer trends in cannabis and hemp. The team continues to work hard to close the previously announced Señorita transaction, and it remains on track for closing at or around year end.”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in the private placement will receive pre-funded warrants to the extent any investor’s beneficial ownership of Agrify common stock following the offering would exceed 4.99%. The securities sold in the private placement have not been registered under the Securities Act of 1933, as amended, or state securities laws and may not be offered or sold in the United States absent registration with the Securities and Exchange Commission (the “SEC”) or an applicable exemption from such registration requirements. A resale registration statement relating to the common stock and the shares of common stock issuable upon the exercise of the pre-funded warrants will be filed with the SEC within forty-five days of the date when Agrify receives a demand for such registration from the investors.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in the private placement. There shall not be any sale of these securities in any state or jurisdiction in which such offering, sale, or solicitation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 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branded innovative solutions for the cannabis and hemp industries in extraction, cultivation and more. Agrify’s proprietary micro-environment-controlled Vertical Farming Units (VFUs) enable cultivators to produce the highest quality products with unmatched consistency, yield, and return on investment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potential growth opportunities, Agrify’s ability to deliver solutions and services, and the ability to timely satisfy the closing conditions and close the private placement, the use of proceeds from the private placement, and the ability to close the Señorita transaction on a timely basis or at all.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lowerLetter"/>
      <w:start w:val="1"/>
    </w:lvl>
  </w:abstractNum>
  <w:abstractNum w:abstractNumId="3">
    <w:nsid w:val="3804823E"/>
    <w:multiLevelType w:val="hybridMultilevel"/>
    <w:lvl w:ilvl="0">
      <w:lvlJc w:val="left"/>
      <w:lvlText w:val="%1)"/>
      <w:numFmt w:val="lowerLetter"/>
      <w:start w:val="2"/>
    </w:lvl>
  </w:abstractNum>
  <w:abstractNum w:abstractNumId="4">
    <w:nsid w:val="77465F01"/>
    <w:multiLevelType w:val="hybridMultilevel"/>
    <w:lvl w:ilvl="0">
      <w:lvlJc w:val="left"/>
      <w:lvlText w:val="(%1)"/>
      <w:numFmt w:val="upperLetter"/>
      <w:start w:val="1"/>
    </w:lvl>
  </w:abstractNum>
  <w:abstractNum w:abstractNumId="5">
    <w:nsid w:val="7724C67E"/>
    <w:multiLevelType w:val="hybridMultilevel"/>
    <w:lvl w:ilvl="0">
      <w:lvlJc w:val="left"/>
      <w:lvlText w:val="(%1)"/>
      <w:numFmt w:val="upperLetter"/>
      <w:start w:val="24"/>
    </w:lvl>
  </w:abstractNum>
  <w:abstractNum w:abstractNumId="6">
    <w:nsid w:val="5C482A97"/>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
    <w:nsid w:val="2463B9EA"/>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8">
    <w:nsid w:val="5E884ADC"/>
    <w:multiLevelType w:val="hybridMultilevel"/>
    <w:lvl w:ilvl="0">
      <w:lvlJc w:val="left"/>
      <w:lvlText w:val="%1."/>
      <w:numFmt w:val="lowerRoman"/>
      <w:start w:val="4"/>
    </w:lvl>
  </w:abstractNum>
  <w:abstractNum w:abstractNumId="9">
    <w:nsid w:val="51EAD36B"/>
    <w:multiLevelType w:val="hybridMultilevel"/>
    <w:lvl w:ilvl="0">
      <w:lvlJc w:val="left"/>
      <w:lvlText w:val="%1)"/>
      <w:numFmt w:val="lowerLetter"/>
      <w:start w:val="5"/>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2"/>
    </w:lvl>
  </w:abstractNum>
  <w:abstractNum w:abstractNumId="12">
    <w:nsid w:val="153EA438"/>
    <w:multiLevelType w:val="hybridMultilevel"/>
    <w:lvl w:ilvl="0">
      <w:lvlJc w:val="left"/>
      <w:lvlText w:val="%1)"/>
      <w:numFmt w:val="lowerLetter"/>
      <w:start w:val="5"/>
    </w:lvl>
    <w:lvl w:ilvl="1">
      <w:lvlJc w:val="left"/>
      <w:lvlText w:val="%2."/>
      <w:numFmt w:val="lowerRoman"/>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2"/>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lowerLetter"/>
      <w:start w:val="2"/>
    </w:lvl>
  </w:abstractNum>
  <w:abstractNum w:abstractNumId="17">
    <w:nsid w:val="1D4ED43B"/>
    <w:multiLevelType w:val="hybridMultilevel"/>
    <w:lvl w:ilvl="0">
      <w:lvlJc w:val="left"/>
      <w:lvlText w:val="%1)"/>
      <w:numFmt w:val="lowerLetter"/>
      <w:start w:val="5"/>
    </w:lvl>
  </w:abstractNum>
  <w:abstractNum w:abstractNumId="18">
    <w:nsid w:val="725A06FB"/>
    <w:multiLevelType w:val="hybridMultilevel"/>
    <w:lvl w:ilvl="0">
      <w:lvlJc w:val="left"/>
      <w:lvlText w:val="%1)"/>
      <w:numFmt w:val="lowerLetter"/>
      <w:start w:val="13"/>
    </w:lvl>
  </w:abstractNum>
  <w:abstractNum w:abstractNumId="19">
    <w:nsid w:val="2CD89A32"/>
    <w:multiLevelType w:val="hybridMultilevel"/>
    <w:lvl w:ilvl="0">
      <w:lvlJc w:val="left"/>
      <w:lvlText w:val="(%1)"/>
      <w:numFmt w:val="decimal"/>
      <w:start w:val="1"/>
    </w:lvl>
    <w:lvl w:ilvl="1">
      <w:lvlJc w:val="left"/>
      <w:lvlText w:val="☐"/>
      <w:numFmt w:val="bullet"/>
      <w:start w:val="1"/>
    </w:lvl>
  </w:abstractNum>
  <w:abstractNum w:abstractNumId="20">
    <w:nsid w:val="57E4CCAF"/>
    <w:multiLevelType w:val="hybridMultilevel"/>
    <w:lvl w:ilvl="0">
      <w:lvlJc w:val="left"/>
      <w:lvlText w:val="(%1)"/>
      <w:numFmt w:val="decimal"/>
      <w:start w:val="4"/>
    </w:lvl>
  </w:abstractNum>
  <w:abstractNum w:abstractNumId="21">
    <w:nsid w:val="7A6D8D3C"/>
    <w:multiLevelType w:val="hybridMultilevel"/>
    <w:lvl w:ilvl="0">
      <w:lvlJc w:val="left"/>
      <w:lvlText w:val="(%1)"/>
      <w:numFmt w:val="lowerLetter"/>
      <w:start w:val="2"/>
    </w:lvl>
  </w:abstractNum>
  <w:abstractNum w:abstractNumId="22">
    <w:nsid w:val="4B588F54"/>
    <w:multiLevelType w:val="hybridMultilevel"/>
    <w:lvl w:ilvl="0">
      <w:lvlJc w:val="left"/>
      <w:lvlText w:val="(%1)"/>
      <w:numFmt w:val="lowerLetter"/>
      <w:start w:val="1"/>
    </w:lvl>
    <w:lvl w:ilvl="1">
      <w:lvlJc w:val="left"/>
      <w:lvlText w:val="(%2)"/>
      <w:numFmt w:val="lowerRoman"/>
      <w:start w:val="1"/>
    </w:lvl>
  </w:abstractNum>
  <w:abstractNum w:abstractNumId="23">
    <w:nsid w:val="542289EC"/>
    <w:multiLevelType w:val="hybridMultilevel"/>
    <w:lvl w:ilvl="0">
      <w:lvlJc w:val="left"/>
      <w:lvlText w:val="%1"/>
      <w:numFmt w:val="lowerLetter"/>
      <w:start w:val="1"/>
    </w:lvl>
    <w:lvl w:ilvl="1">
      <w:lvlJc w:val="left"/>
      <w:lvlText w:val="(%2)"/>
      <w:numFmt w:val="lowerLetter"/>
      <w:start w:val="22"/>
    </w:lvl>
  </w:abstractNum>
  <w:abstractNum w:abstractNumId="24">
    <w:nsid w:val="6DE91B18"/>
    <w:multiLevelType w:val="hybridMultilevel"/>
    <w:lvl w:ilvl="0">
      <w:lvlJc w:val="left"/>
      <w:lvlText w:val="(%1)"/>
      <w:numFmt w:val="lowerLetter"/>
      <w:start w:val="2"/>
    </w:lvl>
    <w:lvl w:ilvl="1">
      <w:lvlJc w:val="left"/>
      <w:lvlText w:val="(%2)"/>
      <w:numFmt w:val="lowerLetter"/>
      <w:start w:val="9"/>
    </w:lvl>
  </w:abstractNum>
  <w:abstractNum w:abstractNumId="25">
    <w:nsid w:val="38437FDB"/>
    <w:multiLevelType w:val="hybridMultilevel"/>
    <w:lvl w:ilvl="0">
      <w:lvlJc w:val="left"/>
      <w:lvlText w:val="(%1)"/>
      <w:numFmt w:val="lowerRoman"/>
      <w:start w:val="2"/>
    </w:lvl>
  </w:abstractNum>
  <w:abstractNum w:abstractNumId="26">
    <w:nsid w:val="7644A45C"/>
    <w:multiLevelType w:val="hybridMultilevel"/>
    <w:lvl w:ilvl="0">
      <w:lvlJc w:val="left"/>
      <w:lvlText w:val="(%1)"/>
      <w:numFmt w:val="lowerLetter"/>
      <w:start w:val="1"/>
    </w:lvl>
    <w:lvl w:ilvl="1">
      <w:lvlJc w:val="left"/>
      <w:lvlText w:val="(%2)"/>
      <w:numFmt w:val="lowerRoman"/>
      <w:start w:val="1"/>
    </w:lvl>
  </w:abstractNum>
  <w:abstractNum w:abstractNumId="27">
    <w:nsid w:val="32FFF902"/>
    <w:multiLevelType w:val="hybridMultilevel"/>
    <w:lvl w:ilvl="0">
      <w:lvlJc w:val="left"/>
      <w:lvlText w:val="(%1)"/>
      <w:numFmt w:val="lowerRoman"/>
      <w:start w:val="1"/>
    </w:lvl>
  </w:abstractNum>
  <w:abstractNum w:abstractNumId="28">
    <w:nsid w:val="684A481A"/>
    <w:multiLevelType w:val="hybridMultilevel"/>
    <w:lvl w:ilvl="0">
      <w:lvlJc w:val="left"/>
      <w:lvlText w:val="(%1)"/>
      <w:numFmt w:val="lowerRoman"/>
      <w:start w:val="6"/>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4"/>
    </w:lvl>
  </w:abstractNum>
  <w:abstractNum w:abstractNumId="31">
    <w:nsid w:val="3DC240FB"/>
    <w:multiLevelType w:val="hybridMultilevel"/>
    <w:lvl w:ilvl="0">
      <w:lvlJc w:val="left"/>
      <w:lvlText w:val="(%1)"/>
      <w:numFmt w:val="lowerLetter"/>
      <w:start w:val="7"/>
    </w:lvl>
  </w:abstractNum>
  <w:abstractNum w:abstractNumId="32">
    <w:nsid w:val="1BA026FA"/>
    <w:multiLevelType w:val="hybridMultilevel"/>
    <w:lvl w:ilvl="0">
      <w:lvlJc w:val="left"/>
      <w:lvlText w:val="(%1)"/>
      <w:numFmt w:val="lowerLetter"/>
      <w:start w:val="10"/>
    </w:lvl>
  </w:abstractNum>
  <w:abstractNum w:abstractNumId="33">
    <w:nsid w:val="79A1DEAA"/>
    <w:multiLevelType w:val="hybridMultilevel"/>
    <w:lvl w:ilvl="0">
      <w:lvlJc w:val="left"/>
      <w:lvlText w:val="(%1)"/>
      <w:numFmt w:val="lowerLetter"/>
      <w:start w:val="14"/>
    </w:lvl>
  </w:abstractNum>
  <w:abstractNum w:abstractNumId="34">
    <w:nsid w:val="75C6C33A"/>
    <w:multiLevelType w:val="hybridMultilevel"/>
    <w:lvl w:ilvl="0">
      <w:lvlJc w:val="left"/>
      <w:lvlText w:val="(%1)"/>
      <w:numFmt w:val="lowerLetter"/>
      <w:start w:val="18"/>
    </w:lvl>
  </w:abstractNum>
  <w:abstractNum w:abstractNumId="35">
    <w:nsid w:val="12E685FB"/>
    <w:multiLevelType w:val="hybridMultilevel"/>
    <w:lvl w:ilvl="0">
      <w:lvlJc w:val="left"/>
      <w:lvlText w:val="(%1)"/>
      <w:numFmt w:val="lowerLetter"/>
      <w:start w:val="19"/>
    </w:lvl>
  </w:abstractNum>
  <w:abstractNum w:abstractNumId="36">
    <w:nsid w:val="70C6A529"/>
    <w:multiLevelType w:val="hybridMultilevel"/>
    <w:lvl w:ilvl="0">
      <w:lvlJc w:val="left"/>
      <w:lvlText w:val="(%1)"/>
      <w:numFmt w:val="lowerLetter"/>
      <w:start w:val="23"/>
    </w:lvl>
  </w:abstractNum>
  <w:abstractNum w:abstractNumId="37">
    <w:nsid w:val="520EEDD1"/>
    <w:multiLevelType w:val="hybridMultilevel"/>
    <w:lvl w:ilvl="0">
      <w:lvlJc w:val="left"/>
      <w:lvlText w:val="%1"/>
      <w:numFmt w:val="lowerLetter"/>
      <w:start w:val="1"/>
    </w:lvl>
    <w:lvl w:ilvl="1">
      <w:lvlJc w:val="left"/>
      <w:lvlText w:val="(%2)"/>
      <w:numFmt w:val="lowerLetter"/>
      <w:start w:val="27"/>
    </w:lvl>
  </w:abstractNum>
  <w:abstractNum w:abstractNumId="38">
    <w:nsid w:val="374A3FE6"/>
    <w:multiLevelType w:val="hybridMultilevel"/>
    <w:lvl w:ilvl="0">
      <w:lvlJc w:val="left"/>
      <w:lvlText w:val="(%1)"/>
      <w:numFmt w:val="lowerLetter"/>
      <w:start w:val="61"/>
    </w:lvl>
    <w:lvl w:ilvl="1">
      <w:lvlJc w:val="left"/>
      <w:lvlText w:val="(%2)"/>
      <w:numFmt w:val="lowerLetter"/>
      <w:start w:val="28"/>
    </w:lvl>
  </w:abstractNum>
  <w:abstractNum w:abstractNumId="39">
    <w:nsid w:val="4F4EF005"/>
    <w:multiLevelType w:val="hybridMultilevel"/>
    <w:lvl w:ilvl="0">
      <w:lvlJc w:val="left"/>
      <w:lvlText w:val="(%1)"/>
      <w:numFmt w:val="lowerLetter"/>
      <w:start w:val="9"/>
    </w:lvl>
    <w:lvl w:ilvl="1">
      <w:lvlJc w:val="left"/>
      <w:lvlText w:val="(%2)"/>
      <w:numFmt w:val="lowerLetter"/>
      <w:start w:val="30"/>
    </w:lvl>
  </w:abstractNum>
  <w:abstractNum w:abstractNumId="40">
    <w:nsid w:val="23F9C13C"/>
    <w:multiLevelType w:val="hybridMultilevel"/>
    <w:lvl w:ilvl="0">
      <w:lvlJc w:val="left"/>
      <w:lvlText w:val="%1"/>
      <w:numFmt w:val="lowerLetter"/>
      <w:start w:val="1"/>
    </w:lvl>
    <w:lvl w:ilvl="1">
      <w:lvlJc w:val="left"/>
      <w:lvlText w:val="(%2)"/>
      <w:numFmt w:val="lowerLetter"/>
      <w:start w:val="31"/>
    </w:lvl>
  </w:abstractNum>
  <w:abstractNum w:abstractNumId="41">
    <w:nsid w:val="649BB77C"/>
    <w:multiLevelType w:val="hybridMultilevel"/>
    <w:lvl w:ilvl="0">
      <w:lvlJc w:val="left"/>
      <w:lvlText w:val="(%1)"/>
      <w:numFmt w:val="lowerLetter"/>
      <w:start w:val="61"/>
    </w:lvl>
    <w:lvl w:ilvl="1">
      <w:lvlJc w:val="left"/>
      <w:lvlText w:val="(%2)"/>
      <w:numFmt w:val="lowerLetter"/>
      <w:start w:val="33"/>
    </w:lvl>
  </w:abstractNum>
  <w:abstractNum w:abstractNumId="42">
    <w:nsid w:val="275AC794"/>
    <w:multiLevelType w:val="hybridMultilevel"/>
    <w:lvl w:ilvl="0">
      <w:lvlJc w:val="left"/>
      <w:lvlText w:val="(%1)"/>
      <w:numFmt w:val="lowerLetter"/>
      <w:start w:val="35"/>
    </w:lvl>
    <w:lvl w:ilvl="1">
      <w:lvlJc w:val="left"/>
      <w:lvlText w:val="(%2)"/>
      <w:numFmt w:val="lowerLetter"/>
      <w:start w:val="37"/>
    </w:lvl>
  </w:abstractNum>
  <w:abstractNum w:abstractNumId="43">
    <w:nsid w:val="39386575"/>
    <w:multiLevelType w:val="hybridMultilevel"/>
    <w:lvl w:ilvl="0">
      <w:lvlJc w:val="left"/>
      <w:lvlText w:val="(%1)"/>
      <w:numFmt w:val="lowerLetter"/>
      <w:start w:val="38"/>
    </w:lvl>
  </w:abstractNum>
  <w:abstractNum w:abstractNumId="44">
    <w:nsid w:val="1CF10FD8"/>
    <w:multiLevelType w:val="hybridMultilevel"/>
    <w:lvl w:ilvl="0">
      <w:lvlJc w:val="left"/>
      <w:lvlText w:val="(%1)"/>
      <w:numFmt w:val="lowerLetter"/>
      <w:start w:val="43"/>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5"/>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decimal"/>
      <w:start w:val="3"/>
    </w:lvl>
    <w:lvl w:ilvl="1">
      <w:lvlJc w:val="left"/>
      <w:lvlText w:val="(%2)"/>
      <w:numFmt w:val="lowerLetter"/>
      <w:start w:val="3"/>
    </w:lvl>
  </w:abstractNum>
  <w:abstractNum w:abstractNumId="49">
    <w:nsid w:val="15B5AF5C"/>
    <w:multiLevelType w:val="hybridMultilevel"/>
    <w:lvl w:ilvl="0">
      <w:lvlJc w:val="left"/>
      <w:lvlText w:val="(%1)"/>
      <w:numFmt w:val="lowerLetter"/>
      <w:start w:val="4"/>
    </w:lvl>
  </w:abstractNum>
  <w:abstractNum w:abstractNumId="50">
    <w:nsid w:val="741226BB"/>
    <w:multiLevelType w:val="hybridMultilevel"/>
    <w:lvl w:ilvl="0">
      <w:lvlJc w:val="left"/>
      <w:lvlText w:val="%1"/>
      <w:numFmt w:val="decimal"/>
      <w:start w:val="1"/>
    </w:lvl>
    <w:lvl w:ilvl="1">
      <w:lvlJc w:val="left"/>
      <w:lvlText w:val="(%2)"/>
      <w:numFmt w:val="lowerLetter"/>
      <w:start w:val="1"/>
    </w:lvl>
  </w:abstractNum>
  <w:abstractNum w:abstractNumId="51">
    <w:nsid w:val="D34B6A8"/>
    <w:multiLevelType w:val="hybridMultilevel"/>
    <w:lvl w:ilvl="0">
      <w:lvlJc w:val="left"/>
      <w:lvlText w:val="(%1)"/>
      <w:numFmt w:val="decimal"/>
      <w:start w:val="2"/>
    </w:lvl>
    <w:lvl w:ilvl="1">
      <w:lvlJc w:val="left"/>
      <w:lvlText w:val="%2"/>
      <w:numFmt w:val="lowerLetter"/>
      <w:start w:val="1"/>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5">
    <w:nsid w:val="7E0C57B1"/>
    <w:multiLevelType w:val="hybridMultilevel"/>
    <w:lvl w:ilvl="0">
      <w:lvlJc w:val="left"/>
      <w:lvlText w:val="%1"/>
      <w:numFmt w:val="decimal"/>
      <w:start w:val="1"/>
    </w:lvl>
    <w:lvl w:ilvl="1">
      <w:lvlJc w:val="left"/>
      <w:lvlText w:val="(%2)"/>
      <w:numFmt w:val="lowerLetter"/>
      <w:start w:val="4"/>
    </w:lvl>
  </w:abstractNum>
  <w:abstractNum w:abstractNumId="56">
    <w:nsid w:val="77AE35EB"/>
    <w:multiLevelType w:val="hybridMultilevel"/>
    <w:lvl w:ilvl="0">
      <w:lvlJc w:val="left"/>
      <w:lvlText w:val="%1."/>
      <w:numFmt w:val="decimal"/>
      <w:start w:val="3"/>
    </w:lvl>
    <w:lvl w:ilvl="1">
      <w:lvlJc w:val="left"/>
      <w:lvlText w:val="%2"/>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lvl w:ilvl="1">
      <w:lvlJc w:val="left"/>
      <w:lvlText w:val="(%2)"/>
      <w:numFmt w:val="lowerLetter"/>
      <w:start w:val="2"/>
    </w:lvl>
  </w:abstractNum>
  <w:abstractNum w:abstractNumId="59">
    <w:nsid w:val="5FF87E05"/>
    <w:multiLevelType w:val="hybridMultilevel"/>
    <w:lvl w:ilvl="0">
      <w:lvlJc w:val="left"/>
      <w:lvlText w:val="(%1)"/>
      <w:numFmt w:val="lowerLetter"/>
      <w:start w:val="61"/>
    </w:lvl>
    <w:lvl w:ilvl="1">
      <w:lvlJc w:val="left"/>
      <w:lvlText w:val="(%2)"/>
      <w:numFmt w:val="lowerLetter"/>
      <w:start w:val="3"/>
    </w:lvl>
  </w:abstractNum>
  <w:abstractNum w:abstractNumId="60">
    <w:nsid w:val="2F305DEF"/>
    <w:multiLevelType w:val="hybridMultilevel"/>
    <w:lvl w:ilvl="0">
      <w:lvlJc w:val="left"/>
      <w:lvlText w:val="(%1)"/>
      <w:numFmt w:val="lowerLetter"/>
      <w:start w:val="4"/>
    </w:lvl>
  </w:abstractNum>
  <w:abstractNum w:abstractNumId="61">
    <w:nsid w:val="25A70BF7"/>
    <w:multiLevelType w:val="hybridMultilevel"/>
    <w:lvl w:ilvl="0">
      <w:lvlJc w:val="left"/>
      <w:lvlText w:val="(%1)"/>
      <w:numFmt w:val="lowerLetter"/>
      <w:start w:val="9"/>
    </w:lvl>
    <w:lvl w:ilvl="1">
      <w:lvlJc w:val="left"/>
      <w:lvlText w:val="(%2)"/>
      <w:numFmt w:val="lowerLetter"/>
      <w:start w:val="10"/>
    </w:lvl>
  </w:abstractNum>
  <w:abstractNum w:abstractNumId="62">
    <w:nsid w:val="1DBABF00"/>
    <w:multiLevelType w:val="hybridMultilevel"/>
    <w:lvl w:ilvl="0">
      <w:lvlJc w:val="left"/>
      <w:lvlText w:val="%1"/>
      <w:numFmt w:val="decimal"/>
      <w:start w:val="1"/>
    </w:lvl>
    <w:lvl w:ilvl="1">
      <w:lvlJc w:val="left"/>
      <w:lvlText w:val="(%2)"/>
      <w:numFmt w:val="lowerLetter"/>
      <w:start w:val="11"/>
    </w:lvl>
  </w:abstractNum>
  <w:abstractNum w:abstractNumId="63">
    <w:nsid w:val="4AD084E9"/>
    <w:multiLevelType w:val="hybridMultilevel"/>
    <w:lvl w:ilvl="0">
      <w:lvlJc w:val="left"/>
      <w:lvlText w:val="%1."/>
      <w:numFmt w:val="decimal"/>
      <w:start w:val="4"/>
    </w:lvl>
    <w:lvl w:ilvl="1">
      <w:lvlJc w:val="left"/>
      <w:lvlText w:val="%2"/>
      <w:numFmt w:val="lowerLetter"/>
      <w:start w:val="1"/>
    </w:lvl>
  </w:abstractNum>
  <w:abstractNum w:abstractNumId="64">
    <w:nsid w:val="1F48EAA1"/>
    <w:multiLevelType w:val="hybridMultilevel"/>
    <w:lvl w:ilvl="0">
      <w:lvlJc w:val="left"/>
      <w:lvlText w:val="%1."/>
      <w:numFmt w:val="decimal"/>
      <w:start w:val="5"/>
    </w:lvl>
    <w:lvl w:ilvl="1">
      <w:lvlJc w:val="left"/>
      <w:lvlText w:val="(%2)"/>
      <w:numFmt w:val="lowerLetter"/>
      <w:start w:val="1"/>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lowerLetter"/>
      <w:start w:val="4"/>
    </w:lvl>
  </w:abstractNum>
  <w:abstractNum w:abstractNumId="67">
    <w:nsid w:val="100F8FCA"/>
    <w:multiLevelType w:val="hybridMultilevel"/>
    <w:lvl w:ilvl="0">
      <w:lvlJc w:val="left"/>
      <w:lvlText w:val="%1."/>
      <w:numFmt w:val="decimal"/>
      <w:start w:val="6"/>
    </w:lvl>
    <w:lvl w:ilvl="1">
      <w:lvlJc w:val="left"/>
      <w:lvlText w:val="(%2)"/>
      <w:numFmt w:val="lowerLetter"/>
      <w:start w:val="1"/>
    </w:lvl>
  </w:abstractNum>
  <w:abstractNum w:abstractNumId="68">
    <w:nsid w:val="6590700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2024-11-21T06:04:06Z</dcterms:created>
  <dcterms:modified xsi:type="dcterms:W3CDTF">2024-11-21T06:04:06Z</dcterms:modified>
</cp:coreProperties>
</file>