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ind w:left="1340" w:hanging="214"/>
        <w:spacing w:after="0"/>
        <w:tabs>
          <w:tab w:leader="none" w:pos="1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500" w:right="940" w:hanging="2559"/>
        <w:spacing w:after="0" w:line="500" w:lineRule="auto"/>
        <w:tabs>
          <w:tab w:leader="none" w:pos="113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156845</wp:posOffset>
            </wp:positionV>
            <wp:extent cx="1371600" cy="1131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30-0943453</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Troy, Michigan 48084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184"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21"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1" w:orient="portrait"/>
          <w:cols w:equalWidth="0" w:num="1">
            <w:col w:w="11240"/>
          </w:cols>
          <w:pgMar w:left="320" w:top="509" w:right="339" w:bottom="0" w:gutter="0" w:footer="0" w:header="0"/>
        </w:sectPr>
      </w:pPr>
    </w:p>
    <w:p>
      <w:pPr>
        <w:spacing w:after="0" w:line="17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41" w:orient="portrait"/>
          <w:cols w:equalWidth="0" w:num="4">
            <w:col w:w="3960" w:space="720"/>
            <w:col w:w="400" w:space="720"/>
            <w:col w:w="3640" w:space="720"/>
            <w:col w:w="1080"/>
          </w:cols>
          <w:pgMar w:left="320" w:top="509" w:right="339" w:bottom="0" w:gutter="0" w:footer="0" w:header="0"/>
          <w:type w:val="continuous"/>
        </w:sectPr>
      </w:pPr>
    </w:p>
    <w:bookmarkStart w:id="1" w:name="page2"/>
    <w:bookmarkEnd w:id="1"/>
    <w:p>
      <w:pPr>
        <w:ind w:left="5800"/>
        <w:spacing w:after="0" w:line="207" w:lineRule="exact"/>
        <w:tabs>
          <w:tab w:leader="none" w:pos="10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5"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184" w:lineRule="exact"/>
        <w:rPr>
          <w:sz w:val="20"/>
          <w:szCs w:val="20"/>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computed by reference to the price at which the common equity was last sold, or the average bid and asked price of such common equity, as of June 30, 2024, was approximately $6.3 million. Shares of the registrant’s common stock held by each officer and director and each person known to the registrant to own 10% or more of the outstanding voting power of the registrant have been excluded in that such persons may be deemed affiliates. This determination of affiliate status is not a determination for other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 total of 1,952,032 shares of the registrant’s common stock, par value $0.001 per share, outstanding as of March 17,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the registrant’s Definitive Proxy Statement to be filed with the SEC pursuant to Regulation 14A in connection with the registrant’s 2025 Annual Meeting of Stockholders, to be filed subsequent to the date hereof, are incorporated by reference into Part III of this Report. Such Definitive Proxy Statement will be filed with the SEC not later than 120 days after the conclusion of the registrant’s fiscal year ended December 31, 2024.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Amendment No. 1 on Form 10-K/A (this “Amendment”) amends the Annual Report on Form 10-K of Agrify Corporation (“the Company”) for the year ended December 31, 2024, initially filed with the Securities and Exchange Commission on March 21, 2025 (the “Original Filing”).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 values and related footnotes have not changed from the Original Filing.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No. 1 is being filed solely to update the audit reports and consents provided by the registrant’s current and former independent registered public accounting firms, as it relates to the 2023 retroactive application of the reverse stock split the Company completed on October 8, 2024 . The Company engaged GuzmanGray subsequent to the Original Filing to audit the 2023 retroactive application of this reverse stock split. Upon the completion of the work, GuzmanGray dual dated their audit opinion to cover the additional scope of work, which remains unqualified.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Amendment does not reflect events occurring after the filing of the Original Filing, does not update disclosures contained in the Original Filing and does not modify or amend the Original Filing except as specifically described above.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Rule 12b-15 of the Securities Exchange Act of 1934, as amended, this Amendment contains the complete text of Item 15. Exhibits, Financial Statements and Schedules, and certifications of the Company’s principal executive officer and principal financial officer required under Items 302 and 906 of the Sarbanes-Oxley Act of 2002, as amended, dated as of the date of this Amendment, as well as updated inline XBRL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160" w:type="dxa"/>
            <w:vAlign w:val="bottom"/>
            <w:gridSpan w:val="2"/>
          </w:tcPr>
          <w:p>
            <w:pPr>
              <w:jc w:val="center"/>
              <w:ind w:right="39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445"/>
        </w:trPr>
        <w:tc>
          <w:tcPr>
            <w:tcW w:w="7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61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408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6"/>
        </w:trPr>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0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15.   </w:t>
            </w:r>
            <w:r>
              <w:rPr>
                <w:rFonts w:ascii="Times New Roman" w:cs="Times New Roman" w:eastAsia="Times New Roman" w:hAnsi="Times New Roman"/>
                <w:sz w:val="18"/>
                <w:szCs w:val="18"/>
                <w:color w:val="0000EE"/>
              </w:rPr>
              <w:t>Exhibits and Financial Statement Schedules</w:t>
            </w:r>
          </w:p>
        </w:tc>
        <w:tc>
          <w:tcPr>
            <w:tcW w:w="7160" w:type="dxa"/>
            <w:vAlign w:val="bottom"/>
            <w:gridSpan w:val="2"/>
            <w:shd w:val="clear" w:color="auto" w:fill="CCEEFF"/>
          </w:tcPr>
          <w:p>
            <w:pPr>
              <w:jc w:val="center"/>
              <w:ind w:left="60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0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7160" w:type="dxa"/>
            <w:vAlign w:val="bottom"/>
            <w:gridSpan w:val="2"/>
            <w:shd w:val="clear" w:color="auto" w:fill="CCEEFF"/>
          </w:tcPr>
          <w:p>
            <w:pPr>
              <w:jc w:val="center"/>
              <w:ind w:left="607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655"/>
        </w:trPr>
        <w:tc>
          <w:tcPr>
            <w:tcW w:w="7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160" w:type="dxa"/>
            <w:vAlign w:val="bottom"/>
            <w:tcBorders>
              <w:top w:val="single" w:sz="8" w:color="CCEEFF"/>
              <w:bottom w:val="single" w:sz="8" w:color="auto"/>
            </w:tcBorders>
          </w:tcPr>
          <w:p>
            <w:pPr>
              <w:spacing w:after="0"/>
              <w:rPr>
                <w:sz w:val="24"/>
                <w:szCs w:val="24"/>
                <w:color w:val="auto"/>
              </w:rPr>
            </w:pPr>
          </w:p>
        </w:tc>
        <w:tc>
          <w:tcPr>
            <w:tcW w:w="7160" w:type="dxa"/>
            <w:vAlign w:val="bottom"/>
            <w:tcBorders>
              <w:top w:val="single" w:sz="8" w:color="CCEEFF"/>
              <w:bottom w:val="single" w:sz="8" w:color="auto"/>
            </w:tcBorders>
            <w:gridSpan w:val="2"/>
          </w:tcPr>
          <w:p>
            <w:pPr>
              <w:jc w:val="center"/>
              <w:ind w:right="3990"/>
              <w:spacing w:after="0"/>
              <w:rPr>
                <w:sz w:val="20"/>
                <w:szCs w:val="20"/>
                <w:color w:val="auto"/>
              </w:rPr>
            </w:pPr>
            <w:r>
              <w:rPr>
                <w:rFonts w:ascii="Times New Roman" w:cs="Times New Roman" w:eastAsia="Times New Roman" w:hAnsi="Times New Roman"/>
                <w:sz w:val="18"/>
                <w:szCs w:val="18"/>
                <w:color w:val="auto"/>
                <w:w w:val="78"/>
              </w:rPr>
              <w:t>i</w:t>
            </w:r>
          </w:p>
        </w:tc>
      </w:tr>
    </w:tbl>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Statements and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Financial Statements:</w:t>
      </w:r>
    </w:p>
    <w:p>
      <w:pPr>
        <w:spacing w:after="0" w:line="225" w:lineRule="exact"/>
        <w:rPr>
          <w:sz w:val="20"/>
          <w:szCs w:val="20"/>
          <w:color w:val="auto"/>
        </w:rPr>
      </w:pPr>
    </w:p>
    <w:p>
      <w:pPr>
        <w:ind w:firstLine="332"/>
        <w:spacing w:after="0" w:line="282" w:lineRule="auto"/>
        <w:tabs>
          <w:tab w:leader="none" w:pos="5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required to be included in this report appear after the signature page to this report as a separate section beginning on page F-1.</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supplemental schedules have been omitted since the information is either included in the consolidated financial statements or the notes thereto or they are not required or are not applicable.</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 Index of this report appears below.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Plan of Merger and Equity Purchase Agreement, dated as of September 29, 2021, among the Registrant, Sinclair Scientific, LLC,</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Mass2Media, LLC dba PX2 Holdings, LLC, and each of the equity holders of Sinclair Scientific, LLC named therein (incorporated by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reference to Exhibit 2.1 to the Registrant’s Current Report on Form 8-K filed with the Securities and Exchange Commission on October 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4"/>
              </w:rPr>
            </w:pPr>
            <w:hyperlink r:id="rId15">
              <w:r>
                <w:rPr>
                  <w:rFonts w:ascii="Times New Roman" w:cs="Times New Roman" w:eastAsia="Times New Roman" w:hAnsi="Times New Roman"/>
                  <w:sz w:val="18"/>
                  <w:szCs w:val="18"/>
                  <w:color w:val="0000EE"/>
                  <w:w w:val="94"/>
                </w:rPr>
                <w:t>2021</w:t>
              </w:r>
            </w:hyperlink>
          </w:p>
        </w:tc>
        <w:tc>
          <w:tcPr>
            <w:tcW w:w="1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tcPr>
          <w:p>
            <w:pPr>
              <w:spacing w:after="0"/>
              <w:rPr>
                <w:sz w:val="15"/>
                <w:szCs w:val="15"/>
                <w:color w:val="auto"/>
              </w:rPr>
            </w:pPr>
          </w:p>
        </w:tc>
        <w:tc>
          <w:tcPr>
            <w:tcW w:w="10100" w:type="dxa"/>
            <w:vAlign w:val="bottom"/>
            <w:tcBorders>
              <w:top w:val="single" w:sz="8" w:color="CCEEFF"/>
              <w:bottom w:val="single" w:sz="8" w:color="0000EE"/>
            </w:tcBorders>
            <w:gridSpan w:val="16"/>
          </w:tcPr>
          <w:p>
            <w:pPr>
              <w:spacing w:after="0" w:line="176" w:lineRule="exact"/>
              <w:rPr>
                <w:rFonts w:ascii="Times New Roman" w:cs="Times New Roman" w:eastAsia="Times New Roman" w:hAnsi="Times New Roman"/>
                <w:sz w:val="18"/>
                <w:szCs w:val="18"/>
                <w:color w:val="0000EE"/>
                <w:w w:val="99"/>
              </w:rPr>
            </w:pPr>
            <w:hyperlink r:id="rId16">
              <w:r>
                <w:rPr>
                  <w:rFonts w:ascii="Times New Roman" w:cs="Times New Roman" w:eastAsia="Times New Roman" w:hAnsi="Times New Roman"/>
                  <w:sz w:val="18"/>
                  <w:szCs w:val="18"/>
                  <w:color w:val="0000EE"/>
                  <w:w w:val="99"/>
                </w:rPr>
                <w:t>Amendment to Plan of Merger and Equity Purchase Agreement, dated as of October 1, 2021, between the Registrant and Sinclair Scientific,</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LLC (incorporated by reference to Exhibit 2.2 to the Registrant’s Current Report on Form 8-K filed with the Securities and Exchange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Commission on October 4,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Membership Interest Purchase Agreement, dated as of December 31, 2021, among the Registrant, PurePressure, LLC, Benjamin Britton as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Member Representative, and each of the equity holders of PurePressure, LLC named therein (incorporated by reference to Exhibit 2.1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Registrant’s Current Report on Form 8-K filed with the Securities and Exchange Commission on January 5,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Merger Agreement, dated as of February 1, 2022, among the Registrant, LS Holdings Corp., Lab Society NewCo, LLC, Michael 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Maibach Jr. as Owner Representative, and each of the Owners named therein (incorporated by reference to Exhibit 2.1 to the Registrant’s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Current Report on Form 8-K filed with the Securities and Exchange Commission on February 2,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Asset Purchase Agreement, dated as of December 12, 2024, among the registrant, Double or North LLC, Joel Gott, and Charles Bieler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(incorporated by reference to Exhibit 2.1 to the Registrant’s Current Report on Form 8-K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Commission on December 16, 2024)</w:t>
              </w:r>
            </w:hyperlink>
          </w:p>
        </w:tc>
        <w:tc>
          <w:tcPr>
            <w:tcW w:w="7440" w:type="dxa"/>
            <w:vAlign w:val="bottom"/>
            <w:tcBorders>
              <w:bottom w:val="single" w:sz="8" w:color="CCEEFF"/>
            </w:tcBorders>
            <w:gridSpan w:val="1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Articles of Incorporation of the Registrant, as amended (incorporated by reference to Exhibit 3.1 to the Registrant’s Amendment No. 1 to</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Registration Statement on Form S-1 filed with the Securities and Exchange Commission on January 13, 2021)</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Certificate of Amendment to the Articles of Incorporation of the Registrant, filed July 11, 2022 (incorporated by reference to Exhibit 3.1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the Registrant’s Current Report on Form 8-K filed with the Securities and Exchange Commission on July 14,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Certificate of Amendment to the Articles of Incorporation of the Registrant, filed October 17, 2022 (incorporated by reference to Exhibit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with the Securities and Exchange Commission on October 17,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Certificate of Amendment to the Articles of Incorporation of the Registrant, filed March 1, 2023 (incorporated by reference to Exhibit 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to the Registrant’s Current Report filed with the Securities and Exchange Commission on March 3,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Certificate of Change to Articles of Incorporation of Agrify Corporation, filed June 30, 2023 (incorporated by reference to Exhibit 3.1 to</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the Registrant’s Current Report on Form 8-K filed with the Securities and Exchange Commission on July 3,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Certificate of Amendment to the Articles of Incorporation of the Registrant, filed January 22, 2024 (incorporated by reference to Exhibit 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to the Registrant’s Current Report on Form 8-K filed with the Securities and Exchange Commission on January 25,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Articles of Amendment to Articles of Incorporation of Agrify Corporation, filed October 3, 2024 (incorporated by reference to Exhibit 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to the Registrant’s Current Report on Form 8-K filed with the Securities and Exchange Commission on October 4,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Amended and Restated Bylaws of the Registrant (incorporated by reference to Exhibit 3.3 to the Registrant’s Amendment No. 2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Registration Statement on Form S-1 filed with the Securities and Exchange Commission on January 26, 2021)</w:t>
              </w:r>
            </w:hyperlink>
          </w:p>
        </w:tc>
        <w:tc>
          <w:tcPr>
            <w:tcW w:w="2160" w:type="dxa"/>
            <w:vAlign w:val="bottom"/>
            <w:tcBorders>
              <w:bottom w:val="single" w:sz="8" w:color="CCEEFF"/>
            </w:tcBorders>
            <w:gridSpan w:val="8"/>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Second Amended and Restated Bylaws of the Registrant (incorporated by reference to Exhibit 3.1 to Registrant’s Current Report on Form</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8-K filed with the Securities and Exchange Commission on August 9, 2024).</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5"/>
                <w:szCs w:val="15"/>
                <w:color w:val="auto"/>
              </w:rPr>
            </w:pPr>
          </w:p>
        </w:tc>
        <w:tc>
          <w:tcPr>
            <w:tcW w:w="101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Third Amended and Restated Certificate of Designations of the Series A Convertible Preferred Stock of the Registrant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7560" w:type="dxa"/>
            <w:vAlign w:val="bottom"/>
            <w:gridSpan w:val="12"/>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reference to Exhibit 3.2 to the Registrant’s Amendment No. 1 to Registration Statement on Form S-1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Commission on January 13,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gridSpan w:val="3"/>
          </w:tcPr>
          <w:p>
            <w:pPr>
              <w:spacing w:after="0"/>
              <w:rPr>
                <w:sz w:val="24"/>
                <w:szCs w:val="24"/>
                <w:color w:val="auto"/>
              </w:rPr>
            </w:pPr>
          </w:p>
        </w:tc>
        <w:tc>
          <w:tcPr>
            <w:tcW w:w="3020" w:type="dxa"/>
            <w:vAlign w:val="bottom"/>
            <w:tcBorders>
              <w:top w:val="single" w:sz="8" w:color="CCEEFF"/>
              <w:bottom w:val="single" w:sz="8" w:color="auto"/>
            </w:tcBorders>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1</w:t>
            </w:r>
          </w:p>
        </w:tc>
        <w:tc>
          <w:tcPr>
            <w:tcW w:w="18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10100" w:type="dxa"/>
            <w:vAlign w:val="bottom"/>
            <w:tcBorders>
              <w:right w:val="single" w:sz="8" w:color="CCEEFF"/>
            </w:tcBorders>
            <w:gridSpan w:val="15"/>
            <w:shd w:val="clear" w:color="auto" w:fill="CCEEFF"/>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Form of Common Stock Certificate (incorporated by reference to Exhibit 4.1 to the Registrant’s Amendment No. 2 to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7020" w:type="dxa"/>
            <w:vAlign w:val="bottom"/>
            <w:tcBorders>
              <w:top w:val="single" w:sz="8" w:color="0000EE"/>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Statement on Form S-1 filed with the Securities and Exchange Commission on January 26, 2021)</w:t>
              </w:r>
            </w:hyperlink>
          </w:p>
        </w:tc>
        <w:tc>
          <w:tcPr>
            <w:tcW w:w="3080" w:type="dxa"/>
            <w:vAlign w:val="bottom"/>
            <w:tcBorders>
              <w:top w:val="single" w:sz="8" w:color="0000EE"/>
              <w:bottom w:val="single" w:sz="8" w:color="CCEEFF"/>
              <w:right w:val="single" w:sz="8" w:color="CCEEFF"/>
            </w:tcBorders>
            <w:gridSpan w:val="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Representative’s Warrant dated February 19, 2021 (incorporated by reference to Exhibit 4.2 to the Registrant’s Registration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Statement on Form S-1 filed with the Securities and Exchange Commission on February 11,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Form of Representative’s Warrant dated January 27, 2021 (incorporated by reference to Exhibit 4.2 to the Registrant’s Amendment No. 2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Registration Statement on Form S-1 filed with the Securities and Exchange Commission on January 26, 2021)</w:t>
              </w:r>
            </w:hyperlink>
          </w:p>
        </w:tc>
        <w:tc>
          <w:tcPr>
            <w:tcW w:w="216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100" w:type="dxa"/>
            <w:vAlign w:val="bottom"/>
            <w:gridSpan w:val="15"/>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Form of Warrant issued to Noteholders (incorporated by reference to Exhibit 4.3 to the Registrant’s Registration Statement on Form S-1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filed with the Securities and Exchange Commission on December 22,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Description of Registrant’s Securities (incorporated by reference to Exhibit 4.5 to the Registrant’s Annual Report on Form 10-K filed with</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the Securities and Exchange Commission on April 2,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Form of Common Stock Purchase Warrant dated January 28, 2022 (incorporated by reference to Exhibit 4.2 to the Registrant’s Current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Report on Form 8-K filed with the Securities and Exchange Commission on January 26,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100" w:type="dxa"/>
            <w:vAlign w:val="bottom"/>
            <w:tcBorders>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of Senior Secured Note (incorporated by reference to Exhibit 4.1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430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Securities and Exchange Commission on August 19, 2022).</w:t>
              </w:r>
            </w:hyperlink>
          </w:p>
        </w:tc>
        <w:tc>
          <w:tcPr>
            <w:tcW w:w="5800" w:type="dxa"/>
            <w:vAlign w:val="bottom"/>
            <w:tcBorders>
              <w:top w:val="single" w:sz="8" w:color="0000EE"/>
              <w:bottom w:val="single" w:sz="8" w:color="CCEEFF"/>
              <w:right w:val="single" w:sz="8" w:color="CCEEFF"/>
            </w:tcBorders>
            <w:gridSpan w:val="11"/>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Form of Warrant Exchange Warrant (incorporated by reference to Exhibit 4.2 to the Registrant’s Current Report on Form 8-K filed with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Securities and Exchange Commission on August 19,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Note Exchange Warrant (incorporated by reference to Exhibit 4.3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30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Securities and Exchange Commission on August 19, 2022).</w:t>
              </w:r>
            </w:hyperlink>
          </w:p>
        </w:tc>
        <w:tc>
          <w:tcPr>
            <w:tcW w:w="5800" w:type="dxa"/>
            <w:vAlign w:val="bottom"/>
            <w:tcBorders>
              <w:bottom w:val="single" w:sz="8" w:color="CCEEFF"/>
              <w:right w:val="single" w:sz="8" w:color="CCEEFF"/>
            </w:tcBorders>
            <w:gridSpan w:val="11"/>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Form of Pre-Funded Warrant (incorporated by reference to Exhibit 4.1 to the Registrant’s Current Report on Form 8-K filed with the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Securities and Exchange Commission on December 16,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of Common Warrant (incorporated by reference to Exhibit 4.2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Securities and Exchange Commission on December 16,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of Senior Secured Convertible Note (incorporated by reference to Exhibit 4.1 to the Registrant’s Current Report on Form 8-K filed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with the Securities and Exchange Commission on March 9, 2023)</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Amendment to Senior Secured Note (incorporated by reference to Exhibit 4.2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Securities and Exchange Commission on March 9,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Exchange Warrant, dated October 27, 2023 (incorporated by reference to Exhibit 4.1 to the Registrant’s Current Report on Form 8-K filed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with the Securities and Exchange Commission on October 30,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Abeyance Warrant, dated October 27, 2023 (incorporated by reference to Exhibit 4.2 to the Registrant’s Current Report on Form 8-K filed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94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with the Securities and Exchange Commission on October 30, 2023)</w:t>
              </w:r>
            </w:hyperlink>
          </w:p>
        </w:tc>
        <w:tc>
          <w:tcPr>
            <w:tcW w:w="5160" w:type="dxa"/>
            <w:vAlign w:val="bottom"/>
            <w:tcBorders>
              <w:bottom w:val="single" w:sz="8" w:color="CCEEFF"/>
              <w:right w:val="single" w:sz="8" w:color="CCEEFF"/>
            </w:tcBorders>
            <w:gridSpan w:val="8"/>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Common Stock Purchase Warrant, dated October 27, 2023 (incorporated by reference to Exhibit 4.3 to the Registrant’s Current Report 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8-K filed with the Securities and Exchange Commission on October 30,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Amended and Restated Junior Secured Promissory Note (incorporated by reference to Exhibit 4.4 to the Registrant’s Current Report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Form 8-K filed with the Securities and Exchange Commission on October 30, 2023)</w:t>
              </w:r>
            </w:hyperlink>
          </w:p>
        </w:tc>
        <w:tc>
          <w:tcPr>
            <w:tcW w:w="4020" w:type="dxa"/>
            <w:vAlign w:val="bottom"/>
            <w:tcBorders>
              <w:bottom w:val="single" w:sz="8" w:color="CCEEFF"/>
              <w:right w:val="single" w:sz="8" w:color="CCEEFF"/>
            </w:tcBorders>
            <w:gridSpan w:val="6"/>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100" w:type="dxa"/>
            <w:vAlign w:val="bottom"/>
            <w:gridSpan w:val="15"/>
          </w:tcPr>
          <w:p>
            <w:pPr>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Junior Secured Promissory Note (incorporated by reference to Exhibit 4.5 to the Registrant’s Current Report on Form 8-K filed with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Securities and Exchange Commission on October 30,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10100" w:type="dxa"/>
            <w:vAlign w:val="bottom"/>
            <w:tcBorders>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Amendment to Junior Secured Promissory Note, dated December 4, 2023, between Agrify Corporation and CP Acquisitions,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7040" w:type="dxa"/>
            <w:vAlign w:val="bottom"/>
            <w:gridSpan w:val="13"/>
            <w:shd w:val="clear" w:color="auto" w:fill="0000EE"/>
          </w:tcPr>
          <w:p>
            <w:pPr>
              <w:spacing w:after="0" w:line="20" w:lineRule="exact"/>
              <w:rPr>
                <w:sz w:val="1"/>
                <w:szCs w:val="1"/>
                <w:color w:val="auto"/>
              </w:rPr>
            </w:pPr>
          </w:p>
        </w:tc>
        <w:tc>
          <w:tcPr>
            <w:tcW w:w="440" w:type="dxa"/>
            <w:vAlign w:val="bottom"/>
            <w:tcBorders>
              <w:right w:val="single" w:sz="8" w:color="CCEE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(incorporated by reference to Exhibit 4.1 to the Registrant’s Current Report on Form 8-K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62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Commission on December 6, 2023).</w:t>
              </w:r>
            </w:hyperlink>
          </w:p>
        </w:tc>
        <w:tc>
          <w:tcPr>
            <w:tcW w:w="7480" w:type="dxa"/>
            <w:vAlign w:val="bottom"/>
            <w:tcBorders>
              <w:top w:val="single" w:sz="8" w:color="0000EE"/>
              <w:bottom w:val="single" w:sz="8" w:color="CCEEFF"/>
              <w:right w:val="single" w:sz="8" w:color="CCEEFF"/>
            </w:tcBorders>
            <w:gridSpan w:val="1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Senior Secured Amended, Restated and Consolidated Convertible Promissory Note dated January 25, 2024 (incorporated by reference to</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Exhibit 4.1 to the Registrant’s Current Report on Form 8-K filed with the Securities and Exchange Commission on January 25, 2024).</w:t>
              </w:r>
            </w:hyperlink>
          </w:p>
        </w:tc>
        <w:tc>
          <w:tcPr>
            <w:tcW w:w="0" w:type="dxa"/>
            <w:vAlign w:val="bottom"/>
          </w:tcPr>
          <w:p>
            <w:pPr>
              <w:spacing w:after="0"/>
              <w:rPr>
                <w:sz w:val="1"/>
                <w:szCs w:val="1"/>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4740" w:type="dxa"/>
            <w:vAlign w:val="bottom"/>
            <w:tcBorders>
              <w:top w:val="single" w:sz="8" w:color="0000EE"/>
              <w:bottom w:val="single" w:sz="8" w:color="auto"/>
            </w:tcBorders>
            <w:gridSpan w:val="6"/>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172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95"/>
              </w:rPr>
              <w:t>4.21</w:t>
            </w:r>
          </w:p>
        </w:tc>
        <w:tc>
          <w:tcPr>
            <w:tcW w:w="10100" w:type="dxa"/>
            <w:vAlign w:val="bottom"/>
            <w:tcBorders>
              <w:bottom w:val="single" w:sz="8" w:color="0000EE"/>
              <w:right w:val="single" w:sz="8" w:color="CCEEFF"/>
            </w:tcBorders>
            <w:gridSpan w:val="17"/>
            <w:shd w:val="clear" w:color="auto" w:fill="CCEEFF"/>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Second Amended and Restated Junior Secured Promissory Note dated January 25, 2024 (incorporated by reference to Exhibit 4.2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836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Registrant’s Current Report on Form 8-K filed with the Securities and Exchange Commission on January 25, 2024).</w:t>
              </w:r>
            </w:hyperlink>
          </w:p>
        </w:tc>
        <w:tc>
          <w:tcPr>
            <w:tcW w:w="1740" w:type="dxa"/>
            <w:vAlign w:val="bottom"/>
            <w:tcBorders>
              <w:bottom w:val="single" w:sz="8" w:color="CCEEFF"/>
              <w:right w:val="single" w:sz="8" w:color="CCEEFF"/>
            </w:tcBorders>
            <w:gridSpan w:val="7"/>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4.22</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Pre-Funded Warrant (incorporated by reference to Exhibit 4.1 to the Registrant’s Current Report on Form 8-K filed with the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Securities and Exchange Commission on February 28,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4.23</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Form of Placement Agent Warrant (incorporated by reference to Exhibit 4.2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Securities and Exchange Commission on February 28,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4.24</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Amendment No. 1 to Senior Secured Amended, Restated and Consolidated Convertible Note between Agrify Corporation and CP</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Acquisitions, LLC (incorporated by reference to Exhibit 4.1 to Registrant’s Current Report on Form 8-K filed with the Securities and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Exchange Commission on May 22,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4.25</w:t>
            </w:r>
          </w:p>
        </w:tc>
        <w:tc>
          <w:tcPr>
            <w:tcW w:w="1004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Form of Pre-Funded Warrant (incorporated by reference to Exhibit 4.2 to Registrant’s Current Report on Form 8-K filed with the Securities</w:t>
              </w:r>
            </w:hyperlink>
          </w:p>
        </w:tc>
        <w:tc>
          <w:tcPr>
            <w:tcW w:w="60" w:type="dxa"/>
            <w:vAlign w:val="bottom"/>
            <w:tcBorders>
              <w:bottom w:val="single" w:sz="8" w:color="CCEEFF"/>
              <w:right w:val="single" w:sz="8" w:color="CCEEFF"/>
            </w:tcBorders>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336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and Exchange Commission on May 22, 2024).</w:t>
              </w:r>
            </w:hyperlink>
          </w:p>
        </w:tc>
        <w:tc>
          <w:tcPr>
            <w:tcW w:w="6740" w:type="dxa"/>
            <w:vAlign w:val="bottom"/>
            <w:tcBorders>
              <w:bottom w:val="single" w:sz="8" w:color="CCEEFF"/>
              <w:right w:val="single" w:sz="8" w:color="CCEEFF"/>
            </w:tcBorders>
            <w:gridSpan w:val="1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4.26</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Third Amended and Restated Junior Secured Convertible Promissory Note dated as of May 21, 2024 (incorporated by reference to Exhibit</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Registrant’s Current Report on Form 8-K filed with the Securities and Exchange Commission on May 22, 2024).</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4.27</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Amendment to Pre-Funded Comon Stock Purchase Warrant between Agrify Corporation and CP Acquisitions, LLC dated as of June 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2024 (incorporated by reference to Exhibit 4.1 to Registrant’s Current Report on Form 8-K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Commission on July 3, 2024).</w:t>
              </w:r>
            </w:hyperlink>
          </w:p>
        </w:tc>
        <w:tc>
          <w:tcPr>
            <w:tcW w:w="7920" w:type="dxa"/>
            <w:vAlign w:val="bottom"/>
            <w:tcBorders>
              <w:bottom w:val="single" w:sz="8" w:color="CCEEFF"/>
              <w:right w:val="single" w:sz="8" w:color="CCEEFF"/>
            </w:tcBorders>
            <w:gridSpan w:val="16"/>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4.28</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Amendment to Pre-Funded Comon Stock Purchase Warrant between Agrify Corporation and GIC Acquisitions, LLC dated as of June 30,</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2024 (incorporated by reference to Exhibit 4.2 to Registrant’s Current Report on Form 8-K filed with the Securities and Exchange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Commission on July 3, 2024).</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4.29</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Junior Secured Convertible Promissory Note dated as of August 14, 2024 (incorporated by reference to Exhibit 4.1 to Registrant’s Current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682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Report on Form 8-K filed with the Securities and Exchange Commission on August 14, 2024).</w:t>
              </w:r>
            </w:hyperlink>
          </w:p>
        </w:tc>
        <w:tc>
          <w:tcPr>
            <w:tcW w:w="3280" w:type="dxa"/>
            <w:vAlign w:val="bottom"/>
            <w:tcBorders>
              <w:bottom w:val="single" w:sz="8" w:color="CCEEFF"/>
              <w:right w:val="single" w:sz="8" w:color="CCEEFF"/>
            </w:tcBorders>
            <w:gridSpan w:val="9"/>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4.30</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Amendment No. 1 to Junior Secured Convertible Promissory Note, dated as of October 18, 2024 (incorporated by reference to Exhibit 4.1</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to Registrant’s Current Report on Form 8-K filed with the Securities and Exchange Commission on October 22, 2024).</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4.31</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Secured Amended, Restated and Consolidated Convertible Note (incorporated by reference to Exhibit 4.1 to Registrant’s Current Report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8-K filed with the Securities and Exchange Commission on November 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4.32</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Form of Pre-Funded Warrant (incorporated by reference to Exhibit 4.1 to Registrant’s Current Report on Form 8-K filed with the Securities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and Exchange Commission on November 21,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4.33</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Pre-Funded Warrant dated December 12, 2024 (incorporated by reference to Exhibit 4.1 to Registrant’s Current Report on Form 8-K filed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with the Securities and Exchange Commission on December 16,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Operating Agreement of Agrify-Valiant, LLC dated December 8, 2019 (incorporated by reference to Exhibit 10.1 to the Registrant’s</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Registration Statement on Form S-1 filed with the Securities and Exchange Commission on December 22, 2020)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Distribution Agreement dated June 7, 2019 between the Registrant and Bluezone Products, Inc.± (incorporated by reference to Exhibit 10.2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948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to the Registrant’s Registration Statement on Form S-1 filed with the Securities and Exchange Commission on December 22, 2020)</w:t>
              </w:r>
            </w:hyperlink>
          </w:p>
        </w:tc>
        <w:tc>
          <w:tcPr>
            <w:tcW w:w="620" w:type="dxa"/>
            <w:vAlign w:val="bottom"/>
            <w:tcBorders>
              <w:bottom w:val="single" w:sz="8" w:color="CCEEFF"/>
              <w:right w:val="single" w:sz="8" w:color="CCEEFF"/>
            </w:tcBorders>
            <w:gridSpan w:val="3"/>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10.3</w:t>
            </w:r>
          </w:p>
        </w:tc>
        <w:tc>
          <w:tcPr>
            <w:tcW w:w="10100" w:type="dxa"/>
            <w:vAlign w:val="bottom"/>
            <w:gridSpan w:val="17"/>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Distribution Agreement dated March 9, 2020 between the Registrant and Enozo Technologies Inc.± (incorporated by reference to Exhibit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Registrant’s Registration Statement on Form S-1 filed with the Securities and Exchange Commission on December 22,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10.4</w:t>
            </w:r>
          </w:p>
        </w:tc>
        <w:tc>
          <w:tcPr>
            <w:tcW w:w="1010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Purchase Agreement dated as of July 28, 2020 between the Registrant and 4D Bios Inc.± (incorporated by reference to Exhibit 10.4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Registrant’s Registration Statement on Form S-1 filed with the Securities and Exchange Commission on December 22, 2020)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5140" w:type="dxa"/>
            <w:vAlign w:val="bottom"/>
            <w:tcBorders>
              <w:top w:val="single" w:sz="8" w:color="0000EE"/>
              <w:bottom w:val="single" w:sz="8" w:color="auto"/>
            </w:tcBorders>
            <w:gridSpan w:val="6"/>
          </w:tcPr>
          <w:p>
            <w:pPr>
              <w:ind w:left="444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13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10.5†</w:t>
            </w:r>
          </w:p>
        </w:tc>
        <w:tc>
          <w:tcPr>
            <w:tcW w:w="10100" w:type="dxa"/>
            <w:vAlign w:val="bottom"/>
            <w:tcBorders>
              <w:bottom w:val="single" w:sz="8" w:color="0000EE"/>
            </w:tcBorders>
            <w:gridSpan w:val="19"/>
            <w:shd w:val="clear" w:color="auto" w:fill="CCEEFF"/>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Employment Agreement dated as of January 4, 2021 between the Registrant and Raymond Chang (incorporated by reference to Exhibit</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EE"/>
                </w:rPr>
                <w:t xml:space="preserve"> to the Registrant’s Annual Report on Form 10-K filed with the Securities and Exchange Commission on April 2, 2021)</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2020 Omnibus Equity Incentive Plan (incorporated by reference to Exhibit 10.13 to the Registrant’s Registration Statement on Form S-1</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filed with the Securities and Exchange Commission on December 22, 2020)</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Intellectual Property Assignment and Transfer Agreement by and among the Registrant, Agrify Brands, LLC and The Holden Company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effective as of January 1, 2020 (incorporated by reference to Exhibit 10.16 to the Registrant’s Registration Statement on Form S-1 filed</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510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with the Securities and Exchange Commission on December 22, 2020)</w:t>
              </w:r>
            </w:hyperlink>
          </w:p>
        </w:tc>
        <w:tc>
          <w:tcPr>
            <w:tcW w:w="5000" w:type="dxa"/>
            <w:vAlign w:val="bottom"/>
            <w:tcBorders>
              <w:bottom w:val="single" w:sz="8" w:color="CCEEFF"/>
            </w:tcBorders>
            <w:gridSpan w:val="13"/>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Supply Agreement by and among the Registrant and Mack Molding Co. dated December 7, 2020 ± (incorporated by reference to Exhibit</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0000EE"/>
                </w:rPr>
                <w:t xml:space="preserve"> to the Registrant’s Amendment No. 1 to Registration Statement on Form S-1 filed with the Securities and Exchange Commission on</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January 13, 2021)</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Amended and Restated Operating Agreement of Agrify Brands, LLC effective as of August 12, 2020 (incorporated by reference to Exhibit</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0000EE"/>
                </w:rPr>
                <w:t xml:space="preserve"> to the Registrant’s Registration Statement on Form S-1 filed with the Securities and Exchange Commission on December 22, 2020)</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Indemnification Agreement with directors and executive officers (incorporated by reference to Exhibit 10.18 to the Registrant’s</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Registration Statement on Form S-1 filed with the Securities and Exchange Commission on February 11, 2021)</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Employment Agreement, dated as of November 10, 2021, between the Registrant and Timothy Oakes † (incorporated by reference to</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99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Exhibit 10.2 to the Registrant’s Current Report on Form 8-K filed with the Securities and Exchange Commission on November 15, 2021)</w:t>
              </w:r>
            </w:hyperlink>
          </w:p>
        </w:tc>
        <w:tc>
          <w:tcPr>
            <w:tcW w:w="200" w:type="dxa"/>
            <w:vAlign w:val="bottom"/>
            <w:tcBorders>
              <w:bottom w:val="single" w:sz="8" w:color="CCEEFF"/>
            </w:tcBorders>
            <w:gridSpan w:val="3"/>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Securities Purchase Agreement, dated as of January 25, 2022, between the Registrant and the Purchasers party thereto</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(incorporated by reference to Exhibit 10.1 to the Registrant’s Current Report on Form 8-K filed with the Securities and Exchange</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Commission on January 26, 2022</w:t>
              </w:r>
            </w:hyperlink>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Securities Purchase Agreement, dated as of March 14, 2022, between the Registrant and High Trail Special Situations LLC</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(incorporated by reference to Exhibit 10.1 to the Registrant’s Current Report on Form 8-K filed with the Securities and Exchange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Commission on March 18, 2022)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Agrify Corporation 2022 Omnibus Equity Incentive Plan (incorporated by reference to Appendix A to the Registrant’s Definitive Proxy</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Statement on Schedule 14A filed with the Securities and Exchange Commission on April 29, 2022)</w:t>
              </w:r>
            </w:hyperlink>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Agrify Corporation 2022 Employee Stock Purchase Plan (incorporated by reference to Appendix B to the Registrant’s Definitive Proxy</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Statement on Schedule 14A filed with the Securities and Exchange Commission on April 29,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Separation Agreement of Thomas Massie, dated as of July 8, 2022 (incorporated by reference to Exhibit 10.2 to the Registrant’s Current</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Report on Form 8-K filed with the Securities and Exchange Commission on July 14, 2022).</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Employment Agreement, dated as of July 14, 2022, between the Registrant and Stuart Wilcox (incorporated by reference to Exhibit 10.1 to</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the Registrant’s Current Report on Form 8-K filed with the Securities and Exchange Commission on July 14,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Exchange Agreement, dated as of August 18, 2022, between the Registrant and High Trail Special Situations LLC (incorporated by</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reference to Exhibit 10.1 to the Registrant’s Current Report on Form 8-K filed with the Securities and Exchange Commission on August 19,</w:t>
              </w:r>
            </w:hyperlink>
          </w:p>
        </w:tc>
      </w:tr>
      <w:tr>
        <w:trPr>
          <w:trHeight w:val="196"/>
        </w:trPr>
        <w:tc>
          <w:tcPr>
            <w:tcW w:w="1140" w:type="dxa"/>
            <w:vAlign w:val="bottom"/>
          </w:tcPr>
          <w:p>
            <w:pPr>
              <w:spacing w:after="0"/>
              <w:rPr>
                <w:sz w:val="17"/>
                <w:szCs w:val="17"/>
                <w:color w:val="auto"/>
              </w:rPr>
            </w:pPr>
          </w:p>
        </w:tc>
        <w:tc>
          <w:tcPr>
            <w:tcW w:w="700" w:type="dxa"/>
            <w:vAlign w:val="bottom"/>
            <w:gridSpan w:val="2"/>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2022).</w:t>
              </w:r>
            </w:hyperlink>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Equity Distribution Agreement, dated as of October 18, 2022, between the Registrant and Canaccord Genuity LLC (incorporated by</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reference to Exhibit 1.1 to the Registrant’s Current Report on Form 8-K filed with the Securities and Exchange Commission on October 18,</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2022).</w:t>
              </w:r>
            </w:hyperlink>
          </w:p>
        </w:tc>
        <w:tc>
          <w:tcPr>
            <w:tcW w:w="600" w:type="dxa"/>
            <w:vAlign w:val="bottom"/>
            <w:tcBorders>
              <w:top w:val="single" w:sz="8" w:color="0000EE"/>
            </w:tcBorders>
            <w:shd w:val="clear" w:color="auto" w:fill="CCEEFF"/>
          </w:tcPr>
          <w:p>
            <w:pPr>
              <w:spacing w:after="0"/>
              <w:rPr>
                <w:sz w:val="17"/>
                <w:szCs w:val="17"/>
                <w:color w:val="auto"/>
              </w:rPr>
            </w:pPr>
          </w:p>
        </w:tc>
        <w:tc>
          <w:tcPr>
            <w:tcW w:w="10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68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1120" w:type="dxa"/>
            <w:vAlign w:val="bottom"/>
            <w:tcBorders>
              <w:top w:val="single" w:sz="8" w:color="0000EE"/>
            </w:tcBorders>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86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7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Employment Agreement, dated as of July 25, 2022, between the Registrant and Timothy Hayden (incorporated by reference to Exhibit 10.1</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to the Registrant’s Current Report on Form 8-K filed with the Securities and Exchange Commission on January 24, 2023)</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Exchange Agreement, dated as of March 8, 2023, between the Registrant and High Trail Special Situations LLC (incorporated by reference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to Exhibit 10.1 to the Registrant’s Current Report on Form 8-K filed with the Securities and Exchange Commission on March 9, 2023)</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Company and Investor Acknowledgment, dated as of October 27, 2023, between the Registrant and CP acquisitions LLC (incorporated by</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reference to Exhibit 10.1 to the Registrant’s Current Report on Form 8-K filed with the Securities and Exchange Commission on October</w:t>
              </w:r>
            </w:hyperlink>
          </w:p>
        </w:tc>
      </w:tr>
      <w:tr>
        <w:trPr>
          <w:trHeight w:val="196"/>
        </w:trPr>
        <w:tc>
          <w:tcPr>
            <w:tcW w:w="1140" w:type="dxa"/>
            <w:vAlign w:val="bottom"/>
          </w:tcPr>
          <w:p>
            <w:pPr>
              <w:spacing w:after="0"/>
              <w:rPr>
                <w:sz w:val="17"/>
                <w:szCs w:val="17"/>
                <w:color w:val="auto"/>
              </w:rPr>
            </w:pPr>
          </w:p>
        </w:tc>
        <w:tc>
          <w:tcPr>
            <w:tcW w:w="1300" w:type="dxa"/>
            <w:vAlign w:val="bottom"/>
            <w:gridSpan w:val="3"/>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30, 2023)</w:t>
              </w:r>
            </w:hyperlink>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Letter Agreement, dated as of October 27, 2023, between the Registrant and High Trail Special Situations LLC (incorporated by reference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to Exhibit 10.2 to the Registrant’s Current Report on Form 8-K filed with the Securities and Exchange Commission on October 30, 2023)</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Modification Agreement, effective as of October 18, 2023, between the Registrant and Mack Molding Company (incorporated by reference</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to Exhibit 10.3 to the Registrant’s Current Report on Form 8-K filed with the Securities and Exchange Commission on October 30, 2023)</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Purchase Agreement, dated as of August 28, 2024, by and between Agrify Corporation and Ionic Ventures, LLC (incorporated by reference</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to Exhibit 10.1 to the Registrant’s Current Report on Form 8-K filed with the Securities and Exchange Commission on August 29, 2024)</w:t>
              </w:r>
            </w:hyperlink>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5100" w:type="dxa"/>
            <w:vAlign w:val="bottom"/>
            <w:tcBorders>
              <w:top w:val="single" w:sz="8" w:color="0000EE"/>
              <w:bottom w:val="single" w:sz="8" w:color="auto"/>
            </w:tcBorders>
            <w:gridSpan w:val="6"/>
          </w:tcPr>
          <w:p>
            <w:pPr>
              <w:ind w:left="444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top w:val="single" w:sz="8" w:color="0000EE"/>
              <w:bottom w:val="single" w:sz="8" w:color="auto"/>
            </w:tcBorders>
          </w:tcPr>
          <w:p>
            <w:pPr>
              <w:spacing w:after="0"/>
              <w:rPr>
                <w:sz w:val="24"/>
                <w:szCs w:val="24"/>
                <w:color w:val="auto"/>
              </w:rPr>
            </w:pPr>
          </w:p>
        </w:tc>
        <w:tc>
          <w:tcPr>
            <w:tcW w:w="112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10.26</w:t>
            </w:r>
          </w:p>
        </w:tc>
        <w:tc>
          <w:tcPr>
            <w:tcW w:w="10100" w:type="dxa"/>
            <w:vAlign w:val="bottom"/>
            <w:tcBorders>
              <w:bottom w:val="single" w:sz="8" w:color="0000EE"/>
            </w:tcBorders>
            <w:gridSpan w:val="19"/>
            <w:shd w:val="clear" w:color="auto" w:fill="CCEEFF"/>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Registration Rights Agreement, dated as of August 28, 2024, by and between Agrify Corporation and Ionic Ventures, LLC (incorporated by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reference to Exhibit 10.2 to the Registrant’s Current Report on Form 8-K filed with the Securities and Exchange Commission on August 29,</w:t>
              </w:r>
            </w:hyperlink>
          </w:p>
        </w:tc>
      </w:tr>
      <w:tr>
        <w:trPr>
          <w:trHeight w:val="196"/>
        </w:trPr>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2024)</w:t>
              </w:r>
            </w:hyperlink>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Amendment to Pre-Funded Common Stock Purchase Warrant, dated as of August 28, 2024, by and between Agrify Corporation and CP</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Acquisitions, LLC (incorporated by reference to Exhibit 10.3 to the Registrant’s Current Report on Form 8-K filed with the Securities and</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Exchange Commission on August 29, 2024)</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Amendment to Pre-Funded Common Stock Purchase Warrant, dated as of August 28, 2024, by and between Agrify Corporation and GIC</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Acquisition LLC (incorporated by reference to Exhibit 10.4 to the Registrant’s Current Report on Form 8-K filed with the Securities and</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Exchange Commission on August 29, 2024)</w:t>
              </w:r>
            </w:hyperlink>
          </w:p>
        </w:tc>
        <w:tc>
          <w:tcPr>
            <w:tcW w:w="6900" w:type="dxa"/>
            <w:vAlign w:val="bottom"/>
            <w:tcBorders>
              <w:bottom w:val="single" w:sz="8" w:color="CCEEFF"/>
            </w:tcBorders>
            <w:gridSpan w:val="14"/>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First Amendment to Modification and Settlement Agreement, dated as of August 30, 2024, by and between Agrify Corporation and Mack</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Molding Company. (incorporated by reference to Exhibit 10.1 to the Registrant’s Current Report on Form 8-K filed with the Securities and</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Exchange Commission on September 4, 2024)</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Amendment to Pre-Funded Common Stock Purchase Warrant, dated as of September 27, 2024, by and between Agrify Corporation and CP</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Acquisitions, LLC (incorporated by reference to Exhibit 10.1 to the Registrant’s Current Report on Form 8-K filed with the Securities and</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Exchange Commission on October 1, 2024)</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Amendment to Pre-Funded Common Stock Purchase Warrant, dated as of September 27, 2024, by and between Agrify Corporation and</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GIC Acquisition LLC (incorporated by reference to Exhibit 10.2 to the Registrant’s Current Report on Form 8-K filed with the Securities</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and Exchange Commission on October 1, 2024)</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Severance Agreement, dated November 5, 2024, between Agrify Corporation and Raymond Chang (incorporated by reference to Exhibit</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924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Current Report on Form 8-K filed with the Securities and Exchange Commission on November 5, 2024)</w:t>
              </w:r>
            </w:hyperlink>
          </w:p>
        </w:tc>
        <w:tc>
          <w:tcPr>
            <w:tcW w:w="860" w:type="dxa"/>
            <w:vAlign w:val="bottom"/>
            <w:tcBorders>
              <w:bottom w:val="single" w:sz="8" w:color="CCEEFF"/>
            </w:tcBorders>
            <w:gridSpan w:val="2"/>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Securities Purchase Agreement (incorporated by reference to Exhibit 10.1 to the Registrant’s Current Report on Form 8-K filed</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with the Securities and Exchange Commission on November 21, 2024)</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10.34</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Registration Rights Agreement (incorporated by reference to Exhibit 10.2 to the Registrant’s Current Report on Form 8-K filed</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with the Securities and Exchange Commission on November 21, 2024)</w:t>
              </w:r>
            </w:hyperlink>
          </w:p>
        </w:tc>
        <w:tc>
          <w:tcPr>
            <w:tcW w:w="4980" w:type="dxa"/>
            <w:vAlign w:val="bottom"/>
            <w:tcBorders>
              <w:bottom w:val="single" w:sz="8" w:color="CCEEFF"/>
            </w:tcBorders>
            <w:gridSpan w:val="7"/>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Code of Ethics of Agrify Corporation Applicable To Directors, Officers And Employees (incorporated by reference to Exhibit 14.1 to the</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Registrant’s Registration Statement on Form S-1 filed with the Securities and Exchange Commission on December 22, 2020)</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Letter from MATSUURA regarding change in certifying accountant (incorporated by reference to Exhibit 16.1 to Registrant’s Current</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660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Report on Form 8-K filed with the Securities and Exchange Commission on July 22, 2024).</w:t>
              </w:r>
            </w:hyperlink>
          </w:p>
        </w:tc>
        <w:tc>
          <w:tcPr>
            <w:tcW w:w="3500" w:type="dxa"/>
            <w:vAlign w:val="bottom"/>
            <w:tcBorders>
              <w:bottom w:val="single" w:sz="8" w:color="CCEEFF"/>
            </w:tcBorders>
            <w:gridSpan w:val="5"/>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Insider Trading Policy (incorporated by reference to Exhibit 19.1 to the Registrant’s Current Report on Form 10-K filed with the Securities</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and Exchange Commission on March 21, 2025)</w:t>
              </w:r>
            </w:hyperlink>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Subsidiaries of the Registrant (incorporated by reference to Exhibit 21.1 to the Registrant’s Annual Report on Form 10-K filed with the</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20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Securities and Exchange Commission on March 21, 2025)</w:t>
              </w:r>
            </w:hyperlink>
          </w:p>
        </w:tc>
        <w:tc>
          <w:tcPr>
            <w:tcW w:w="590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Consent of GuzmanGray, Independent Registered Public Accounting Firm</w:t>
            </w: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LLP, Independent Registered Public Accounting Firm</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Rules 13a-14(a) and 15(d)-14(a), as adopted Pursuant to</w:t>
            </w:r>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and Accounting Officer Pursuant to Securities Exchange Act Rules 13a-14(a) and 15(d)-14(a), as</w:t>
            </w: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and Accounting Officer Pursuant to 18 U.S.C. Section 1350, as adopted Pursuant to Section 906 of the</w:t>
            </w: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8040" w:type="dxa"/>
            <w:vAlign w:val="bottom"/>
            <w:tcBorders>
              <w:bottom w:val="single" w:sz="8" w:color="CCEEFF"/>
            </w:tcBorders>
            <w:gridSpan w:val="16"/>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Agrify Corporation Clawback policy (incorporated by reference to Exhibit 97.1 to the Registration’s Annual Report on Form 10-K filed</w:t>
              </w:r>
            </w:hyperlink>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with the Securities and Exchange Commission on April 4, 2024, as amended on April 29, 2024)</w:t>
              </w:r>
            </w:hyperlink>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omitted from this exhibit in reliance upon Item 601(a)(5) of Regulation S-K.</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compensatory plan, or arrangement.</w:t>
      </w:r>
    </w:p>
    <w:p>
      <w:pPr>
        <w:spacing w:after="0" w:line="22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pursuant to Item 601(b)(2)(ii) of Regulation S-K because the identified confidential portions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are not material and (ii) are customarily and actually treated as private or confidential by the Company.</w:t>
      </w:r>
    </w:p>
    <w:p>
      <w:pPr>
        <w:spacing w:after="0" w:line="207"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10-K/A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706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AGRIFY CORPORATION</w:t>
            </w:r>
          </w:p>
        </w:tc>
      </w:tr>
      <w:tr>
        <w:trPr>
          <w:trHeight w:val="43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706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By:  /s/ Benjamin Kovler</w:t>
            </w:r>
          </w:p>
        </w:tc>
      </w:tr>
      <w:tr>
        <w:trPr>
          <w:trHeight w:val="194"/>
        </w:trPr>
        <w:tc>
          <w:tcPr>
            <w:tcW w:w="41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04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Benjamin Kovler</w:t>
            </w:r>
          </w:p>
        </w:tc>
      </w:tr>
      <w:tr>
        <w:trPr>
          <w:trHeight w:val="220"/>
        </w:trPr>
        <w:tc>
          <w:tcPr>
            <w:tcW w:w="41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Chairman and Interim Chief Executive Officer</w:t>
            </w:r>
          </w:p>
        </w:tc>
      </w:tr>
      <w:tr>
        <w:trPr>
          <w:trHeight w:val="234"/>
        </w:trPr>
        <w:tc>
          <w:tcPr>
            <w:tcW w:w="41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 on behalf of the Registrant and in the capacities and on the dates indicated.</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550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3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c>
          <w:tcPr>
            <w:tcW w:w="1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Interim Chief Executive Officer and 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Asher</w:t>
            </w:r>
          </w:p>
        </w:tc>
        <w:tc>
          <w:tcPr>
            <w:tcW w:w="1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Brad Asher</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Krishnan Varier</w:t>
            </w:r>
          </w:p>
        </w:tc>
        <w:tc>
          <w:tcPr>
            <w:tcW w:w="1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Mahoney</w:t>
            </w:r>
          </w:p>
        </w:tc>
        <w:tc>
          <w:tcPr>
            <w:tcW w:w="1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Max Holtzman</w:t>
            </w:r>
          </w:p>
        </w:tc>
        <w:tc>
          <w:tcPr>
            <w:tcW w:w="1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Armon Vakili</w:t>
            </w:r>
          </w:p>
        </w:tc>
        <w:tc>
          <w:tcPr>
            <w:tcW w:w="1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Armon Vakili</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Shapiro</w:t>
            </w:r>
          </w:p>
        </w:tc>
        <w:tc>
          <w:tcPr>
            <w:tcW w:w="1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Peter Shapiro</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Sanjay Tolia</w:t>
            </w:r>
          </w:p>
        </w:tc>
        <w:tc>
          <w:tcPr>
            <w:tcW w:w="1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Sanjay Tolia</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19685</wp:posOffset>
            </wp:positionV>
            <wp:extent cx="16370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3">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486" w:lineRule="exact"/>
        <w:rPr>
          <w:sz w:val="20"/>
          <w:szCs w:val="20"/>
          <w:color w:val="auto"/>
        </w:rPr>
      </w:pPr>
    </w:p>
    <w:p>
      <w:pPr>
        <w:sectPr>
          <w:pgSz w:w="11900" w:h="16838" w:orient="portrait"/>
          <w:cols w:equalWidth="0" w:num="2">
            <w:col w:w="8660" w:space="720"/>
            <w:col w:w="1860"/>
          </w:cols>
          <w:pgMar w:left="320" w:top="873" w:right="339" w:bottom="1440" w:gutter="0" w:footer="0" w:header="0"/>
          <w:type w:val="continuous"/>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2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24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40" w:type="dxa"/>
            <w:vAlign w:val="bottom"/>
            <w:gridSpan w:val="2"/>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400" w:type="dxa"/>
            <w:vAlign w:val="bottom"/>
          </w:tcPr>
          <w:p>
            <w:pPr>
              <w:spacing w:after="0"/>
              <w:rPr>
                <w:sz w:val="24"/>
                <w:szCs w:val="24"/>
                <w:color w:val="auto"/>
              </w:rPr>
            </w:pPr>
          </w:p>
        </w:tc>
      </w:tr>
      <w:tr>
        <w:trPr>
          <w:trHeight w:val="432"/>
        </w:trPr>
        <w:tc>
          <w:tcPr>
            <w:tcW w:w="884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Fiscal Years Ended December 31, 2024 and 2023:</w:t>
            </w:r>
          </w:p>
        </w:tc>
        <w:tc>
          <w:tcPr>
            <w:tcW w:w="240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196"/>
        </w:trPr>
        <w:tc>
          <w:tcPr>
            <w:tcW w:w="88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Auditors’ Report (PCAOB ID # 7143)</w:t>
            </w:r>
          </w:p>
        </w:tc>
        <w:tc>
          <w:tcPr>
            <w:tcW w:w="2400" w:type="dxa"/>
            <w:vAlign w:val="bottom"/>
            <w:shd w:val="clear" w:color="auto" w:fill="CCEEFF"/>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175"/>
        </w:trPr>
        <w:tc>
          <w:tcPr>
            <w:tcW w:w="37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Independent Auditors’ Report (PCAOB ID # 688)</w:t>
            </w:r>
          </w:p>
        </w:tc>
        <w:tc>
          <w:tcPr>
            <w:tcW w:w="5140" w:type="dxa"/>
            <w:vAlign w:val="bottom"/>
            <w:tcBorders>
              <w:top w:val="single" w:sz="8" w:color="CCEEFF"/>
            </w:tcBorders>
            <w:gridSpan w:val="2"/>
          </w:tcPr>
          <w:p>
            <w:pPr>
              <w:spacing w:after="0"/>
              <w:rPr>
                <w:sz w:val="15"/>
                <w:szCs w:val="15"/>
                <w:color w:val="auto"/>
              </w:rPr>
            </w:pPr>
          </w:p>
        </w:tc>
        <w:tc>
          <w:tcPr>
            <w:tcW w:w="2400" w:type="dxa"/>
            <w:vAlign w:val="bottom"/>
            <w:tcBorders>
              <w:top w:val="single" w:sz="8" w:color="CCEEFF"/>
            </w:tcBorders>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6"/>
        </w:trPr>
        <w:tc>
          <w:tcPr>
            <w:tcW w:w="88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2400" w:type="dxa"/>
            <w:vAlign w:val="bottom"/>
            <w:shd w:val="clear" w:color="auto" w:fill="CCEEFF"/>
          </w:tcPr>
          <w:p>
            <w:pPr>
              <w:spacing w:after="0"/>
              <w:rPr>
                <w:sz w:val="18"/>
                <w:szCs w:val="18"/>
                <w:color w:val="auto"/>
              </w:rPr>
            </w:pPr>
          </w:p>
        </w:tc>
      </w:tr>
      <w:tr>
        <w:trPr>
          <w:trHeight w:val="176"/>
        </w:trPr>
        <w:tc>
          <w:tcPr>
            <w:tcW w:w="88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2400" w:type="dxa"/>
            <w:vAlign w:val="bottom"/>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76"/>
        </w:trPr>
        <w:tc>
          <w:tcPr>
            <w:tcW w:w="88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2400" w:type="dxa"/>
            <w:vAlign w:val="bottom"/>
            <w:shd w:val="clear" w:color="auto" w:fill="CCEEFF"/>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(Deficit)</w:t>
            </w:r>
          </w:p>
        </w:tc>
        <w:tc>
          <w:tcPr>
            <w:tcW w:w="2400" w:type="dxa"/>
            <w:vAlign w:val="bottom"/>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5960" w:type="dxa"/>
            <w:vAlign w:val="bottom"/>
            <w:tcBorders>
              <w:bottom w:val="single" w:sz="8" w:color="CCEEFF"/>
            </w:tcBorders>
            <w:gridSpan w:val="5"/>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175"/>
        </w:trPr>
        <w:tc>
          <w:tcPr>
            <w:tcW w:w="88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400" w:type="dxa"/>
            <w:vAlign w:val="bottom"/>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w w:val="99"/>
              </w:rPr>
              <w:t>F-9 - F-46</w:t>
            </w:r>
          </w:p>
        </w:tc>
      </w:tr>
      <w:tr>
        <w:trPr>
          <w:trHeight w:val="676"/>
        </w:trPr>
        <w:tc>
          <w:tcPr>
            <w:tcW w:w="2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jc w:val="center"/>
              <w:ind w:right="1730"/>
              <w:spacing w:after="0"/>
              <w:rPr>
                <w:sz w:val="20"/>
                <w:szCs w:val="20"/>
                <w:color w:val="auto"/>
              </w:rPr>
            </w:pPr>
            <w:r>
              <w:rPr>
                <w:rFonts w:ascii="Times New Roman" w:cs="Times New Roman" w:eastAsia="Times New Roman" w:hAnsi="Times New Roman"/>
                <w:sz w:val="18"/>
                <w:szCs w:val="18"/>
                <w:color w:val="auto"/>
                <w:w w:val="95"/>
              </w:rPr>
              <w:t>F-1</w:t>
            </w: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1" w:name="page12"/>
    <w:bookmarkEnd w:id="11"/>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Agrify Corporation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Agrify Corporation (the “Company”) as of December 31, 2024, and the related consolidated statements of operations, stockholders’ equity (deficit), and cash flows for the year then ended,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2023, before the retrospective adjustments described in Notes 1 and 6, were audited by other auditors whose report, dated April 15, 2024, expressed an unqualified opinion on those statements. We have audited those retrospective adjustments to the 2023 consolidated financial statements, as reported in the financial statements as of and for the year ended December 31, 2024, related to discontinued operations and the reverse stock split on October 8, 2024, as described in Notes 1 and 6. In our opinion, such adjustments are appropriate and have been properly applied. We were not engaged to audit, review, or apply any procedures related to the Company’s 2023 consolidated financial statements other than with respect to the adjustments and, accordingly, we do not express an opinion or any other form of assurance on the 2023 consolidated financial statements as a whole.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GuzmanGray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2025, except for the retroactive adjustments of the reverse stock split referenced above, which is dated March 27,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Agrify Corporation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before the effects of the discontinued operations discussed in Note 1 and Note 6 and a reverse stock split discussed in Note 1, the accompanying consolidated balance sheet of Agrify Corporation and Subsidiaries (the “Company”) as of December 31, 2023 and the related consolidated statements of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stockholders’ (deficit) equity and cash flows for the year ended December 31, 2023, and the related notes (collectively referred to as the “financial statements”). In our opinion, before the effects of the discontinued operations discussed in Note 1 and Note 6 and a reverse stock split discussed in Note 1, the financial statements present fairly, in all material respects, the financial position of the Company as of December 31, 2023, and the results of its operations and its cash flows for the period ended December 31, 2023, in conformity with accounting principles generally accepted in the United States of America.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not engaged to audit, review, or apply any procedures to the effects of the discontinued operations discussed in Note 1 and Note 6 or the reverse stock split discussed in Note 1 to the consolidated financial statements, and accordingly, we do not express an opinion or any other form of assurance about whether such adjustments are appropriate and have been properly applied. Those adjustments were audited by other auditors.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2019 to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$1,702 and $1,766 at December 31, 2024 and 2023,</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15,854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34,694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24,009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20,118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45,270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20,177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16,047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25,933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59,980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35,000,000 and 10,000,000 shares authorized at December 31, 2024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2023, respectively,1,952,032 and 113,416 shares issued and outstanding at December 31, 2024 and 2023,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8680" w:type="dxa"/>
            <w:vAlign w:val="bottom"/>
            <w:shd w:val="clear" w:color="auto" w:fill="CCEEFF"/>
          </w:tcPr>
          <w:p>
            <w:pPr>
              <w:ind w:left="340"/>
              <w:spacing w:after="0" w:line="271" w:lineRule="exact"/>
              <w:rPr>
                <w:sz w:val="20"/>
                <w:szCs w:val="20"/>
                <w:color w:val="auto"/>
              </w:rPr>
            </w:pPr>
            <w:r>
              <w:rPr>
                <w:rFonts w:ascii="Times New Roman" w:cs="Times New Roman" w:eastAsia="Times New Roman" w:hAnsi="Times New Roman"/>
                <w:sz w:val="18"/>
                <w:szCs w:val="18"/>
                <w:color w:val="auto"/>
              </w:rPr>
              <w:t xml:space="preserve">respectively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335,400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250,857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(307,543)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(265,797)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 (deficit) attributable to Agrify Corporation</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27,859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(14,940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28,089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(14,710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45,270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right="2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retroactively reflect the 1-for-20 reverse stock split on July 5, 2023, and for the 1-for-15 reverse stock split on October 8, 2024. Additional information regarding the reverse stock splits may be found in Note 1 - Overview, Basis of Presentation, and Significant Accounting Policies, included in the notes to the consolidated financial statements.</w:t>
      </w:r>
    </w:p>
    <w:p>
      <w:pPr>
        <w:spacing w:after="0" w:line="17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9,015</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12,305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on property and equipment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10,880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17,042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(17,902)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(28,354)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(13,427)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 net of income taxes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(1,501)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Cultivation business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(11,893)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 on discontinued operations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(13,394)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(5,221)</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(41,746)</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(18,650)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(41,746)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(18,649)</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(135.11)</w:t>
            </w: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 (1)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 (1)</w:t>
            </w:r>
          </w:p>
        </w:tc>
        <w:tc>
          <w:tcPr>
            <w:tcW w:w="160" w:type="dxa"/>
            <w:vAlign w:val="bottom"/>
          </w:tcPr>
          <w:p>
            <w:pPr>
              <w:spacing w:after="0"/>
              <w:rPr>
                <w:sz w:val="22"/>
                <w:szCs w:val="22"/>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1,020,185</w:t>
            </w:r>
          </w:p>
        </w:tc>
        <w:tc>
          <w:tcPr>
            <w:tcW w:w="24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retroactively reflect the 1-for-20 reverse stock split on July 5, 2023, and for the 1-for-15 reverse stock split on October 8, 2024. Additional information regarding reverse stock splits may be found in Note 1 - Overview, Basis of Presentation, and Significant Accounting Policies, included elsewhere in the notes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080" w:type="dxa"/>
            <w:vAlign w:val="bottom"/>
            <w:gridSpan w:val="3"/>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Preferred A</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9"/>
        </w:trPr>
        <w:tc>
          <w:tcPr>
            <w:tcW w:w="20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10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2060" w:type="dxa"/>
            <w:vAlign w:val="bottom"/>
          </w:tcPr>
          <w:p>
            <w:pPr>
              <w:spacing w:after="0"/>
              <w:rPr>
                <w:sz w:val="19"/>
                <w:szCs w:val="19"/>
                <w:color w:val="auto"/>
              </w:rPr>
            </w:pPr>
          </w:p>
        </w:tc>
        <w:tc>
          <w:tcPr>
            <w:tcW w:w="1080" w:type="dxa"/>
            <w:vAlign w:val="bottom"/>
            <w:tcBorders>
              <w:bottom w:val="single" w:sz="8" w:color="auto"/>
            </w:tcBorders>
            <w:gridSpan w:val="3"/>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attributable</w:t>
            </w: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9"/>
                <w:szCs w:val="19"/>
                <w:color w:val="auto"/>
              </w:rPr>
            </w:pPr>
          </w:p>
        </w:tc>
        <w:tc>
          <w:tcPr>
            <w:tcW w:w="86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8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to Agrify</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Interests</w:t>
            </w:r>
          </w:p>
        </w:tc>
        <w:tc>
          <w:tcPr>
            <w:tcW w:w="140" w:type="dxa"/>
            <w:vAlign w:val="bottom"/>
          </w:tcPr>
          <w:p>
            <w:pPr>
              <w:spacing w:after="0"/>
              <w:rPr>
                <w:sz w:val="18"/>
                <w:szCs w:val="18"/>
                <w:color w:val="auto"/>
              </w:rPr>
            </w:pPr>
          </w:p>
        </w:tc>
        <w:tc>
          <w:tcPr>
            <w:tcW w:w="86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203"/>
        </w:trPr>
        <w:tc>
          <w:tcPr>
            <w:tcW w:w="2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69,220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237,876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(247,148)</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2,662</w:t>
            </w: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2,662</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through an “at the</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offering, net of</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fees</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21,539</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1,545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0" w:type="dxa"/>
            <w:vAlign w:val="bottom"/>
          </w:tcPr>
          <w:p>
            <w:pPr>
              <w:spacing w:after="0"/>
              <w:rPr>
                <w:sz w:val="1"/>
                <w:szCs w:val="1"/>
                <w:color w:val="auto"/>
              </w:rPr>
            </w:pPr>
          </w:p>
        </w:tc>
      </w:tr>
      <w:tr>
        <w:trPr>
          <w:trHeight w:val="189"/>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held-back</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shares to Lab Society</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w:t>
            </w:r>
          </w:p>
        </w:tc>
        <w:tc>
          <w:tcPr>
            <w:tcW w:w="38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 Pure Pressure</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units</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prefunded</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warrants in private</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placement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5,664</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equity classified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warrants</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1,554</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0" w:type="dxa"/>
            <w:vAlign w:val="bottom"/>
          </w:tcPr>
          <w:p>
            <w:pPr>
              <w:spacing w:after="0"/>
              <w:rPr>
                <w:sz w:val="1"/>
                <w:szCs w:val="1"/>
                <w:color w:val="auto"/>
              </w:rPr>
            </w:pPr>
          </w:p>
        </w:tc>
      </w:tr>
      <w:tr>
        <w:trPr>
          <w:trHeight w:val="192"/>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Exchange of private</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placement debt into</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equity classified warrants</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3,877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3,877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w:t>
            </w:r>
          </w:p>
        </w:tc>
        <w:tc>
          <w:tcPr>
            <w:tcW w:w="0" w:type="dxa"/>
            <w:vAlign w:val="bottom"/>
          </w:tcPr>
          <w:p>
            <w:pPr>
              <w:spacing w:after="0"/>
              <w:rPr>
                <w:sz w:val="1"/>
                <w:szCs w:val="1"/>
                <w:color w:val="auto"/>
              </w:rPr>
            </w:pPr>
          </w:p>
        </w:tc>
      </w:tr>
      <w:tr>
        <w:trPr>
          <w:trHeight w:val="189"/>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Exchange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Note</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4,638</w:t>
            </w:r>
          </w:p>
        </w:tc>
        <w:tc>
          <w:tcPr>
            <w:tcW w:w="38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2,146</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2,146</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0" w:type="dxa"/>
            <w:vAlign w:val="bottom"/>
          </w:tcPr>
          <w:p>
            <w:pPr>
              <w:spacing w:after="0"/>
              <w:rPr>
                <w:sz w:val="1"/>
                <w:szCs w:val="1"/>
                <w:color w:val="auto"/>
              </w:rPr>
            </w:pPr>
          </w:p>
        </w:tc>
      </w:tr>
      <w:tr>
        <w:trPr>
          <w:trHeight w:val="192"/>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Conversion of Convertible</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Note</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10,241</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1,172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0" w:type="dxa"/>
            <w:vAlign w:val="bottom"/>
          </w:tcPr>
          <w:p>
            <w:pPr>
              <w:spacing w:after="0"/>
              <w:rPr>
                <w:sz w:val="1"/>
                <w:szCs w:val="1"/>
                <w:color w:val="auto"/>
              </w:rPr>
            </w:pPr>
          </w:p>
        </w:tc>
      </w:tr>
      <w:tr>
        <w:trPr>
          <w:trHeight w:val="189"/>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Employee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 Purchase Plan</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Shares</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167</w:t>
            </w:r>
          </w:p>
        </w:tc>
        <w:tc>
          <w:tcPr>
            <w:tcW w:w="38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2"/>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Reverse stock split</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fractional share</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settlement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1,889</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(18,649)</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(18,650)</w:t>
            </w:r>
          </w:p>
        </w:tc>
        <w:tc>
          <w:tcPr>
            <w:tcW w:w="0" w:type="dxa"/>
            <w:vAlign w:val="bottom"/>
          </w:tcPr>
          <w:p>
            <w:pPr>
              <w:spacing w:after="0"/>
              <w:rPr>
                <w:sz w:val="1"/>
                <w:szCs w:val="1"/>
                <w:color w:val="auto"/>
              </w:rPr>
            </w:pPr>
          </w:p>
        </w:tc>
      </w:tr>
      <w:tr>
        <w:trPr>
          <w:trHeight w:val="30"/>
        </w:trPr>
        <w:tc>
          <w:tcPr>
            <w:tcW w:w="2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6"/>
        </w:trPr>
        <w:tc>
          <w:tcPr>
            <w:tcW w:w="2060" w:type="dxa"/>
            <w:vAlign w:val="bottom"/>
            <w:vMerge w:val="continue"/>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113,416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5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250,857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(265,797</w:t>
            </w:r>
          </w:p>
        </w:tc>
        <w:tc>
          <w:tcPr>
            <w:tcW w:w="1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(14,940</w:t>
            </w:r>
          </w:p>
        </w:tc>
        <w:tc>
          <w:tcPr>
            <w:tcW w:w="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(14,710</w:t>
            </w:r>
          </w:p>
        </w:tc>
        <w:tc>
          <w:tcPr>
            <w:tcW w:w="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3"/>
        </w:trPr>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2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Preferred A Stock</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attributable</w:t>
            </w: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9"/>
                <w:szCs w:val="19"/>
                <w:color w:val="auto"/>
              </w:rPr>
            </w:pPr>
          </w:p>
        </w:tc>
        <w:tc>
          <w:tcPr>
            <w:tcW w:w="8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 Agrify</w:t>
            </w:r>
          </w:p>
        </w:tc>
        <w:tc>
          <w:tcPr>
            <w:tcW w:w="10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Pr>
          <w:p>
            <w:pPr>
              <w:spacing w:after="0"/>
              <w:rPr>
                <w:sz w:val="18"/>
                <w:szCs w:val="18"/>
                <w:color w:val="auto"/>
              </w:rPr>
            </w:pPr>
          </w:p>
        </w:tc>
        <w:tc>
          <w:tcPr>
            <w:tcW w:w="8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(Deficit</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2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113,416</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250,857</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(265,797)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(14,710)</w:t>
            </w:r>
          </w:p>
        </w:tc>
        <w:tc>
          <w:tcPr>
            <w:tcW w:w="0" w:type="dxa"/>
            <w:vAlign w:val="bottom"/>
          </w:tcPr>
          <w:p>
            <w:pPr>
              <w:spacing w:after="0"/>
              <w:rPr>
                <w:sz w:val="1"/>
                <w:szCs w:val="1"/>
                <w:color w:val="auto"/>
              </w:rPr>
            </w:pPr>
          </w:p>
        </w:tc>
      </w:tr>
      <w:tr>
        <w:trPr>
          <w:trHeight w:val="203"/>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Pre-Funded Warrants</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through public offering</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184,000</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0" w:type="dxa"/>
            <w:vAlign w:val="bottom"/>
          </w:tcPr>
          <w:p>
            <w:pPr>
              <w:spacing w:after="0"/>
              <w:rPr>
                <w:sz w:val="1"/>
                <w:szCs w:val="1"/>
                <w:color w:val="auto"/>
              </w:rPr>
            </w:pPr>
          </w:p>
        </w:tc>
      </w:tr>
      <w:tr>
        <w:trPr>
          <w:trHeight w:val="189"/>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held-back shares</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from Sinclair acquisition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Cashless exercise of High</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Trail Warrants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208,814</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vested RSUs,</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of shares held back to</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offset tax</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Pre-Funded</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Warrants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647,373</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0" w:type="dxa"/>
            <w:vAlign w:val="bottom"/>
          </w:tcPr>
          <w:p>
            <w:pPr>
              <w:spacing w:after="0"/>
              <w:rPr>
                <w:sz w:val="1"/>
                <w:szCs w:val="1"/>
                <w:color w:val="auto"/>
              </w:rPr>
            </w:pPr>
          </w:p>
        </w:tc>
      </w:tr>
      <w:tr>
        <w:trPr>
          <w:trHeight w:val="189"/>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(IONIC Stock</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Subscription Payable)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189,645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liability</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classified warrants, net of</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forfeitures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52,681</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0" w:type="dxa"/>
            <w:vAlign w:val="bottom"/>
          </w:tcPr>
          <w:p>
            <w:pPr>
              <w:spacing w:after="0"/>
              <w:rPr>
                <w:sz w:val="1"/>
                <w:szCs w:val="1"/>
                <w:color w:val="auto"/>
              </w:rPr>
            </w:pPr>
          </w:p>
        </w:tc>
      </w:tr>
      <w:tr>
        <w:trPr>
          <w:trHeight w:val="189"/>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Placement</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Agent Warrants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 connection with private</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placement, net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203,988</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25,792</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25,793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25,793</w:t>
            </w:r>
          </w:p>
        </w:tc>
        <w:tc>
          <w:tcPr>
            <w:tcW w:w="0" w:type="dxa"/>
            <w:vAlign w:val="bottom"/>
          </w:tcPr>
          <w:p>
            <w:pPr>
              <w:spacing w:after="0"/>
              <w:rPr>
                <w:sz w:val="1"/>
                <w:szCs w:val="1"/>
                <w:color w:val="auto"/>
              </w:rPr>
            </w:pPr>
          </w:p>
        </w:tc>
      </w:tr>
      <w:tr>
        <w:trPr>
          <w:trHeight w:val="202"/>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Senorita Acquisition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97,300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18,836</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w:t>
            </w: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vested RSUs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72,397</w:t>
            </w:r>
          </w:p>
        </w:tc>
        <w:tc>
          <w:tcPr>
            <w:tcW w:w="1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split share adjustment</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(283)</w:t>
            </w:r>
          </w:p>
        </w:tc>
        <w:tc>
          <w:tcPr>
            <w:tcW w:w="3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Deemed Contribution from</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troubled debt</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restructuring with related</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party</w:t>
            </w: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189"/>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equity classified</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Pre-Funded Warrants</w:t>
            </w:r>
          </w:p>
        </w:tc>
        <w:tc>
          <w:tcPr>
            <w:tcW w:w="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6,791</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6,791</w:t>
            </w: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Excess of related party debt</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Pre-Funded Warrants</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conversion</w:t>
            </w: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10,044</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10,044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10,044</w:t>
            </w:r>
          </w:p>
        </w:tc>
        <w:tc>
          <w:tcPr>
            <w:tcW w:w="0" w:type="dxa"/>
            <w:vAlign w:val="bottom"/>
          </w:tcPr>
          <w:p>
            <w:pPr>
              <w:spacing w:after="0"/>
              <w:rPr>
                <w:sz w:val="1"/>
                <w:szCs w:val="1"/>
                <w:color w:val="auto"/>
              </w:rPr>
            </w:pPr>
          </w:p>
        </w:tc>
      </w:tr>
      <w:tr>
        <w:trPr>
          <w:trHeight w:val="189"/>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related party</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debt into Pre-Funded</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Warrants</w:t>
            </w:r>
          </w:p>
        </w:tc>
        <w:tc>
          <w:tcPr>
            <w:tcW w:w="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13,980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Conversion of Convertible</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Note</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178,109</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0" w:type="dxa"/>
            <w:vAlign w:val="bottom"/>
          </w:tcPr>
          <w:p>
            <w:pPr>
              <w:spacing w:after="0"/>
              <w:rPr>
                <w:sz w:val="1"/>
                <w:szCs w:val="1"/>
                <w:color w:val="auto"/>
              </w:rPr>
            </w:pPr>
          </w:p>
        </w:tc>
      </w:tr>
      <w:tr>
        <w:trPr>
          <w:trHeight w:val="213"/>
        </w:trPr>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(41,746)</w:t>
            </w: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(41,746)</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(41,746)</w:t>
            </w:r>
          </w:p>
        </w:tc>
        <w:tc>
          <w:tcPr>
            <w:tcW w:w="0" w:type="dxa"/>
            <w:vAlign w:val="bottom"/>
          </w:tcPr>
          <w:p>
            <w:pPr>
              <w:spacing w:after="0"/>
              <w:rPr>
                <w:sz w:val="1"/>
                <w:szCs w:val="1"/>
                <w:color w:val="auto"/>
              </w:rPr>
            </w:pPr>
          </w:p>
        </w:tc>
      </w:tr>
      <w:tr>
        <w:trPr>
          <w:trHeight w:val="30"/>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700" w:type="dxa"/>
            <w:vAlign w:val="bottom"/>
            <w:gridSpan w:val="2"/>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vMerge w:val="continue"/>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1,952,032</w:t>
            </w: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335,400</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(307,543) $</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27,859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28,089</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7" w:name="page18"/>
    <w:bookmarkEnd w:id="17"/>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attributable to Agrify Corporation to net cash and cash equivalents used in operating</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premium</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inventory</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abandonment of CIP projects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liability</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Cultivation business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8,341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17,158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used in operating activities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(11,583)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(30,975)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loans receivable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repayment of loan receivable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15,057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(used in) provided by investing activities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25,179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through an S-1 and Pre-Funded Warrants offering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through an “at the market” offering, net of fees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through IONIC Stock Subscription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 in connection with private placement,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25,793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 Shares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Pre-Funded Warrants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warrants in settlement agreement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related party notes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notes payable, other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debt in private placement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other financing loans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insurance financing loans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provided by (used in) financing activities continuing operations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42,373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(4,227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of discontinued operations, beginning of period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of discontinued operations, end of period</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period</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warrants in connection with reclassification and issuance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5,432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of prepaid insurance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related party debt to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property and equipment to inventory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23" w:orient="portrait"/>
          <w:cols w:equalWidth="0" w:num="1">
            <w:col w:w="11240"/>
          </w:cols>
          <w:pgMar w:left="320" w:top="333" w:right="3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liability classified pre-funded warrants to equity</w:t>
            </w:r>
          </w:p>
        </w:tc>
        <w:tc>
          <w:tcPr>
            <w:tcW w:w="2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20,771</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Deemed contribution from troubled debt restructuring with related party</w:t>
            </w:r>
          </w:p>
        </w:tc>
        <w:tc>
          <w:tcPr>
            <w:tcW w:w="2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and warrants issued in connection with business combination</w:t>
            </w:r>
          </w:p>
        </w:tc>
        <w:tc>
          <w:tcPr>
            <w:tcW w:w="2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18,836</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 into equity</w:t>
            </w:r>
          </w:p>
        </w:tc>
        <w:tc>
          <w:tcPr>
            <w:tcW w:w="2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1,731</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3,306</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Agrify is a developer of branded innovative solutions for the cannabis and hemp industries. Our Señorita brand offers consumers hemp-derived tetrahydrocannabinol (“THC”) beverages that mirror well-known cocktails like a margarita – in three flavors – classic Lime Jalapeño Margarita, Mango Margarita, and Paloma. Known for its clean, fresh taste and commitment to high-quality, natural ingredients, Señorita offers a low-sugar, low-calorie alternative to alcoholic beverages and is available at top retailers including Total Wine, ABC Fine Wine &amp; Spirits, and Binny’s in nine U.S. states and Canada, with plans for expansion and future availability in premier on-premises destinations.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beverages, Agrify has also historically been a leading provider of innovative cultivation and extraction solutions for the cannabis industry. The Company’s comprehensive extraction product line, which includes hydrocarbon, alcohol, solventless, post-processing, and lab equipment, empowers producers to maximize the quantity and quality of extract required for premium concentrates. Additionally, prior to its sale on December 31, 2024, our proprietary micro-environment-controlled Agrify Vertical Farming Units (“VFUs”) enabled cultivators to produce high quality products for the cannabis industry.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ten wholly-owned consolidated subsidiaries, which are collectively referred to as the “Subsidiaries” and the Company also has ownership interests in certain companies.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12, 2024, the Company acquired certain assets from Double or Nothing, LLC (“Double or Nothing”), the owner and creator of the Señorita brand of hemp-derived drinks as part of the Company’s strategic plan to reposition itself as a distributor of hemp-derived beverages (and similar products).</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December 31, 2024, the Company entered into an Asset Purchase Agreement (the “Purchase Agreement”) with CP Acquisitions, LLC (“CP”), an entity affiliated with Raymond Chang, the Company’s former Chairman and Chief Executive Officer. Under the Purchase Agreement, CP acquired assets from the Company relating to the Company’s Vertical Farming Units (“VFUs”), including the related Agrify total-turnkey (“TTK”) solution assets and</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Agrify Insights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solutions (collectively the “Cultivation Business”). The sale of the Cultivation Business occurred following signing on December 31, 2024. The results of the Cultivation Business is presented as discontinued operations in the Consolidated Statements of Operations and, as such, have been excluded from continuing operations. Further, the Company reclassified the assets and liabilities of the Cultivation Business to discontinued operations in the Consolidated Balance Sheet as of December 31, 2023. For further discussion on the discontinued operations, refer to Note 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8, 2024, the Company effected a 1-for-15 reverse stock split of its Common Stock. All share and per share information has been retroactively adjusted to give effect to the reverse stock splits for all periods presented unless otherwise indicated.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Annual Report on Form 10-K has been retroactively adjusted to reflect the impact of these reverse stock splits.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Deficiency Notice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19, 2023, the Company received a deficiency letter from the Listing Qualifications Department (the “Staff”) of The Nasdaq Stock Market, LLC (“Nasdaq”) notifying the Company that, for the previous 30 consecutive business days, the bid price for its Common Stock had closed below $1.00 per share, which is the minimum closing price required to maintain a continued listing on The Nasdaq Capital Market under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exercises its discretion to extend the minimum trading day period pursuant to Nasdaq Listing Rule 5810(c)(3)(G). On July 19, 2023, the Company received a notice from Nasdaq confirming its compliance with the minimum bid price rule.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disclosed in the Current Report on Form 8-K filed on April 17, 2023, the audit committee (the “Audit Committee”) of the Company’s Board of Directors (the “Board”) concluded that, as a result of inadvertent errors in the accounting for warrants previously issued by the Company, it was appropriate to restate the Company’s previously issued unaudited consolidated interim financial statements as of and for the quarterly periods ended March 31, 2022, June 30, 2022 and September 30, 2022 included in the Company’s Quarterly Reports on Form 10-Q for such periods in amended quarterly reports for the affected periods. As a result of such restatements, the Company was unable to timely file the 2022 Form 10-K, the First Quarter 2023 Form 10-Q and the Second Quarter 2023 Form 10-Q without unreasonable effort or expense.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18, 2023, the Company received a notice from Nasdaq (the “April Nasdaq Notice”) that it was noncompliant with Nasdaq Listing Rule 5250(c)(1) as a result of its failure to file its Annual Report on Form 10-K (the “Form 10-K”) with the SEC by the required due date.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17, 2023, the Company received a second notice from Nasdaq (the “May Nasdaq Notice”) that it remained noncompliant with Nasdaq Listing Rule 5250(c)(1) as a result of its failure to file its Quarterly Report on Form 10-Q for the quarter ended March 31, 2023 (the “First Quarter Form 10-Q”) with the SEC by the required due date.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Nasdaq granted the Company an exception until October 16, 2023, to file its 2022 Form 10-K and First and Second Quarter 2023 Forms 10-Q.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Notice had no immediate effect on the listing of the Company’s Common Stock on The Nasdaq Stock Market LLC.</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2023, the Company received a Staff Delisting Determination (the “Staff Determination”) from the Listing Qualifications Department of Nasdaq notifying the Company that it was not in compliance with Nasdaq’s continued listing requirements under the Listing Rule as a result of its failure to file the First Quarter Form 10-Q, the Second Quarter Form 10-Q and the Form 10-K for 2023 (collectively, the “Delinquent Reports”) in a timely manner.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16, 2023, the Company received a notice from Nasdaq that the Company remains noncompliant with the Listing Rule as a result of its failure to file its Quarterly Report on Form 10-Q for the fiscal quarter ended September 30, 2023 with the SEC by the required filing date (the “November Nasdaq Notice” and, together with the April Nasdaq Notice, the May Nasdaq Notice, and the August Nasdaq Notice, the “Nasdaq Notices”).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 2023, the Company received a notice from Nasdaq stating that because the Company reported stockholders’ equity of $(17.17) million in its Form 10-Q for the quarter ended March 30, 2023, the Company was no longer in compliance with Nasdaq Listing Rule 5550(b)(1) (the “Primary Equity Listing Rule”), which requires that listed companies maintain a minimum of $2.5 million in stockholders’ equity. In response, the Company timely requested a hearing before a Nasdaq Hearings Panel (the “Panel”), which stayed any further action by the Listing Qualifications Staff. The hearing was held on January 11, 2024. The Company arrived at the hearing having previously cured any additional grounds for delisting as a result of delinquent periodic filings during 2023 that were filed prior to the hearing.</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30, 2024, the Company received formal notice that the Panel had granted the Company’s request for an exception through April 15, 2024 to evidence compliance with the Listing Rule. The compliance date of April 15, 2024 represents the full extent of the Panel’s discretion to grant continued listing while the Company is non-compliant with Nasdaq Listing Rules. Accordingly, there can be no assurance that the Company will be able to regain compliance with the Nasdaq listing rules or maintain its listing on the Nasdaq Capital Market. If the Company’s Common Stock is delisted, it could be more difficult to buy or sell the Company’s Common Stock or to obtain accurate quotations, and the price of the Company’s Common Stock could suffer a material decline. Delisting could also impair the Company’s ability to raise capital.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5, 2024, the Company received a deficiency letter from the Staff notifying the Company that, for the last 30 consecutive business days, the bid price for the Company’s Common Stock had closed below $1.00 per share, which is the minimum closing price required to maintain continued listing on the Nasdaq Stock Market under Nasdaq Listing Rule 5550(a)(2) (the “Minimum Bid Requirement”). The Notice had no immediate effect on the listing of the Company’s Common Stock on Nasdaq. In accordance with Nasdaq Listing Rule 5810(c)(3)(A), the Company has 180 calendar days to regain compliance with the Minimum Bid Requirement. The compliance period for the Company expired on September 3, 2024. On September 4, 2024, the Staff notified the company in writing that it was eligible for an additional 180-day compliance period, or until March 3, 2025, to regain compliance with the Minimum Bid Requirement. On October 8, 2024, the Company completed a 1-for-15 reverse stock split of our Common Stock, in which each fifteen shares of Common Stock issued and outstanding was combined and converted into one share of Common Stock to regain compliance with the Minimum Bid Requirement. On October 22, 2024, the Staff notified the Company that it had regained compliance with the Minimum Bid Requirement.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Wholly-Owned Subsidiaries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(“GAAP”) and include the accounts of Agrify Corporation and its wholly-owned subsidiaries, as described above, in accordance with the provisions required by the Consolidation Topic 810 (“ASC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Less Than Wholly-Owned Subsidiaries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Company’s less than wholly-owned subsidiary, Agrify Brands, LLC (“Agrify Brands”), the Company first analyzes whether this entity is a variable interest entity (a “VIE”) in accordance with ASC 810, and if so, whether the Company is the primary beneficiary requiring consolidation. The Company continuously re-assesses (i) whether the joint-venture is a VIE, and (ii) if the Company is the primary beneficiary of the VIE. If it is determined that Agrify Brands qualifies as a VIE and the Company is the primary beneficiary, the Company’s financial interest in the VIE is consolidated.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Company’s analysis of this entity, the Company has determined that Agrify Brands is a VIE, and that the Company is the primary beneficiary. While the Company owns 75% of Agrify Brand’s equity interests, the remaining equity interests in Agrify Brands are owned by unrelated third parties, and the agreement with these third parties provides the Company with greater voting power as the majority owner. Accordingly, the Company consolidates its interest in the financial statements of Agrify Brands under the VIE rules and reflects the third parties’ interests in the condensed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On an ongoing basis, the Company evaluates estimates, which include estimates related to accruals, stock-based compensation expense, reported amounts of revenues during the reported period, fair value of warrant liabilities, sales tax liabilities, valuation of deferred tax assets, net realizable value of inventory and collectability of trade accounts, intangible assets, goodwill, and litigation. The Company bases their estimates on historical experience and other market-specific or other relevant assumptions that they believe to be reasonable under the circumstances. Actual results may differ materially from those estimates or assumptions.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regularly evaluates its assets, including asset groups or reporting units, for impairment in accordance with GAAP. The Company is aware of the impact that prolonged net losses can have on the fair value of underlying assets and the overall company. The Company is committed to ensuring that the carrying amounts of its assets are appropriately assessed and adjusted for any impairment, reflecting a true and fair view of its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effected a 1-for-20 reverse stock split of its Common Stock on July 5, 2023 and a 1-for-15 reverse stock split of its Common Stock on October 8, 2024. All share and per share information has been retroactively adjusted to give effect to the reverse stock split for all periods presented unless otherwise indicated. The shares of Common Stock retained a par value of $0.001 per share. Accordingly, the Stockholders’ equity (deficit) section of the consolidated balance sheets reflects the reverse stock split by reclassifying from “Common Stock” to “Additional paid-in capital” an amount equal to the par value of the decreased shares resulting from the reverse stock split.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amounts in the consolidated financial statements related to the prior years have been reclassified to conform to the current year’s presentation.</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31, 2024, the Company entered into and closed a Purchase Agreement with CP. Under the Purchase Agreement, CP acquired assets from the Company relating to the Cultivation Business.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sale of the Cultivation Business represented a strategic shift that will have a major effect on the Company’s operations and financial results, they have been presented in discontinued operations in accordance with ASC 205, Presentation of Financial Statements, separate from continuing operations for the years ended December 31, 2024 and 2023, as applicable. For further discussion, refer to Note 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principally of cash and deposits with maturities of three months or less as of December 31, 2024 and December 31, 2023. All cash equivalents are carried at cost, which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to be held-to-maturity securities and are recorded at amortized cost in the accompanying consolidated balance sheets. The fair value of these investments was estimated using recently executed transactions and market price quotations. The Company considers current assets to be those investments that will mature within the next 12 months, including interest receivable on long-term bonds.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Accounts receivable, net, primarily consists of amounts for goods and services that are billed and currently due from customers. In accordance with the current expect credited loss (“CECL”) impairment model under ASU 2016-13, Financial Instruments - Credit Losses (Topic 326), accounts receivable balances are presented net of an allowance for credit losses, which are an estimate of billed or borrowed amounts that may not be collectible. In determining the amount of the allowance at each reporting date, management makes judgments about general economic conditions, historical write-off experience, and any specific risks identified in customer or borrower collection matters, including the aging of unpaid accounts receivable and changes in customer or borrower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marketable securities, and accounts receivable. Cash equivalents primarily consist of money market funds with original maturities of three months or less, which are invested primarily with U.S. financial institutions. Cash deposits with financial institutions generally exceed federally insured limits. Management believes minimal credit risk exists with respect to these financial institutions and the Company has not experienced any losses on such amounts.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tables below show customers who account for 10% or more of the Company’s total revenues and 10% or more of the Company’s accounts receivable for the periods presented.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2024 and 2023, the Company did not have any customers that accounted for 10% or more of total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and 2023, the Company’s customers that accounted for 10% or more of the total accounts receivable, net,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60" w:type="dxa"/>
            <w:vAlign w:val="bottom"/>
          </w:tcPr>
          <w:p>
            <w:pPr>
              <w:spacing w:after="0"/>
              <w:rPr>
                <w:sz w:val="16"/>
                <w:szCs w:val="16"/>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Accounts</w:t>
            </w: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15095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 10888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9142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accounts receivable, as a percentage of total accounts receivable, was less than 10%</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20" w:type="dxa"/>
            <w:vAlign w:val="bottom"/>
          </w:tcPr>
          <w:p>
            <w:pPr>
              <w:spacing w:after="0"/>
              <w:rPr>
                <w:sz w:val="18"/>
                <w:szCs w:val="18"/>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45"/>
        </w:trPr>
        <w:tc>
          <w:tcPr>
            <w:tcW w:w="9120" w:type="dxa"/>
            <w:vAlign w:val="bottom"/>
          </w:tcPr>
          <w:p>
            <w:pPr>
              <w:spacing w:after="0"/>
              <w:rPr>
                <w:sz w:val="21"/>
                <w:szCs w:val="21"/>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16"/>
        </w:trPr>
        <w:tc>
          <w:tcPr>
            <w:tcW w:w="9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0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 to 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of laboratory equipment</w:t>
            </w:r>
          </w:p>
        </w:tc>
        <w:tc>
          <w:tcPr>
            <w:tcW w:w="2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198"/>
        </w:trPr>
        <w:tc>
          <w:tcPr>
            <w:tcW w:w="9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1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Lower of estimated useful</w:t>
            </w:r>
          </w:p>
        </w:tc>
      </w:tr>
      <w:tr>
        <w:trPr>
          <w:trHeight w:val="216"/>
        </w:trPr>
        <w:tc>
          <w:tcPr>
            <w:tcW w:w="9120" w:type="dxa"/>
            <w:vAlign w:val="bottom"/>
          </w:tcPr>
          <w:p>
            <w:pPr>
              <w:spacing w:after="0"/>
              <w:rPr>
                <w:sz w:val="18"/>
                <w:szCs w:val="18"/>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life or remaining lease</w:t>
            </w:r>
          </w:p>
        </w:tc>
      </w:tr>
      <w:tr>
        <w:trPr>
          <w:trHeight w:val="234"/>
        </w:trPr>
        <w:tc>
          <w:tcPr>
            <w:tcW w:w="9120" w:type="dxa"/>
            <w:vAlign w:val="bottom"/>
          </w:tcPr>
          <w:p>
            <w:pPr>
              <w:spacing w:after="0"/>
              <w:rPr>
                <w:sz w:val="20"/>
                <w:szCs w:val="20"/>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term</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consolidated balance sheets and any resulting gain or loss is included in the consolidated statements of operations in the period of retirement or disposal.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once placed into service. During construction, costs are accumulated in a construction-in-progress account, with no depreciation. Upon completion, costs are transferred to the appropriate asset account, and depreciation begins when the asset is placed into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sustained decline in the Company’s stock price.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Goodwill is not subject to amortization and is tested annually for impairment, or more frequently if events or changes in circumstances indicate there might be an impairment. An impaired asset is written down to its estimated fair value based upon the most recent information.</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performed a qualitative analysis for its goodwill impairment test. The Company applies the guidance in </w:t>
      </w:r>
      <w:r>
        <w:rPr>
          <w:rFonts w:ascii="Times New Roman" w:cs="Times New Roman" w:eastAsia="Times New Roman" w:hAnsi="Times New Roman"/>
          <w:sz w:val="18"/>
          <w:szCs w:val="18"/>
          <w:i w:val="1"/>
          <w:iCs w:val="1"/>
          <w:color w:val="auto"/>
        </w:rPr>
        <w:t>ASU 2011-08 Intangibles-Goodwill and Other-Testing Goodwill for Impairment</w:t>
      </w:r>
      <w:r>
        <w:rPr>
          <w:rFonts w:ascii="Times New Roman" w:cs="Times New Roman" w:eastAsia="Times New Roman" w:hAnsi="Times New Roman"/>
          <w:sz w:val="18"/>
          <w:szCs w:val="18"/>
          <w:color w:val="auto"/>
        </w:rPr>
        <w:t>, which provides entities with an option to perform a qualitative assessment (commonly referred to as “Step Zero”) to determine whether further quantitative analysis for impairment of goodwill is necessary. A goodwill impairment charge is recorded if the amount by which our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our market value as a result of a significant sustained decline in our stock price. As a result of the Company’s Step Zero analysis, no further quantitative impairment test was deemed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evaluates all its financial instruments, including issued private placement stock purchase warrants, to determine if such instruments are derivatives or contain features that qualify as embedded derivatives, pursuant to ASC Topic 480, Distinguishing Liabilities from Equity (“ASC 480”) and ASC Topic 815, Derivatives and Hedging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ectPr>
          <w:pgSz w:w="11900" w:h="16838" w:orient="portrait"/>
          <w:cols w:equalWidth="0" w:num="1">
            <w:col w:w="11240"/>
          </w:cols>
          <w:pgMar w:left="320" w:top="225" w:right="339" w:bottom="1134"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134"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 Payable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to be separately accounted for in accordance with ASC 815. The accounting treatment of derivative financial instruments requires that the Company identify and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an unrealized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Debt Discount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record debt issuance costs and/or debt discounts in connection with the issuance of debt. The Company may cover these costs by paying cash or issuing warrants. These costs are amortized to interest expense over the expected life of the debt. If a conversion of the underlying debt occurs, a proportionate share of the unamortized amounts is immediately expensed.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convertible debt issued by the Company, may provide the debt holder with an original issue discount. The Company would record the original issue discount to debt discount, reducing the face amount of the note, and is then amortized to interest expense over the life of the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at the inception of an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 Liabilities includes amounts collected, billed in excess of revenue or customer deposits that the Company can recognize. The Company recognizes contract liabilities and non-current contract liabilities as revenue as the related performance obligation is satisfied. The Company records contract liabilities that will be recognized during the succeeding twelve-month period as a current liability on the consolidated balance sheets.</w:t>
      </w:r>
    </w:p>
    <w:p>
      <w:pPr>
        <w:sectPr>
          <w:pgSz w:w="11900" w:h="16838" w:orient="portrait"/>
          <w:cols w:equalWidth="0" w:num="1">
            <w:col w:w="11240"/>
          </w:cols>
          <w:pgMar w:left="320" w:top="225"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marketable securities, accounts receivable, contingent considerations, long-term debt, related party debt, and warrant liabilities. Refer to Note 4 - Fair Value Measures, included elsewhere in the notes to the consolidated financial statements for details of the Company’s financial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directors and consultants based on the fair value on the date of the grant and recognizes compensation expense of those awards over the requisite service period, which is generally the vesting period of the respective award. Forfeitures are recognized as incurred. Historically, the Company has issued stock options to employees, directors and consultants with only service-based vesting conditions and records the expense for these awards using the straight-line method.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in the same manner in which the award recipient’s payroll costs are classified.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the grant using the Black-Scholes option-pricing model.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acquisitions using the acquisition method of accounting, in accordance with which assets acquired and liabilities assumed are recorded at their respective fair values at the acquisition date. The fair value of the consideration paid is assigned to the assets acquired and liabilities assumed based on their respective fair values. Goodwill represents the excess of the purchase price over the estimated fair values of the assets acquired and liabilities assumed.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equipment sales and hemp-derived beverage sales.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Topic 606, Revenue Recognition (“ASC 606”), we recognize revenue from contracts with customers using a five-step model, which is described below:</w:t>
      </w:r>
    </w:p>
    <w:p>
      <w:pPr>
        <w:spacing w:after="0" w:line="162"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5" w:lineRule="exact"/>
        <w:rPr>
          <w:sz w:val="20"/>
          <w:szCs w:val="20"/>
          <w:color w:val="auto"/>
        </w:rPr>
      </w:pPr>
    </w:p>
    <w:p>
      <w:pPr>
        <w:ind w:right="120" w:firstLine="324"/>
        <w:spacing w:after="0" w:line="312" w:lineRule="auto"/>
        <w:rPr>
          <w:sz w:val="20"/>
          <w:szCs w:val="20"/>
          <w:color w:val="auto"/>
        </w:rPr>
      </w:pPr>
      <w:r>
        <w:rPr>
          <w:rFonts w:ascii="Times New Roman" w:cs="Times New Roman" w:eastAsia="Times New Roman" w:hAnsi="Times New Roman"/>
          <w:sz w:val="17"/>
          <w:szCs w:val="17"/>
          <w:color w:val="auto"/>
        </w:rPr>
        <w:t>Revenue is recognized when, or as, performance obligations are satisfied by transferring control of a promised product or service to a customer. The Company satisfies its performance obligation upon transferring goods or services to a customer and transfers control upon the customer taking possession.</w:t>
      </w:r>
    </w:p>
    <w:p>
      <w:pPr>
        <w:sectPr>
          <w:pgSz w:w="11900" w:h="16838" w:orient="portrait"/>
          <w:cols w:equalWidth="0" w:num="1">
            <w:col w:w="11240"/>
          </w:cols>
          <w:pgMar w:left="320" w:top="225"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that may include various combinations of equipment and, services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standalone selling price (“SSP”). The corresponding revenue is recognized as the related performance obligations are satisfied.</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The Company determines SSP based on the price at which the performance obligation is sold separately and the methods of estimating SSP under the guidance of ASC 606. If the SSP is not observable through past transactions, the Company estimates the SSP, taking into account available information such as market conditions, expected margins, and internally approved pricing guidelines related to the performance obligations. The Company typically satisfies its performance obligations for equipment sales when equipment is made available for shipment to the customer; for services sales as services are rendered to the customer.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the cost-plus margin method to determine the SSP for equipment and services. This method is based on the cost of the services from third parties, plus a reasonable markup that the Company believes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contract liabilities primarily results from the timing difference between the Company’s performance and the customer’s payment. The Company fulfills obligations under a contract with a customer by transferring products and services in exchange for consideration from the customer. Accounts receivable are recorded when the customer has been billed or the right to consideration is unconditional. The Company recognizes a contract liability when consideration has been received and the Company has a future obligation to transfer certain proprietary products.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multiple-year warranties as negotiated, and generally transfers to its customers the warranties it receives from its vendors, if any, which generally cover this one-year period. In accordance with ASC Topic 450, Accounting for Contingencies, (“ASC 450”) the Company accrues for product warranties when the loss is probable and can be reasonably estimated. The Company maintained a reserve for warranty returns of $47,000 and $0.1 million as of December 31, 2024 and December 31, 2023, respectively. The Company’s reserve for warranty returns is included in accrued expenses and other current liabilities in its consolidated balance sheets. Additional information regarding the Company’s warranty reserve may be found in Note 3 – Supplemental Consolidated Balance Sheet Information, included elsewhere in the notes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extraction equipment.</w:t>
      </w:r>
    </w:p>
    <w:p>
      <w:pPr>
        <w:sectPr>
          <w:pgSz w:w="11900" w:h="16838" w:orient="portrait"/>
          <w:cols w:equalWidth="0" w:num="1">
            <w:col w:w="11240"/>
          </w:cols>
          <w:pgMar w:left="320" w:top="225"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pursuant to the provisions of ASC Topic 740, Income Taxes (“ASC 740”),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 provides guidance on how an entity should determine whether a tax position is effectively settled for the purpose of recognizing previously unrecognized tax benefits. ASC 740 clarifies that a tax position can be effectively settled upon the completion of an examination by a taxing authority. For tax positions considered effectively settled, the Company recognizes the full amount of the tax benefit.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provision for income taxes is measured using an annual effective tax rate, adjusted for discrete items within the period presented. To determine the annual effective tax rate, the Company estimates both the total income (loss) before income taxes for the full year and the jurisdictions in which that income (loss) is subject to tax. The actual effective tax rate for the full year may differ from these estimates if income (loss) before income taxes is greater than or less than what was estimated or if the allocation of income (loss) to jurisdictions in which it is taxed is different from the estimated allocations.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provision for income taxes represents Federal, state and local income taxes. The effective rate differs from statutory rates due to the effect of certain nondeductible expenses. Our effective tax rate will change from quarter to quarter based on recurring and non-recurring factors including, but not limited to, the geographical mix of earnings, enacted tax legislation, and state and local income taxes. In addition, changes in judgment from the evaluation of new information resulting in the recognition, derecognition or re-measurement of a tax position taken in a prior annual period is recognized separately in the quarter of the change.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Tax contingencies are recorded, if needed, to address potential exposure involving tax positions the Company has taken that could be challenged by tax authorities. These potential exposures could result from applications of various statutes, rules, regulations and interpretations. Any estimates of tax contingencies contain assumptions and judgments about potential actions by taxing jurisdictions. Any interest and penalties related to uncertain tax positions would be included as part of the income tax provision. The Company’s conclusions regarding uncertain tax positions may be subject to review and adjustment at a later date based upon ongoing analysis of or changes in tax laws, regulations and interpretations thereof as well as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presents basic and diluted net loss per share attributable to holders of the Company’s Common Stock in conformity with the one-class method. The Company computes basic loss per share by dividing net loss available to Common Stockholders by the weighted-average number of Common Stock outstanding. Diluted loss/income per share adjusts basic loss per share for the potentially dilutive impact of convertible notes, stock options, restricted stock units and warrants. As the Company has reported losses for the years ended December 31, 2024 and 2023, all potentially dilutive securities including convertible notes, stock options, restricted stock units and warrants, are anti-dilutive, and accordingly, basic net loss per share equals diluted net loss per share for those periods.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reverse stock splits effected on July 5, 2023 and October 8,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 Improvements to Reportable Segment Disclosures, to provide enhanced segment disclosures. The standard will require disclosures about significant segment expense categories and amounts for each reportable segment, for all periods presented. Additionally, the standard requires public entities to disclose the title and position of the Chief Operating Decision Maker (“CODM”) in the consolidated financial statements. These enhanced disclosures are required for all entities on an interim and annual basis, effective for fiscal years beginning after December 15, 2023, and interim periods within annual periods beginning after December 15, 2024. The adoption of this standard did not have a material impact on the Company’s consolidated financial statements.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Announced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a final standard on improvements to income tax disclosures. The standard requires disaggregated information about a reporting entity’s effective tax rate reconciliation as well as information on income taxes paid. The standard applies to all entities subject to income taxes and is intended to benefit investors by providing more detailed income tax disclosures that would be useful in making capital allocation decisions. For public business entities (PBEs), the new requirements will be effective for annual periods beginning after December 15, 2024. The guidance will be applied on a prospective basis with the option to apply the standard retrospectively. The Company is currently in the process of evaluating the effect of this guidance on its financial statements.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(Topic 220): Disaggregation of Income Statement Expenses. This guidance requires additional disclosure of certain amounts included in the expense captions presented on the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this ASU on its consolidated financial statements and related disclosures.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2024-04, Debt with Conversion and Other Options (“ASU 2024-04”), which clarifies the requirements for determining whether certain settlements of convertible debt instruments should be accounted for as an induced conversion. ASU 2024-04 is effective for annual periods beginning after December 15, 2025, and interim reporting periods within those annual reporting periods. Early adoption is permitted for all entities that have adopted the amendments in Update 2020-06. Adoption can be on a prospective or retrospective basis. The Company is currently evaluating the disclosure impact that ASU 2024-04 may have on its financial statement presentation and disclosures.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did not or are not believed by management to have a material impact on the Company’s present or future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and Contract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generate revenue from equipment sales and hemp-derived beverage sales. The Company enters into time-and-materials contracts for equipment sales under which the Company is paid for labor and equipment at negotiated hourly billing rates and other expenses, including materials, as incurred at rates agreed to in the contract.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from continuing operations disaggregated by the timing of revenue recognition: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over-time</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15,142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from continuing operations disaggregated by revenue type: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Ancillary products and services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14,698</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Hemp-derived beverages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15,142</w:t>
            </w: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F-18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gridSpan w:val="2"/>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 through 606, including (i) performance obligation is part of a contract that has an original expected duration of one year or less and (ii) the right to invoice practical expedient.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Company’s current contract liability balance for the years ended December 31, 2024 and 2023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(4,644)</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Contract liabilities – end of period</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Contract liabilities balances primarily consist of customer deposits on the Company’s extraction solutions equipment. As of December 31, 2024 and December 31, 2023, all of the Company’s contract liabilities balances were reported as current liabilities in the accompanying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Supplemental Consolidated Balance Sheet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consisted of the following as of December 31, 2024 and December 31, 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225" w:right="339" w:bottom="1440" w:gutter="0" w:footer="0" w:header="0"/>
        </w:sectPr>
      </w:pPr>
    </w:p>
    <w:p>
      <w:pPr>
        <w:ind w:left="340"/>
        <w:spacing w:after="0"/>
        <w:rPr>
          <w:sz w:val="20"/>
          <w:szCs w:val="20"/>
          <w:color w:val="auto"/>
        </w:rPr>
      </w:pPr>
      <w:r>
        <w:rPr>
          <w:rFonts w:ascii="Times New Roman" w:cs="Times New Roman" w:eastAsia="Times New Roman" w:hAnsi="Times New Roman"/>
          <w:sz w:val="17"/>
          <w:szCs w:val="17"/>
          <w:color w:val="auto"/>
        </w:rPr>
        <w:t>The changes in the allowance for credit losses accounts consisted of the following:</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 beginning of period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(Recovery of)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Write-offs of uncollectible accounts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56019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40" w:lineRule="exact"/>
        <w:rPr>
          <w:sz w:val="20"/>
          <w:szCs w:val="20"/>
          <w:color w:val="auto"/>
        </w:rPr>
      </w:pPr>
    </w:p>
    <w:p>
      <w:pPr>
        <w:spacing w:after="0"/>
        <w:tabs>
          <w:tab w:leader="none" w:pos="700" w:val="left"/>
          <w:tab w:leader="none" w:pos="1320" w:val="left"/>
          <w:tab w:leader="none" w:pos="2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1,766</w:t>
        <w:tab/>
        <w:t>$</w:t>
      </w:r>
      <w:r>
        <w:rPr>
          <w:sz w:val="20"/>
          <w:szCs w:val="20"/>
          <w:color w:val="auto"/>
        </w:rPr>
        <w:tab/>
      </w:r>
      <w:r>
        <w:rPr>
          <w:rFonts w:ascii="Times New Roman" w:cs="Times New Roman" w:eastAsia="Times New Roman" w:hAnsi="Times New Roman"/>
          <w:sz w:val="18"/>
          <w:szCs w:val="18"/>
          <w:color w:val="auto"/>
        </w:rPr>
        <w:t>4,018</w:t>
      </w:r>
    </w:p>
    <w:p>
      <w:pPr>
        <w:spacing w:after="0" w:line="27" w:lineRule="exact"/>
        <w:rPr>
          <w:sz w:val="20"/>
          <w:szCs w:val="20"/>
          <w:color w:val="auto"/>
        </w:rPr>
      </w:pPr>
    </w:p>
    <w:p>
      <w:pPr>
        <w:ind w:left="1980" w:hanging="1121"/>
        <w:spacing w:after="0"/>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(1,385)</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(684)(867)</w:t>
      </w:r>
    </w:p>
    <w:p>
      <w:pPr>
        <w:spacing w:after="0" w:line="58" w:lineRule="exact"/>
        <w:rPr>
          <w:sz w:val="20"/>
          <w:szCs w:val="20"/>
          <w:color w:val="auto"/>
        </w:rPr>
      </w:pPr>
    </w:p>
    <w:p>
      <w:pPr>
        <w:spacing w:after="0"/>
        <w:tabs>
          <w:tab w:leader="none" w:pos="700" w:val="left"/>
          <w:tab w:leader="none" w:pos="1320" w:val="left"/>
          <w:tab w:leader="none" w:pos="2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1,702</w:t>
        <w:tab/>
        <w:t>$</w:t>
      </w:r>
      <w:r>
        <w:rPr>
          <w:sz w:val="20"/>
          <w:szCs w:val="20"/>
          <w:color w:val="auto"/>
        </w:rPr>
        <w:tab/>
      </w:r>
      <w:r>
        <w:rPr>
          <w:rFonts w:ascii="Times New Roman" w:cs="Times New Roman" w:eastAsia="Times New Roman" w:hAnsi="Times New Roman"/>
          <w:sz w:val="18"/>
          <w:szCs w:val="18"/>
          <w:color w:val="auto"/>
        </w:rPr>
        <w:t>1,766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4">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225"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December 31,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materials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December 31, 2024 and December 31, 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laboratory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(1,469)</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2024 and 2023 was $0.3 million and $0.7 million, respectively. Depreciation expense is recorded within selling, general and administrative, and research and development depending on the nature of the related property and equipment.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Construction in Progress (“CIP”) includes all direct and indirect costs related to the construction, development, or acquisition of tangible property and equipment that is not yet ready for use. All costs incurred during the construction phase are accumulated in the CIP account. Costs remain in the CIP account until the asset is substantially complete and ready for its intended use. Once the asset is ready for use, the total accumulated costs are transferred from the CIP account to the appropriate property and equipment account. The asset is then depreciated over its estimated useful life from the date it is placed into service. CIP is reviewed regularly to ensure that all costs are accurate and that the project is progressing as planned. Any indication of impairment is assessed, and if the carrying amount exceeds the recoverable amount, an impairment loss is recognized.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sold property and equipment with a cost basis of $0.02 million in exchange for proceeds of $0.02 million, resulting in a loss of $0.003 million. During the year ended December 31, 2024, the Company disposed certain property and equipment for a loss of $0.02 million, including $0.01 million of research and development laboratory equipment recorded as research and development expense on the statements of operations. During the year ended December 31, 2024, the Company retired certain fully depreciated property and equipment which had an original cost of $0.5 million, respectively.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sold Cultivation property and equipment in exchange for proceeds of $0.07 million, resulting in a gain of $0.1 million. During the year ended December 31, 2023, the Company retired certain fully depreciated property and equipment which had an original cost of $0.1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non-current assets consists only of security deposits as of December 31, 2024 and December 31, 2023.</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December 31,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acquisition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acquisition liabilities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Resulting from the 2021 acquisitions of Precision and Cascade from Sinclair (“Precision and Cascade”), the Company withheld from the transaction shares issuable to Precision and Cascade for the purpose of securing any post-closing adjustment owed to the Company and any claim for indemnification or payment of damages to which the Company may be entitled under the purchase agreement. The accrued acquisition liabilities as of December 31, 2023 represent the value of this held back Common Stock at the price per share at the time of the transaction.</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15, 2023, the Company and its wholly-owned subsidiary, Precision, filed an Amended Verified Complaint in the Court of Chancery of the State of Delaware against Sinclair and certain individual defendants (the “Delaware Action”). The claims filed in the Delaware Action concern various breaches of the plan of merger and equity purchase agreement dated September 29, 2021, by and between the Company, Sinclair, Mass2Media, LLC, and certain of their members (the “Merger Agreement”). In response to the Delaware Action, certain of the defendants filed counterclaims for breach of contract and declaratory judgment against the Company and Precision alleging breach of the Merger Agreement. Pursuant to a Settlement and Release Agreement, dated December 14, 2023, the Company and Sinclair dismissed all legal claims and entered into a settlement for an undisclosed amount. As a result of this settlement, the Company derecognized the accrued acquisition liability and issued the held back Common Stock in the first quarter of 2024 at Agrify’s price per share at the time of issuance. The difference between the value of the shares at issuance and the derecognized liabilities was recorded as a gain within change in contingent consideration within the Company’s consolidated statement of operations for the year ended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Warranty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accrued liability for estimated future warranty costs: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accrual – beginning of period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Liabilities accrued for 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Warranty accruals paid during the period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Assumed in Cultivation Sale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accrual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56019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40" w:lineRule="exact"/>
        <w:rPr>
          <w:sz w:val="20"/>
          <w:szCs w:val="20"/>
          <w:color w:val="auto"/>
        </w:rPr>
      </w:pPr>
    </w:p>
    <w:p>
      <w:pPr>
        <w:spacing w:after="0"/>
        <w:tabs>
          <w:tab w:leader="none" w:pos="840" w:val="left"/>
          <w:tab w:leader="none" w:pos="1320" w:val="left"/>
          <w:tab w:leader="none" w:pos="2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104</w:t>
        <w:tab/>
        <w:t>$</w:t>
      </w:r>
      <w:r>
        <w:rPr>
          <w:sz w:val="20"/>
          <w:szCs w:val="20"/>
          <w:color w:val="auto"/>
        </w:rPr>
        <w:tab/>
      </w:r>
      <w:r>
        <w:rPr>
          <w:rFonts w:ascii="Times New Roman" w:cs="Times New Roman" w:eastAsia="Times New Roman" w:hAnsi="Times New Roman"/>
          <w:sz w:val="18"/>
          <w:szCs w:val="18"/>
          <w:color w:val="auto"/>
        </w:rPr>
        <w:t>310</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—86</w:t>
      </w:r>
    </w:p>
    <w:p>
      <w:pPr>
        <w:spacing w:after="0" w:line="9" w:lineRule="exact"/>
        <w:rPr>
          <w:sz w:val="20"/>
          <w:szCs w:val="20"/>
          <w:color w:val="auto"/>
        </w:rPr>
      </w:pPr>
    </w:p>
    <w:p>
      <w:pPr>
        <w:ind w:left="2120" w:hanging="1254"/>
        <w:spacing w:after="0"/>
        <w:tabs>
          <w:tab w:leader="none" w:pos="2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(292)</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w:t>
      </w:r>
    </w:p>
    <w:p>
      <w:pPr>
        <w:spacing w:after="0" w:line="58" w:lineRule="exact"/>
        <w:rPr>
          <w:sz w:val="20"/>
          <w:szCs w:val="20"/>
          <w:color w:val="auto"/>
        </w:rPr>
      </w:pPr>
    </w:p>
    <w:p>
      <w:pPr>
        <w:spacing w:after="0"/>
        <w:tabs>
          <w:tab w:leader="none" w:pos="920" w:val="left"/>
          <w:tab w:leader="none" w:pos="1320" w:val="left"/>
          <w:tab w:leader="none" w:pos="2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47</w:t>
        <w:tab/>
        <w:t>$</w:t>
      </w:r>
      <w:r>
        <w:rPr>
          <w:sz w:val="20"/>
          <w:szCs w:val="20"/>
          <w:color w:val="auto"/>
        </w:rPr>
        <w:tab/>
      </w: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225" w:right="3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Level 2: Other inputs that are observable directly or indirectly, such as quoted prices for similar instruments in active markets or for similar markets that are not active.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2024 and December 31, 2023, the Company’s assets and liabilities measured at fair value on a recurring basis were as follows:</w:t>
      </w:r>
    </w:p>
    <w:p>
      <w:pPr>
        <w:sectPr>
          <w:pgSz w:w="11900" w:h="16838" w:orient="portrait"/>
          <w:cols w:equalWidth="0" w:num="1">
            <w:col w:w="11240"/>
          </w:cols>
          <w:pgMar w:left="320" w:top="225" w:right="339" w:bottom="1440" w:gutter="0" w:footer="0" w:header="0"/>
        </w:sectPr>
      </w:pPr>
    </w:p>
    <w:p>
      <w:pPr>
        <w:spacing w:after="0" w:line="235" w:lineRule="exact"/>
        <w:rPr>
          <w:sz w:val="20"/>
          <w:szCs w:val="20"/>
          <w:color w:val="auto"/>
        </w:rPr>
      </w:pPr>
    </w:p>
    <w:p>
      <w:pPr>
        <w:jc w:val="center"/>
        <w:ind w:left="370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19685</wp:posOffset>
            </wp:positionV>
            <wp:extent cx="24003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3">
                      <a:extLst>
                        <a:ext uri="{28A0092B-C50C-407E-A947-70E740481C1C}"/>
                      </a:extLst>
                    </a:blip>
                    <a:srcRect/>
                    <a:stretch>
                      <a:fillRect/>
                    </a:stretch>
                  </pic:blipFill>
                  <pic:spPr bwMode="auto">
                    <a:xfrm>
                      <a:off x="0" y="0"/>
                      <a:ext cx="2400300" cy="17145"/>
                    </a:xfrm>
                    <a:prstGeom prst="rect">
                      <a:avLst/>
                    </a:prstGeom>
                    <a:noFill/>
                  </pic:spPr>
                </pic:pic>
              </a:graphicData>
            </a:graphic>
          </wp:anchor>
        </w:drawing>
      </w:r>
    </w:p>
    <w:p>
      <w:pPr>
        <w:spacing w:after="0" w:line="16" w:lineRule="exact"/>
        <w:rPr>
          <w:sz w:val="20"/>
          <w:szCs w:val="20"/>
          <w:color w:val="auto"/>
        </w:rPr>
      </w:pPr>
    </w:p>
    <w:p>
      <w:pPr>
        <w:jc w:val="center"/>
        <w:ind w:left="370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19685</wp:posOffset>
            </wp:positionV>
            <wp:extent cx="24003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4">
                      <a:extLst>
                        <a:ext uri="{28A0092B-C50C-407E-A947-70E740481C1C}"/>
                      </a:extLst>
                    </a:blip>
                    <a:srcRect/>
                    <a:stretch>
                      <a:fillRect/>
                    </a:stretch>
                  </pic:blipFill>
                  <pic:spPr bwMode="auto">
                    <a:xfrm>
                      <a:off x="0" y="0"/>
                      <a:ext cx="2400300" cy="17145"/>
                    </a:xfrm>
                    <a:prstGeom prst="rect">
                      <a:avLst/>
                    </a:prstGeom>
                    <a:noFill/>
                  </pic:spPr>
                </pic:pic>
              </a:graphicData>
            </a:graphic>
          </wp:anchor>
        </w:drawing>
      </w:r>
    </w:p>
    <w:p>
      <w:pPr>
        <w:spacing w:after="0" w:line="1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43" w:lineRule="exact"/>
        <w:rPr>
          <w:sz w:val="20"/>
          <w:szCs w:val="20"/>
          <w:color w:val="auto"/>
        </w:rPr>
      </w:pPr>
    </w:p>
    <w:p>
      <w:pPr>
        <w:sectPr>
          <w:pgSz w:w="11900" w:h="16838" w:orient="portrait"/>
          <w:cols w:equalWidth="0" w:num="2">
            <w:col w:w="7120" w:space="460"/>
            <w:col w:w="366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520" w:type="dxa"/>
            <w:vAlign w:val="bottom"/>
            <w:gridSpan w:val="2"/>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liabilities - January 2022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 - March 2022 warrants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liabilities - August 2022 warrants</w:t>
            </w:r>
          </w:p>
        </w:tc>
        <w:tc>
          <w:tcPr>
            <w:tcW w:w="12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 - December 2022 warrants</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certain financial instruments which consist of cash and cash equivalents, accounts receivable, accounts payable, accrued expenses, contingent consideration, operating lease liabilities, long-term debt, related party debt, and warrant liabilities. Fair value information for each of these instruments as well as other balances of the Company are as follows:</w:t>
      </w:r>
    </w:p>
    <w:p>
      <w:pPr>
        <w:spacing w:after="0" w:line="176"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accounts payable, and accrued expenses approximate their fair value based on the short-term nature of these instruments.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are presented net of an allowance for estimated credit losses, which approximates fair value.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lease liabilities approximates fair value due to the implicit discount rates used in the determination of the lease liabilities being consistent with the Company’s incremental borrowing rates at the time of lease inception and accounting for the duration of the leases.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and related party debt, including the debt that has undergone troubled debt restructuring, is carried at amortized cost, dictated by the prevailing market interest rates at the time of each transaction in accordance with ASC Topic 470, Debt (“ASC 470”).</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warrant liabilities are marked-to-market each reporting period with the changes in fair value of warrant liabilities recorded in other income (expense), net in the accompanying consolidated statements of operations until the warrants are exercised. The fair value of the warrant liabilities are estimated using a Black-Scholes option-pricing model.</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detailed in Note 12 - Stockholders’ Equity (Deficit), during the year ended December 31, 2024, the Company amended Pre-Funded Warrants that had been issued to a related party such that they again became liability classified. These warrants were marked to fair value upon the execution of this amendment in August 2024. Through an additional amendment executed as of December 31, 2024, the warrants again met the requirements for equity classification and were marked to fair value at the moment of the amendment and then reclassified from liability to equity. The warrants will not be marked to fair value on a recurring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as of December 31, 2024 and 2023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inherent uncertainties are involved. If factors or assumptions change, the estimated fair values could be materially different.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valuations as of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December</w:t>
            </w:r>
          </w:p>
        </w:tc>
      </w:tr>
      <w:tr>
        <w:trPr>
          <w:trHeight w:val="216"/>
        </w:trPr>
        <w:tc>
          <w:tcPr>
            <w:tcW w:w="5840" w:type="dxa"/>
            <w:vAlign w:val="bottom"/>
          </w:tcPr>
          <w:p>
            <w:pPr>
              <w:spacing w:after="0"/>
              <w:rPr>
                <w:sz w:val="18"/>
                <w:szCs w:val="18"/>
                <w:color w:val="auto"/>
              </w:rPr>
            </w:pPr>
          </w:p>
        </w:tc>
        <w:tc>
          <w:tcPr>
            <w:tcW w:w="13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January 2022</w:t>
            </w:r>
          </w:p>
        </w:tc>
        <w:tc>
          <w:tcPr>
            <w:tcW w:w="16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March 2022</w:t>
            </w:r>
          </w:p>
        </w:tc>
        <w:tc>
          <w:tcPr>
            <w:tcW w:w="13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August 2022</w:t>
            </w:r>
          </w:p>
        </w:tc>
        <w:tc>
          <w:tcPr>
            <w:tcW w:w="18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w w:val="99"/>
              </w:rPr>
              <w:t>2022</w:t>
            </w:r>
          </w:p>
        </w:tc>
        <w:tc>
          <w:tcPr>
            <w:tcW w:w="16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7"/>
              </w:rPr>
              <w:t>Warrants</w:t>
            </w:r>
          </w:p>
        </w:tc>
        <w:tc>
          <w:tcPr>
            <w:tcW w:w="160" w:type="dxa"/>
            <w:vAlign w:val="bottom"/>
          </w:tcPr>
          <w:p>
            <w:pPr>
              <w:spacing w:after="0"/>
              <w:rPr>
                <w:sz w:val="21"/>
                <w:szCs w:val="21"/>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Warrants</w:t>
            </w:r>
          </w:p>
        </w:tc>
        <w:tc>
          <w:tcPr>
            <w:tcW w:w="200" w:type="dxa"/>
            <w:vAlign w:val="bottom"/>
          </w:tcPr>
          <w:p>
            <w:pPr>
              <w:spacing w:after="0"/>
              <w:rPr>
                <w:sz w:val="21"/>
                <w:szCs w:val="21"/>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Warrants</w:t>
            </w:r>
          </w:p>
        </w:tc>
        <w:tc>
          <w:tcPr>
            <w:tcW w:w="18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w w:val="97"/>
              </w:rPr>
              <w:t>Warrants</w:t>
            </w:r>
          </w:p>
        </w:tc>
      </w:tr>
      <w:tr>
        <w:trPr>
          <w:trHeight w:val="216"/>
        </w:trPr>
        <w:tc>
          <w:tcPr>
            <w:tcW w:w="5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22,440.00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6,450.00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171.00%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r>
      <w:tr>
        <w:trPr>
          <w:trHeight w:val="410"/>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December</w:t>
            </w:r>
          </w:p>
        </w:tc>
      </w:tr>
      <w:tr>
        <w:trPr>
          <w:trHeight w:val="216"/>
        </w:trPr>
        <w:tc>
          <w:tcPr>
            <w:tcW w:w="5840" w:type="dxa"/>
            <w:vAlign w:val="bottom"/>
          </w:tcPr>
          <w:p>
            <w:pPr>
              <w:spacing w:after="0"/>
              <w:rPr>
                <w:sz w:val="18"/>
                <w:szCs w:val="18"/>
                <w:color w:val="auto"/>
              </w:rPr>
            </w:pPr>
          </w:p>
        </w:tc>
        <w:tc>
          <w:tcPr>
            <w:tcW w:w="13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January 2022</w:t>
            </w:r>
          </w:p>
        </w:tc>
        <w:tc>
          <w:tcPr>
            <w:tcW w:w="16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March 2022</w:t>
            </w:r>
          </w:p>
        </w:tc>
        <w:tc>
          <w:tcPr>
            <w:tcW w:w="13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August 2022</w:t>
            </w:r>
          </w:p>
        </w:tc>
        <w:tc>
          <w:tcPr>
            <w:tcW w:w="18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w w:val="99"/>
              </w:rPr>
              <w:t>2022</w:t>
            </w:r>
          </w:p>
        </w:tc>
        <w:tc>
          <w:tcPr>
            <w:tcW w:w="16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7"/>
              </w:rPr>
              <w:t>Warrants</w:t>
            </w:r>
          </w:p>
        </w:tc>
        <w:tc>
          <w:tcPr>
            <w:tcW w:w="160" w:type="dxa"/>
            <w:vAlign w:val="bottom"/>
          </w:tcPr>
          <w:p>
            <w:pPr>
              <w:spacing w:after="0"/>
              <w:rPr>
                <w:sz w:val="21"/>
                <w:szCs w:val="21"/>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Warrants</w:t>
            </w:r>
          </w:p>
        </w:tc>
        <w:tc>
          <w:tcPr>
            <w:tcW w:w="200" w:type="dxa"/>
            <w:vAlign w:val="bottom"/>
          </w:tcPr>
          <w:p>
            <w:pPr>
              <w:spacing w:after="0"/>
              <w:rPr>
                <w:sz w:val="21"/>
                <w:szCs w:val="21"/>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i w:val="1"/>
                <w:iCs w:val="1"/>
                <w:color w:val="auto"/>
                <w:w w:val="99"/>
              </w:rPr>
              <w:t>Warrants</w:t>
            </w:r>
          </w:p>
        </w:tc>
        <w:tc>
          <w:tcPr>
            <w:tcW w:w="18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w w:val="97"/>
              </w:rPr>
              <w:t>Warrants</w:t>
            </w:r>
          </w:p>
        </w:tc>
      </w:tr>
      <w:tr>
        <w:trPr>
          <w:trHeight w:val="216"/>
        </w:trPr>
        <w:tc>
          <w:tcPr>
            <w:tcW w:w="5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1,496.00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years ended December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Borders>
              <w:bottom w:val="single" w:sz="8" w:color="CCEEFF"/>
            </w:tcBorders>
          </w:tcPr>
          <w:p>
            <w:pPr>
              <w:spacing w:after="0"/>
              <w:rPr>
                <w:sz w:val="21"/>
                <w:szCs w:val="21"/>
                <w:color w:val="auto"/>
              </w:rPr>
            </w:pPr>
          </w:p>
        </w:tc>
        <w:tc>
          <w:tcPr>
            <w:tcW w:w="4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fair value of warrant liabilities</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warrant liabilities to equity</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4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17,902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Warrant liabilities end of period</w:t>
            </w:r>
          </w:p>
        </w:tc>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vMerge w:val="continue"/>
          </w:tcPr>
          <w:p>
            <w:pPr>
              <w:spacing w:after="0"/>
              <w:rPr>
                <w:sz w:val="20"/>
                <w:szCs w:val="20"/>
                <w:color w:val="auto"/>
              </w:rPr>
            </w:pPr>
          </w:p>
        </w:tc>
        <w:tc>
          <w:tcPr>
            <w:tcW w:w="4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F-23</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as of December 31, 2024 and December 31, 2023:</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for resale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Inventory, gross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7,106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9,847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(5,527)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the Company’s inventory reserve are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increase in inventory reserves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end of period</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4,871</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Cultivation Business Discontinued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2024, the Company executed and closed the Purchase Agreement with CP for the sale of assets relating to the Company’s Cultivation Business. The consideration for the sale of the Cultivation Business consisted of the assumption by CP of all the Company’s secured indebtedness currently held by CP with an aggregate amount of principal and accrued interest of approximately $7 million, as well as certain other liabilities related to the Cultivation Business. The sale represents efforts to strategically shift the Company’s direction to focus on its hemp-related business operations. As a result, the Cultivation Business has been presented as discontinued operations in the consolidated financial statements for all periods presented.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disposition resulted in a loss on sale of $11.9 million along with a loss from discontinued operations of $1.5 million for a total loss of $13.4 million, which was recorded in net loss from discontinued operations in the consolidated statement of operations for the period ended December 31, 2024. The operating results of the Cultivation Business were reported as a net loss from discontinued operations in the consolidated statements of operations through December 31, 2024, the date of disposition, and were considered material. The net loss from discontinued operations for the period ended December 31, 2023 represents the Cultivation Business’ operating results from the prior year. The assets and liabilities related to the Cultivation Business have been separately classified in the accompanying consolidated balance sheet as of December 31,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assets and liabilities associated with discontinued operations consisted of the following as of December 31, 2024 and 2023, respectively: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Carrying amounts of assets and liabilities associated with Cultivation Business included as part of discontinued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13,194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Current assets of discontinued operations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15,854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Loan receivable,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11,583</w:t>
            </w:r>
          </w:p>
        </w:tc>
        <w:tc>
          <w:tcPr>
            <w:tcW w:w="0" w:type="dxa"/>
            <w:vAlign w:val="bottom"/>
          </w:tcPr>
          <w:p>
            <w:pPr>
              <w:spacing w:after="0"/>
              <w:rPr>
                <w:sz w:val="1"/>
                <w:szCs w:val="1"/>
                <w:color w:val="auto"/>
              </w:rPr>
            </w:pPr>
          </w:p>
        </w:tc>
      </w:tr>
      <w:tr>
        <w:trPr>
          <w:trHeight w:val="216"/>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7,139</w:t>
            </w:r>
          </w:p>
        </w:tc>
        <w:tc>
          <w:tcPr>
            <w:tcW w:w="0" w:type="dxa"/>
            <w:vAlign w:val="bottom"/>
          </w:tcPr>
          <w:p>
            <w:pPr>
              <w:spacing w:after="0"/>
              <w:rPr>
                <w:sz w:val="1"/>
                <w:szCs w:val="1"/>
                <w:color w:val="auto"/>
              </w:rPr>
            </w:pPr>
          </w:p>
        </w:tc>
      </w:tr>
      <w:tr>
        <w:trPr>
          <w:trHeight w:val="237"/>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35,972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amounts of liabilities associated with Cultivation Business included as part of discontinued operations: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16,378</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7"/>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60"/>
              <w:spacing w:after="0" w:line="203" w:lineRule="exact"/>
              <w:rPr>
                <w:sz w:val="20"/>
                <w:szCs w:val="20"/>
                <w:color w:val="auto"/>
              </w:rPr>
            </w:pPr>
            <w:r>
              <w:rPr>
                <w:rFonts w:ascii="Times New Roman" w:cs="Times New Roman" w:eastAsia="Times New Roman" w:hAnsi="Times New Roman"/>
                <w:sz w:val="18"/>
                <w:szCs w:val="18"/>
                <w:color w:val="auto"/>
              </w:rPr>
              <w:t>Operating lease liabilities, net of current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21,240</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loss from discontinued operations for the years ended December 31, 2024 and 2023, respectively:</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and expense line items related to Cultivation Business:</w:t>
            </w: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4,562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on property and equipment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(2,361)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7,214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from discontinued operations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(1,651)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Cultivation business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(11,743)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(13,394)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 on discontinued operations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statements of cash flows includes continuing operations and discontinued operations. The following table summarizes the depreciation of long-lived assets, amortization of long-lived assets, provisions for credit losses and adjustments to net realizable value of inventories, and capital expenditures and disposals of discontinued operations for the years ended December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of) provision for slow-moving 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Business Combinations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determined that the below acquisition is a business combination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It is accounted for by applying the acquisition method, whereby the assets acquired, and the liabilities assumed are recorded at their fair values with any excess of the aggregate consideration over the fair values of the identifiable net assets allocated to goodwill. Operating results have been included in these consolidated financial statements from the date of the acquisition, December 12, 2024. The resulting goodwill recorded primarily includes the expected synergies resulting from combining the operations of the acquired entity with those of the Company. Supplemental pro forma financial information has not been presented as the impact was not material to the Company’s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Señorita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12, 2024, the Company acquired certain assets from Double or Nothing, the owner and creator of the Señorita brand of hemp-derived THC drinks as part of the Company’s strategic plan to reposition itself as a distributor of hemp-derived THC beverages and similar products. The aggregate consideration exchanged for those assets consisted of 97,300 in Common Stock of Agrify as well as 432,700 pre-funded warrants (collectively the “Shares”) for total non-cash consideration of approximately $18.8 million. In addition, Agrify forgave $0.4 million of debt as part of the consideration exchanged. The fair value of the Shares was based upon the closing price of Agrify’s Common Stock as traded on Nasdaq on the date of the transaction.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prepared a preliminary purchase price allocation for the business combination. The preliminary valuation was based on management’s estimates and assumptions which are subject to change within the purchase price allocation period (generally not more than one year from the acquisition date). The primary areas of the purchase price allocation that are not yet finalized relate to the valuation of the intangible assets acquired and the residual goodwill. Due to the acquisition occurring within close proximity to year-end, access to GAAP financial data and future forecasts were not able to be obtained to complete a final valuation analysis. As such, the intangible and goodwill values are subject to change once additional data becomes available as the values were based on preliminary financial information. The following table summarizes the initial accounting estimates:</w:t>
      </w:r>
    </w:p>
    <w:p>
      <w:pPr>
        <w:sectPr>
          <w:pgSz w:w="11900" w:h="16838" w:orient="portrait"/>
          <w:cols w:equalWidth="0" w:num="1">
            <w:col w:w="11240"/>
          </w:cols>
          <w:pgMar w:left="320" w:top="225" w:right="339" w:bottom="1440"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Allocation of Purchase Price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Tradenames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Deposits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695" w:hanging="695"/>
        <w:spacing w:after="0"/>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6,100</w:t>
      </w:r>
    </w:p>
    <w:p>
      <w:pPr>
        <w:spacing w:after="0" w:line="27" w:lineRule="exact"/>
        <w:rPr>
          <w:rFonts w:ascii="Times New Roman" w:cs="Times New Roman" w:eastAsia="Times New Roman" w:hAnsi="Times New Roman"/>
          <w:sz w:val="18"/>
          <w:szCs w:val="18"/>
          <w:color w:val="auto"/>
        </w:rPr>
      </w:pPr>
    </w:p>
    <w:p>
      <w:pPr>
        <w:ind w:left="6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2,800</w:t>
      </w:r>
    </w:p>
    <w:p>
      <w:pPr>
        <w:spacing w:after="0" w:line="9" w:lineRule="exact"/>
        <w:rPr>
          <w:rFonts w:ascii="Times New Roman" w:cs="Times New Roman" w:eastAsia="Times New Roman" w:hAnsi="Times New Roman"/>
          <w:sz w:val="18"/>
          <w:szCs w:val="18"/>
          <w:color w:val="auto"/>
        </w:rPr>
      </w:pPr>
    </w:p>
    <w:p>
      <w:pPr>
        <w:ind w:left="8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w:t>
      </w:r>
    </w:p>
    <w:p>
      <w:pPr>
        <w:spacing w:after="0" w:line="9" w:lineRule="exact"/>
        <w:rPr>
          <w:rFonts w:ascii="Times New Roman" w:cs="Times New Roman" w:eastAsia="Times New Roman" w:hAnsi="Times New Roman"/>
          <w:sz w:val="18"/>
          <w:szCs w:val="18"/>
          <w:color w:val="auto"/>
        </w:rPr>
      </w:pPr>
    </w:p>
    <w:p>
      <w:pPr>
        <w:ind w:left="8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w:t>
      </w:r>
    </w:p>
    <w:p>
      <w:pPr>
        <w:spacing w:after="0" w:line="9" w:lineRule="exact"/>
        <w:rPr>
          <w:rFonts w:ascii="Times New Roman" w:cs="Times New Roman" w:eastAsia="Times New Roman" w:hAnsi="Times New Roman"/>
          <w:sz w:val="18"/>
          <w:szCs w:val="18"/>
          <w:color w:val="auto"/>
        </w:rPr>
      </w:pPr>
    </w:p>
    <w:p>
      <w:pPr>
        <w:ind w:left="6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9,713</w:t>
      </w:r>
    </w:p>
    <w:p>
      <w:pPr>
        <w:spacing w:after="0" w:line="58" w:lineRule="exact"/>
        <w:rPr>
          <w:sz w:val="20"/>
          <w:szCs w:val="20"/>
          <w:color w:val="auto"/>
        </w:rPr>
      </w:pPr>
    </w:p>
    <w:p>
      <w:pPr>
        <w:ind w:left="615" w:hanging="615"/>
        <w:spacing w:after="0"/>
        <w:tabs>
          <w:tab w:leader="none" w:pos="6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29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1">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225" w:right="339" w:bottom="1440" w:gutter="0" w:footer="0" w:header="0"/>
          <w:type w:val="continuous"/>
        </w:sectPr>
      </w:pPr>
    </w:p>
    <w:p>
      <w:pPr>
        <w:spacing w:after="0" w:line="9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part of the preliminary purchase accounting, the Company recorded intangible assets of $8.9 million. The preliminary estimates for useful lives of the identified intangibles are 7 years for Tradenames and 10 years for Customer Relationships with a weighted average useful life of 7.94 years.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$18,000 of revenue within the Company’s Consolidated Statements of Operations for the period December 12, 2024, the date of acquisition, through December 31, 2024.</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related to the acquisition, totaled approximately $0.3 million for the year ended December 31, 2024. All transaction and related costs were expensed as incurred and are included in general and administrative expense.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Intangible Assets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intangible assets were comprised of the following:</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16"/>
        </w:trPr>
        <w:tc>
          <w:tcPr>
            <w:tcW w:w="878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Value at</w:t>
            </w:r>
          </w:p>
        </w:tc>
      </w:tr>
      <w:tr>
        <w:trPr>
          <w:trHeight w:val="216"/>
        </w:trPr>
        <w:tc>
          <w:tcPr>
            <w:tcW w:w="87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78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8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Tradenames</w:t>
            </w:r>
          </w:p>
        </w:tc>
        <w:tc>
          <w:tcPr>
            <w:tcW w:w="1020" w:type="dxa"/>
            <w:vAlign w:val="bottom"/>
            <w:tcBorders>
              <w:bottom w:val="single" w:sz="8" w:color="CCEE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tcBorders>
              <w:bottom w:val="single" w:sz="8" w:color="CCEEFF"/>
            </w:tcBorders>
          </w:tcPr>
          <w:p>
            <w:pPr>
              <w:spacing w:after="0"/>
              <w:rPr>
                <w:sz w:val="20"/>
                <w:szCs w:val="20"/>
                <w:color w:val="auto"/>
              </w:rPr>
            </w:pPr>
          </w:p>
        </w:tc>
      </w:tr>
      <w:tr>
        <w:trPr>
          <w:trHeight w:val="250"/>
        </w:trPr>
        <w:tc>
          <w:tcPr>
            <w:tcW w:w="87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8,900</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the Company did not have any intangible assets.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future amortization expense for the next five years and thereafter based on the preliminary purchase price allocation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Future</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8,900</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recorded in general and administrative expense in the consolidated statements of operations was immaterial for the years ended December 31, 2024, and 2023.</w:t>
      </w:r>
    </w:p>
    <w:p>
      <w:pPr>
        <w:sectPr>
          <w:pgSz w:w="11900" w:h="16838" w:orient="portrait"/>
          <w:cols w:equalWidth="0" w:num="1">
            <w:col w:w="11240"/>
          </w:cols>
          <w:pgMar w:left="320" w:top="225" w:right="339" w:bottom="1440" w:gutter="0" w:footer="0" w:header="0"/>
          <w:type w:val="continuous"/>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of certain assets from Double or Nothing, the excess of the purchase price over the estimated fair value of the net assets assumed of $9,713 thousand was recognized as goodwill.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roll forward of goodwill based upon the preliminary purchase price allocations ($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 acquired during period (Note 7)</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9,713</w:t>
            </w:r>
          </w:p>
        </w:tc>
        <w:tc>
          <w:tcPr>
            <w:tcW w:w="360" w:type="dxa"/>
            <w:vAlign w:val="bottom"/>
          </w:tcPr>
          <w:p>
            <w:pPr>
              <w:spacing w:after="0"/>
              <w:rPr>
                <w:sz w:val="19"/>
                <w:szCs w:val="19"/>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 Debt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Company’s debt consisted of:</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Related party debt: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CP Acquisitions Junior Secured Note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GIC Acquisition Note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Thumb Note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related party debt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Related party debt, net of current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80" w:type="dxa"/>
            <w:vAlign w:val="bottom"/>
            <w:gridSpan w:val="2"/>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Notes Payable - Current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9"/>
                <w:szCs w:val="19"/>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PPP Loan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notes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Note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6,669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premium</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16,047</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18, 2022, the Company issued a promissory note with an original principal amount of $35.0 million (the “Exchange Note”) to High Trail Special Situations LLC (the “Original Lender”). The Exchange Note was a senior secured obligation of the Company and ranked senior to all indebtedness of the Company. The Exchange Note had an original maturity date of August 18, 2025 (the “Original Maturity Date”) and contained a 9.0% annualized interest rate, with interest to be paid monthly, in cash, beginning September 1, 2022. The principal amount of the Exchange Note would be payable on the Original Maturity Date, provided that the Original Lender was entitled to a cash sweep of 20% of the proceeds received by the Company in connection with any equity financing, which will reduce the outstanding principal amount under the Exchange Note.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8, 2023, the Company entered into a Securities Exchange Agreement (the “Exchange Agreement”) with the Original Lender. Pursuant to the Exchange Agreement, at closing the Company prepaid approximately $10.3 million in principal amount under the Exchange Note and exchanged $10.0 million of the remaining principal balance of the Exchange Note for a new senior secured convertible note (the “Convertible Note”) with an original principal amount of $10.0 million. After the closing of the Exchange Agreement, the August 18, 2022 Exchange Note had a remaining balance of $11.7 million. Refer to “Consolidated CP Acquisitions Note” below for subsequent activity related to the balance originating from this note. The following amendments have all been included in the sale of the Cultivation Business. Refer to Note 6 - Discontinued Operations below for subsequent activity related to these amendments.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Exchange Agreement the Company issued the Convertible Note, which bore a 9.0% annualized interest rate, with interest to be paid monthly, in cash, beginning April 1, 2023. The principal amount of the Convertible Note would be payable on the Original Maturity Date, provided that the Original Lender was entitled to a cash sweep of 30% of the proceeds of any at-the-market equity offering and 20% of the proceeds received by the Company in connection with any other equity financing, which would reduce the outstanding principal amount under the Exchange Note or the Convertible Note.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any time, the Company would prepay all of the Convertible Note by redemption at a price equal to 102.5% of the then-outstanding principal amount under the Convertible Note plus accrued but unpaid interest. The Original Lender had the option of requiring the Company to redeem the Convertible Note</w:t>
      </w:r>
    </w:p>
    <w:p>
      <w:pPr>
        <w:jc w:val="both"/>
        <w:ind w:firstLine="8"/>
        <w:spacing w:after="0" w:line="253" w:lineRule="auto"/>
        <w:tabs>
          <w:tab w:leader="none" w:pos="2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19, 2023 or August 19, 2024 at a price equal to the then-outstanding principal amount under the Convertible Note plus accrued but unpaid interest, provided that the redemption right on August 19, 2023 would not be exercisable if the Company raised at least $8.0 million in gross proceeds from equity offerings prior to such date, or (ii) if the Company undergoes a fundamental change (as defined below) at a price equal to 102.5% of the then-outstanding principal amount under the Convertible Note plus accrued but unpaid interest.</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Convertible Note imposed certain customary affirmative and negative covenants upon the Company, as well as covenants that would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occurred, the Original Lender can elect to redeem the Convertible Note for cash equal to (A) 115% of the then-outstanding principal amount of the Convertible Note (or such lesser principal amount accelerated by the Original Lender),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Original Lender delivers a notice of acceleration; (b) the total then outstanding principal amount under the Convertible Note (in thousands); and (c) the greater of (1) the highest daily volume weighted average price (“VWAP”) per share of Common Stock occurring during the fifteen consecutive trading days ending on, and including, the trading day immediately before the date the Original Lender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Convertible Note was fully repaid, the Original Lender had,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Original Lender elected to convert the Convertible Note, the conversion price per share would be $114.60, subject to customary adjustments for certain corporate events. The conversion of the Convertible Note would be subject to certain customary conditions. The Convertible Note could not be converted into shares of Common Stock if such conversion would result in the Original Lender and its affiliates owning an aggregate of in excess of 4.99% of the then-outstanding shares of Common Stock, provided that upon 61 days’ notice, such ownership limitation may be adjusted by the Original Lender, but in any case, no greater than 9.99%.</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the embedded features in accordance with ASC 815 and determined that the embedded features are not required to be bifurcated and separately measured at fair value.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26, 2023, the Original Lender elected to convert $1.6 million of the remaining outstanding principal amount on the Convertible Note for 10,241 shares of Common Stock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1, 2023, the Company entered into a letter agreement with the Original Lender, pursuant to which the Company and the Original Lender agreed to exchange or redeem $2.0 million of the remaining outstanding principal amount under the Exchange Note for a total of 29,679 shares of Common Stock of the Company, subject to a Beneficial Ownership Limitation of 4.99% of the Company’s Common Stock. Due to the Beneficial Ownership Limitation of 4.99%, a total of 4,638 shares of Common Stock of the Company were issued to the Original Lender, with the remaining 25,042 shares held in abeyance until the balance (or portion thereof) may be issued in compliance with such limitations. As a result, the Company recognized a loss on the redemption of approximately $12 thousand. Refer to “Consolidated CP Acquisitions Note” below for subsequent activity related to the balance originating from this note.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 Acquisitions Junior Secured Note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27, 2023, CP, an entity affiliated with and controlled by the Company’s former chairman and Chief Executive Officer and a former member of the Company’s Board, purchased the Exchange Note and the Convertible Note from the Original Lender (the “Note Purchase”). In connection with the Note Purchase, CP agreed to waive any events of default under the acquired notes through December 31, 2023. As part of the same transaction, the Company issued a junior secured promissory note (the “Junior Secured Note”) to CP. Pursuant to the Junior Secured Note, CP would lend up to $3.0 million to the Company. The Junior Secured Note bore interest at a rate of 10% per annum, would mature in full on December 31, 2023, and could be prepaid without any fee or penalty. On December 4, 2023, CP and the Company amended and restated the Junior Secured Note agreement. Pursuant to the terms of the amendment, the maximum principal amount that may be loaned by CP to the Company was increased to $4.0 million and extended the maturity date thereon to December 31, 2024. Refer to “Consolidated CP Acquisitions Note” below for subsequent activity related to the balance originating from this note.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Forgiveness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30, 2023, CP agreed to forgive $1.0 million of the principal amount outstanding on the Convertible Note (the “Principal Forgiveness”). The Principal Forgiveness was accounted for as a troubled debt restructuring under ASC 470, as 1) the Company was determined to be experiencing financial difficulties as defined by the ASC, and 2) the Principal Forgiveness was deemed a concession by CP. Per ASC 470, a debtor in a troubled debt restructuring involving only modification of terms of a payable (i.e., not involving a transfer of assets or grant of an equity interest) shall account for the effects of the restructuring prospectively from the time of restructuring and shall not change the carrying amount of the payable at the time of the restructuring unless the carrying amount exceeds the total future cash payments specified by the new terms. As the future undiscounted cash flows were greater than or equal to the net carrying value of the original debt, the carrying amount of the debt at the time of the restructuring was not changed.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CP Acquisitions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25, 2024, the Company and CP consolidated the outstanding principal and interest due under the Junior Secured Note and the Exchange Note as well as the interest due under the Convertible Note into the Convertible Note (collectively, with the Junior Secured Note and the Exchange Note, the “Consolidated Notes”), and amended and restated the Convertible Note under a Senior Secured Amended, Restated, and Consolidated Convertible Note agreement (the “Restated Note”) having a total outstanding principal of $18.3 million (the “New Lender Debt Consolidation”). The Restated Note bore interest at a rate of 10% per annum and would mature in full on December 31, 2025. The Company could redeem all or a portion not less than $5.0 million of principal at any time at a price equal to 102.5% of the redeemed principal amount plus accrued but unpaid interest.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Restated Note imposed certain customary affirmative and negative covenants upon the Company, as well as covenants that (i) restricted the Company and its subsidiaries from incurring any additional indebtedness or suffering any liens, subject to specified exceptions, (ii) restricted the ability of the Company and its subsidiaries from making certain investments, subject to specified exceptions, and (iii) restricted the declaration of any dividends or other distributions, subject to specified exceptions. If an event of default under the Restricted Note had occurred, then the then outstanding principal and all accrued and unpaid interest on the Restated Note would immediately become due and payable.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CP elected to convert the Restated Note, the conversion price per share would be $21.90, subject to customary adjustments for certain corporate events. The conversion of the Restated Note would be subject to certain customary conditions. The Restated Note could not be converted into shares of Common Stock if such conversion would result in CP and its affiliates owning an aggregate of in excess of 49.99% of the then-outstanding shares of Common Stock.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following the execution of the Restated Note, CP elected to convert approximately $3.9 million of outstanding principal into an aggregate of 178,108 shares of Common Stock (the “January Conversion”) having a fair value of approximately $1.7 million. As the January Conversion was exercised by the CP in conjunction and in connection with the New Lender Debt Consolidation, the two transactions combined were considered a modification of the total debt outstanding with CP (the “CP Debt Restructuring”).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CP Debt Restructuring was accounted for as a troubled debt restructuring under ASC 470, as 1) the Company was determined to be experiencing financial difficulties as defined by the ASC, and 2) the CP Debt Restructuring was deemed to result in a concession by CP. The Company performed a comparison of the undiscounted cash flows associated with the Restated Note subsequent to the CP Debt Restructuring to the carrying value of the Consolidated Notes as of the CP Debt Restructuring date. The net carrying value of the Consolidated Notes was determined to exceed the undiscounted future cash flows of the Restated Note after consideration of the January Conversion by approximately $0.7 million (the “CP Debt Restructuring Excess Carrying Value”). The Restated Note was thus written down to the amount of the undiscounted future cash flows on the Restated Note from the CP Restructuring date to maturity. Further, as CP was a related party of the Company, the CP Debt Restructuring Excess Carrying Value was accounted for as a capital transaction and no gain or loss was recognized related to the restructuring.</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Aggregate interest expense related to the CP Acquisitions Note described above was $.1 million for the year ended December 31, 2024. Refer to Note 6 - Discontinued Operations below for subsequent activity as this Note relates to the sale of the Cultivation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GIC Acquisition Note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12, 2023, the Board of Directors of the Company approved the issuance of an unsecured promissory note (the “GIC Note”, and, collectively with the Consolidated Note, the “Related Party Notes”) to GIC Acquisition, LLC (“GIC”), an entity that is owned and managed by the Company’s former Chairman and Chief Executive Officer. Pursuant to the GIC Note, GIC was obligated to lend up to $0.5 million to the Company, $0.3 million of which was delivered at issuance and the remaining $0.2 million delivered on July 31, 2023. The GIC Note bore interest at a rate of 10% per annum, would mature in full on August 6, 2023, and could be prepaid without any fee or penalty. The GIC Note ranked junior to all existing secured indebtedness of the Company. On October 27, 2023, the maturity date of the GIC Note was subsequently amended to December 31, 2024 at which point principal and accrued interest will be repaid in full. Interest expense incurred on the GIC Note amounted to $47.7 thousand for the year ended December 31, 2024. Refer to “Amendment of Related Party Notes” below for subsequent activity related to the balance originating from this note.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Related Party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21, 2024, the Company and CP entered into an amendment to the Restated Note (the “Consolidated Note Amendment”), pursuant to which CP Acquisitions could elect, in lieu of shares of Common Stock issuable upon conversion of the Restated Note, to instead receive Pre-Funded Warrants (“Pre-Funded Warrants”). The conversion price applicable to the Pre-Funded Warrants remained unchanged at $21.90.</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following the execution of the Consolidated Note Amendment, CP elected to convert $11.5 million of outstanding principal into a Pre-Funded Warrant exercisable at issuance for up to 525,114 shares of Common Stock having a fair value of approximately $2.9 million (the “CP Warrant Conversion”).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21, 2024, GIC and the Company amended and restated the GIC Note (the “Restated GIC Note”, and, collectively with the Consolidated Note Amendment, the “Related Party Debt Amendments”) to increase the aggregate principal amount to approximately $2.3 million, extend the maturity date to December 31, 2025, and provide that the Restated Junior Note could be converted into Common Stock of the Company or, at GIC’s election, Pre-Funded Warrants, in each case at a conversion price of $4.65.</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following the execution of the Restated GIC Note, GIC elected to convert all of the outstanding principal under the Restated GIC Note into a Pre-Funded Warrant exercisable at issuance for up to 492,204 shares of Common Stock having a fair value of approximately $2.7 million (the “GIC Warrant Conversion”, and, collectively with the CP Warrant Conversion, the “Related Party Warrant Conversions”).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Related Party Warrant Conversions were exercised in connection with the Related Party Debt Amendments by CP and GIC, related party lenders under common control (the “Related Party Lenders”), the transactions combined were considered a modification of the total debt outstanding with the related parties (the “Related Party Debt Restructuring”).</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Related Party Debt Restructuring was accounted for as a troubled debt restructuring under ASC 470, as i) the Company was determined to be experiencing financial difficulties as defined by the ASC, and ii) the Related Party Debt Restructuring was deemed to result in a concession by the Related Party Lenders. The Company performed a comparison of the aggregated undiscounted cash flows associated with the Related Party Notes subsequent to the Related Party Debt Restructuring to the aggregate carrying value of the Related Party Notes as of the Related Party Debt Restructuring date. The net carrying value of the Related Party Notes of $10 million was determined to exceed the undiscounted future cash flows of the Related Party Notes as modified by the Related Party Debt Restructuring by approximately $10 million (the “Related Party Debt Restructuring Excess Carrying Value”). The aggregate carrying value of the Related Party Notes was thus written down to the amount of the undiscounted future cash flows on the Related Party Notes from the Related Party Debt Restructuring date to maturity (the “Restructured Related Party Debt”). Further, as the Related Party Lenders are related parties of the Company, the Related Party Debt Restructuring Excess Carrying Value was accounted for as a capital transaction and no gain or loss was recognized related to the restructuring.</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consideration for the sale of the Cultivation Business included the assumption by CP of the Company’s secured indebtedness currently held by CP and included the Consolidated CP Acquisitions Note. The carrying value of the Consolidated CP Acquisitions Note was $0 at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 Acquisitions Promissory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14, 2024, the Company issued a junior secured promissory note (the “2024 CP Note”) to CP. Pursuant to the 2024 CP Note, CP Acquisitions would lend up to $1.5 million to the Company. The 2024 CP Note bore interest at a rate of 10% per annum, would mature in full on July 1, 2025, and could be prepaid without any fee or penalty. The note was subsequently amended to lend up to $3.0 million to the Company. The 2024 CP Note was secured by the Company’s assets and ranked junior to existing secured indebtedness of the Company. The 2024 CP Note could be converted into Common Stock of the Company or, at CP Acquisitions’ election, Pre-Funded Warrants with an exercise price of $0.001 per share, in each case at a conversion price of $3.9495.</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consideration for the sale of the Cultivation Business included the assumption by CP of the Company’s secured indebtedness currently held by CP and included the 2024 CP Note. The carrying value of the 2024 CP Note was $0 at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 Thumb Convertible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5, 2024, the Company issued a Secured Convertible Note (the “Green Thumb Note”) to RSLGH, LLC (the “Investor”), a subsidiary of Green Thumb Industries Inc. (“Green Thumb”). The Green Thumb Note is a secured obligation of the Company and ranks senior to all indebtedness of the Company except for indebtedness held by CP Acquisitions and Mack. The Green Thumb Note will mature on November 5, 2025 and has a 10.0% annualized interest rate, with interest to be paid on the first calendar day of each September and March while the Green Thumb Note is outstanding, in cash, beginning January 1, 2025. The principal amount of the Green Thumb Note will be payable on the maturity date. The Green Thumb Note provides for advances of up to $20 million in the aggregate, of which $10 million was advanced upon issuance.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Green Thumb Note imposes certain customary affirmative and negative covenants upon the Company, including covenants relating to corporate existence, indebtedness, liens, distributions, affiliate transactions, and issuance of other notes. If an event of default under the Green Thumb Note occurs, the Investor can elect to redeem the Green Thumb Note for cash equal to the then-outstanding principal amount of the Green Thumb Note (or such lesser principal amount accelerated by the Investor), plus accrued and unpaid interest, including default interest, which accrues at a rate per annum equal to 14% from the date of a default or event of default, or, only in connection with certain events of default.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Investor elects to convert the Green Thumb Note, the conversion price per share will be $3.158, subject to customary adjustments for certain corporate events. The conversion of the Green Thumb Note will be subject to certain customary conditions and the receipt of stockholder approval to the extent necessary under Nasdaq listing rules.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Borrowings under the Green Thumb Note during the year ended December 31, 2024 totaled $10 million which are recorded on the Company’s consolidated balance sheets in related party debt. Interest expense incurred on the Green Thumb Note amounted to approximately $156 thousand for the year ended December 31,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future minimum principal payments on all debt positions, excluding accrued interest amounts,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99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future payments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100" w:type="dxa"/>
            <w:vAlign w:val="bottom"/>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an original lease term of 12 months or less at inception were not reflected in the Company’s consolidated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the implicit interest rate in its leases was generally not known, the Company used its incremental borrowing rate as the discount rate for purposes of determining the present value of its lease liabilities. The Company’s incremental borrowing rate was determined using the interest rate on a long-term debt position entered into at approximately the same time and for the same duration as the lease. At December 31, 2024 and December 31, 2023 the Company’s weighted-average discount rate utilized for its leases was 9.67% and 7.51%, respectively.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several non-cancelable finance leases for machinery and equipment, all of which ended or were terminated during 2023. As of December 31, 2024, the Company had no active finance leases.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a contract contained lease and non-lease elements, both were accounted for as a single lease component.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several non-cancellable operating leases for corporate offices, warehouses, showrooms, research and development facilities and vehicles. The Company’s leases have remaining lease terms of one year to four years, some of which include options to extend. Some leases include payment for communal area maintenance associated with the property. Cash paid for operating leases during the years ended December 31, 2024 and 2023 were $0.5 million and $1.0 million, respectively.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one of the Company’s leased assets was sold by the lessor to another counterparty, effectively cancelling the remainder of the lease with the Company. There were no penalties arising from the cancellation. The Company recognized a gain on early termination in the amount of $50 thousand in the period, calculated as the difference between the remaining right-of-use asset and lease liability at the time of termination.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on the Company’s operating and financing lease activity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6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2.15 years</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3.09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tcPr>
          <w:p>
            <w:pPr>
              <w:spacing w:after="0"/>
              <w:rPr>
                <w:sz w:val="20"/>
                <w:szCs w:val="20"/>
                <w:color w:val="auto"/>
              </w:rPr>
            </w:pPr>
          </w:p>
        </w:tc>
        <w:tc>
          <w:tcPr>
            <w:tcW w:w="102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8"/>
              </w:rPr>
              <w:t>7.51%</w:t>
            </w:r>
          </w:p>
        </w:tc>
        <w:tc>
          <w:tcPr>
            <w:tcW w:w="0" w:type="dxa"/>
            <w:vAlign w:val="bottom"/>
          </w:tcPr>
          <w:p>
            <w:pPr>
              <w:spacing w:after="0"/>
              <w:rPr>
                <w:sz w:val="1"/>
                <w:szCs w:val="1"/>
                <w:color w:val="auto"/>
              </w:rPr>
            </w:pPr>
          </w:p>
        </w:tc>
      </w:tr>
      <w:tr>
        <w:trPr>
          <w:trHeight w:val="391"/>
        </w:trPr>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80" w:type="dxa"/>
            <w:vAlign w:val="bottom"/>
          </w:tcPr>
          <w:p>
            <w:pPr>
              <w:spacing w:after="0"/>
              <w:rPr>
                <w:sz w:val="24"/>
                <w:szCs w:val="24"/>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1720" w:type="dxa"/>
            <w:vAlign w:val="bottom"/>
            <w:gridSpan w:val="3"/>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Operating lease right-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of-use assets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88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current</w:t>
            </w:r>
          </w:p>
        </w:tc>
        <w:tc>
          <w:tcPr>
            <w:tcW w:w="1720" w:type="dxa"/>
            <w:vAlign w:val="bottom"/>
            <w:gridSpan w:val="3"/>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Operating lease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liabilities, current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198"/>
        </w:trPr>
        <w:tc>
          <w:tcPr>
            <w:tcW w:w="6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non-current</w:t>
            </w:r>
          </w:p>
        </w:tc>
        <w:tc>
          <w:tcPr>
            <w:tcW w:w="172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Operating lease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liabilities, non-current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21"/>
                <w:szCs w:val="21"/>
                <w:color w:val="auto"/>
              </w:rPr>
            </w:pPr>
          </w:p>
        </w:tc>
        <w:tc>
          <w:tcPr>
            <w:tcW w:w="10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7"/>
        </w:trPr>
        <w:tc>
          <w:tcPr>
            <w:tcW w:w="6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gridSpan w:val="2"/>
            <w:vMerge w:val="continue"/>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
        </w:trPr>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27, 2024, the Company entered into a placement agency agreement (the “Agency Agreement”) with Alexander Capital, LP (“Alexander Capital”) as placement agent (the “Placement Agent”), pursuant to which the Company agreed to issue and sell an aggregate of 184,000 shares of its Common Stock, and, in lieu of Common Stock to certain investors that so chose, Pre-Funded Warrants to purchase 264,246 shares of its Common Stock (the “S-1 Offering”). The public offering price for each share of Common Stock was $5.70, and the offering price for each Pre-Funded Warrant is $5.685, which equals the public offering price per share of the Common Stock, less the $0.015 per share exercise price of each Pre-Funded Warrant.</w:t>
      </w:r>
    </w:p>
    <w:p>
      <w:pPr>
        <w:sectPr>
          <w:pgSz w:w="11900" w:h="16838" w:orient="portrait"/>
          <w:cols w:equalWidth="0" w:num="1">
            <w:col w:w="11240"/>
          </w:cols>
          <w:pgMar w:left="320" w:top="225"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issued 4,482 warrants to purchase Common Stock to Alexander Capital (the “Placement Agents Warrants”). The Placement Agents Warrants were classified as equity and recorded under additional paid-in capital in the consolidated balance sheets. The Placement Agents Warrants have a five-year term and exercise price of 100% of the offering price, and are subject to adjustment for stock splits, reverse stock splits, stock dividends, and similar transactions. The Placement Agents Warrants will be exercisable on a cash basis, unless there is not an effective registration statement covering the issuance of the shares issuable upon exercise of the Placement Agents Warrants or if shareholder approval for the full exercise of the Placement Agents Warrants are not received, in which case the Placement Agents Warrants will also be exercisable on a cashless exercise basis at Alexander Capital’s election.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measurement of fair value of the Placement Agents Warrants were determined utilizing a Black-Scholes model considering all relevant assumptions as of the date of issuance (i.e., share price of $7.80, exercise price of $5.70, term of five years, volatility of 128%, risk-free rate of 4.32%, and expected dividend rate of 0%). The grant date fair value of these Placement Agents Warrants was estimated to be $31 thousand on February 27, 2024, and is reflected within additional paid-in capital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Line of Credit Facility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28, 2024, the Company entered into a purchase agreement (the “Ionic Agreement”) and a registration rights agreement with Ionic Ventures, LLC (“Ionic”), pursuant to which Ionic committed to purchase up to an aggregate of $15.0 million of the Company’s Common Stock, subject to certain limitations, from time to time and at our sole discretion over the 36-month term of the Ionic Agreement.</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From and after the date the registration statement relating to the resale of the shares sold to Ionic was declared effective, November 5, 2024, the Company may from time to time on any business day, by written notice delivered by the Company to Ionic, direct Ionic to purchase between $250,000 and $750,000 of shares of Common Stock on such business day, at a purchase price per share that will be equal to 93% (or 80% if the Common Stock is not then trading on the Nasdaq Capital Market) of the lowest daily VWAP over a specified measurement period beginning after the delivery of the purchase notice, as described further in the Purchase Agreement (each, a “Regular Purchase”). The Ionic Agreement also permitted the Company to deliver an exemption purchase notice for $400,000 on the date of signing, with the shares so purchased to be delivered following the Commencement Date, and the Company delivered an exemption purchase notice for $400,000 for the purchase by Ionic of 189,645 shares of Common Stock. On November 5, 2024, the Company issued 189,645 shares of Common Stock to Ionic. The Company will control the timing and amount of any sales of Common Stock to Ionic pursuant to the Ionic Agreement. Ionic has no right to require the Company to sell any shares of Common Stock to Ionic, but Ionic is obligated to make purchases as the Company directs, subject to certain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Warrant Issuance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21, 2024, in connection with the Consolidated Note Amendment, the Company issued 492,204 and 525,114 Pre-Funded Warrants to GIC Acquisitions and CP (the “Related Party Pre-Funded Warrants”), respectively, in exchange of notes payable amounting approximately to $2.29 million and $11.5 million, respectively. The Related Party Pre-Funded Warrants can be used to purchase Company’s Common Stock with par value of $0.001 at an exercise price of $0.015. The Related Party Pre-Funded Warrants have been identified as freestanding financial instruments and were determined not to be indexed to the Company’s own stock. Accordingly, the Warrants are precluded from being classified within equity and classified as a liability with subsequent changes in fair value recognized each reporting period in earnings. The fair value of the Related Party Pre-Funded Warrants on the issuance date was $5,600,334 determined as the intrinsic value.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30, 2024, the Company executed an amendment to the Related Party Pre-Funded Warrants, pursuant to which the Company revised certain provisions of the Related Party Pre-Funded Warrants to (i) remove the adjustment to the exercise price of the Related Party Pre-Funded Warrants when there is a bona fide equity financing with the primary purpose of raising capital (the “Adjustment Provisions”) and (ii) increase the threshold for a change of control from 50% to greater than 50%. The classification of the Related Party Pre-Funded Warrants was reassessed upon the modification and the Related Party Pre-Funded Warrants were determined to meet all of the additional requirements for equity classification. Accordingly, as of June 30, 2024, the Company remeasured the Related Party Pre-Funded Warrants to its fair value immediately prior to the modification and recognized the change in fair value of approximately $1.2 million in earnings. The Company then reclassified the Pre-Funded Warrant liability to stockholders’ equity at its post-modification fair value of $6.8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12, 2024, the stockholders of the Company approved a proposal to amend the Related Party Pre-Funded Warrants to add the Adjustment Provisions at a future date. Pursuant to that approval, on August 28, 2024, the Company entered into amendments to the Related Party Pre-Funded Warrants to insert the Adjustment Provisions. This resulted in a reassessment of the Related Party Pre-Funded Warrants such that they no longer met the requirements for equity classification and became classified as liabilities. They were remeasured to their fair value upon modification, resulting in a reduction in value of approximately $3.1 million. The fair value, as of August 28, 2024, of $3,723,383 was reclassified to a warrant liability. As a result of the warrant amendments and the subsequent issuance of 189,645 shares of Common Stock to Ionic at an effective purchase price of $2.109 per share of Common Stock, the number of shares of Common Stock underlying the Related Party Pre-Funded Warrant held by CP was adjusted to 5,452,288 and the number of shares of Common Stock underlying the Related Party Pre-Funded Warrant held by GIC Acquisition was adjusted to 1,085,122. On August 30, 2024, CP partially exercised its Pre-Funded Warrant and entities affiliated with Raymond Chang and I-Tseng Jenny Chan received an aggregate of 383,127 shares of Common Stock upon the exercise.</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2024, the Company executed an amendment to the Related Party Pre-Funded Warrants to remove the Adjustment Provisions. Accordingly, the Related Party Pre-Funded Warrants met the requirements for equity classification. The amendment also included a provision preventing the holders from any additional exercise of either of the Related Party Pre-Funded Warrants at any time between September 27, 2024 and October 9, 2024. They were remeasured to their fair value upon modification resulting in an increase to the fair value of $18,392,143. The fair value as of September 27, 2024 of $20,770,707 was reclassified to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20, 2024, the Company entered into Securities Purchase Agreements with institutional investors and other accredited investors for the sale by the Company of 203,988 shares (the “Shares”) of Common Stock, and pre-funded warrants (the “November 2024 Warrants”) to purchase up to an aggregate of 949,515 shares of Common Stock, in a private placement offering. The purchase price for one share of Common Stock is $22.30 and the purchase price for one November 2024 Warrant is $22.2999.</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Pre-Funded Warrant is exercisable into one share of Common Stock at a price per share of $0.0001 (as adjusted from time to time in accordance with the terms thereof) and will expire when such November 2024 Warrant is fully exercised.</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Benjamin Kovler, Chairman and Interim Chief Executive Officer of the Company, participated in the private placement to purchase 10,000 shares of Common Stock on the same terms as other investors except for a purchase price of $38.76.</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gross proceeds to the Company from the private placement were approximately $25.9 million, before deducting the placement agent’s fees and other offering expenses of approximately $0.1 million.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November 2024 Warrants were classified as a component of stockholders’ equity. They are immediately exercisable and permit the holders to receive a fixed number of shares of Common Stock upon exercise. In addition, such warrants do not provide any guarantee of value or return.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Mack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2023, the Company issued 50,000 warrants to Mack Molding Co. in conjunction with the Modification and Settlement Agreement (the “Mack Warrants”). The warrants have a three-year term and an exercise price of $60.00 per share, and are subject to adjustment for stock splits, reverse stock splits, stock dividends, and similar transactions. The Mack Warrants will be exercisable on a cash basis, unless there is not an effective registration statement covering the resale of the shares issuable upon exercise of the warrants or if shareholder approval for the full exercise of the warrants are not received, in which case the Mack Warrant will also be exercisable on a cashless exercise basis at the Investor’s election.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measurement of fair value of the Mack Warrants were determined utilizing a Black-Scholes model considering all relevant assumptions current at the date of issuance. The grant date fair value of these Investor Warrants was estimated to be $1.6 million on October 18, 2023 and is reflected within additional paid-in capital as of December 31, 2023. These warrants were terminated a part of the December 16, 2024 settlement.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 and 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Omnibus Equity Incentive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1,765 shares and 16,667 additional shares issued upon approval by the Board of Directors on January 8, 2024. On August 12, 2024, the Company’s stockholders approved an amendment to the 2022 Plan to increase the number of shares issuable thereunder by 166,667. Shares will be deemed to have been issued under the 2022 Plan solely to the extent actually issued and delivered pursuant to an award. The 2022 Plan shall continue in effect, unless sooner terminated, until the tenth anniversary of the date on which it was adopted by the Board of Directors. As of December 31, 2024, there were 56,324 shares of Common Stock available to be granted under the Company’s 2022 Plan.</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stock compensation expense from continuing operations was $1.2 million and $2.7 million for the years ended December 31, 2024 and 2023, respectively.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stock compensation expense from discontinued operations was $132 thousand and $262 thousand for the years ended December 31, 2024 and 2023,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there were no options granted or exercised under the Company’s stock option plans. For the same period, there were 23 options expired with a weighted average exercise price of $10,710.00. There were 216 and 688 options outstanding with a weighted average exercise price of $18,610.56 and $23,938.80 as of December 31, 2024 and 2023, respectively. There were 210 options vested and exercisable with a weighted average exercise price of $18,725.71 as of December 31, 2024. There were 216 options vested and expected to vest with a weighted average exercise price of $18,610.56 as of December 31, 2024.</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expense related to unvested options was $6,302, which is expected to be recognized over a weighted average period of 0.27 years.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Stock options granted under the Company’s 2022 Plan are generally non-qualified and are granted with an exercise price equal to the market price of the Company’s Common Stock on the date of grant. The fair value of each option grant was estimated on the date of the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years ended December 31, 2024 and 2023.</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 Forfeitures are accounted for when they occur.</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2023</w:t>
            </w:r>
          </w:p>
        </w:tc>
        <w:tc>
          <w:tcPr>
            <w:tcW w:w="2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22,770.75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7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114.14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3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792.69</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Options outstanding at December 31, 2023</w:t>
            </w:r>
          </w:p>
        </w:tc>
        <w:tc>
          <w:tcPr>
            <w:tcW w:w="2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688</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23,938.80</w:t>
            </w:r>
          </w:p>
        </w:tc>
        <w:tc>
          <w:tcPr>
            <w:tcW w:w="1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gridSpan w:val="2"/>
          </w:tcPr>
          <w:p>
            <w:pPr>
              <w:ind w:left="8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7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26,095.64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2380" w:type="dxa"/>
            <w:vAlign w:val="bottom"/>
            <w:gridSpan w:val="2"/>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9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2380" w:type="dxa"/>
            <w:vAlign w:val="bottom"/>
            <w:tcBorders>
              <w:top w:val="single" w:sz="8" w:color="CCEEFF"/>
              <w:bottom w:val="single" w:sz="8" w:color="CCEEFF"/>
            </w:tcBorders>
            <w:gridSpan w:val="2"/>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18,610.56</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bottom w:val="single" w:sz="8" w:color="CCEEFF"/>
            </w:tcBorders>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Options vested and exercisable as of December 31, 2024</w:t>
            </w:r>
          </w:p>
        </w:tc>
        <w:tc>
          <w:tcPr>
            <w:tcW w:w="2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18,725.71</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December 31, 2024</w:t>
            </w:r>
          </w:p>
        </w:tc>
        <w:tc>
          <w:tcPr>
            <w:tcW w:w="22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18,610.56</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94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right"/>
              <w:ind w:right="2900"/>
              <w:spacing w:after="0"/>
              <w:rPr>
                <w:sz w:val="20"/>
                <w:szCs w:val="20"/>
                <w:color w:val="auto"/>
              </w:rPr>
            </w:pPr>
            <w:r>
              <w:rPr>
                <w:rFonts w:ascii="Times New Roman" w:cs="Times New Roman" w:eastAsia="Times New Roman" w:hAnsi="Times New Roman"/>
                <w:sz w:val="18"/>
                <w:szCs w:val="18"/>
                <w:color w:val="auto"/>
              </w:rPr>
              <w:t>F-36</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Contractual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560" w:type="dxa"/>
            <w:vAlign w:val="bottom"/>
          </w:tcPr>
          <w:p>
            <w:pPr>
              <w:spacing w:after="0"/>
              <w:rPr>
                <w:sz w:val="21"/>
                <w:szCs w:val="21"/>
                <w:color w:val="auto"/>
              </w:rPr>
            </w:pPr>
          </w:p>
        </w:tc>
        <w:tc>
          <w:tcPr>
            <w:tcW w:w="24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6,840.00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0.97</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6,840.00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41,520.00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41,520.00</w:t>
            </w:r>
          </w:p>
        </w:tc>
      </w:tr>
      <w:tr>
        <w:trPr>
          <w:trHeight w:val="234"/>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43,470.00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43,470.00</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expected to vest after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Vested and Expected to Vest</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Contractual</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560" w:type="dxa"/>
            <w:vAlign w:val="bottom"/>
          </w:tcPr>
          <w:p>
            <w:pPr>
              <w:spacing w:after="0"/>
              <w:rPr>
                <w:sz w:val="21"/>
                <w:szCs w:val="21"/>
                <w:color w:val="auto"/>
              </w:rPr>
            </w:pPr>
          </w:p>
        </w:tc>
        <w:tc>
          <w:tcPr>
            <w:tcW w:w="24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60" w:type="dxa"/>
            <w:vAlign w:val="bottom"/>
          </w:tcPr>
          <w:p>
            <w:pPr>
              <w:spacing w:after="0"/>
              <w:rPr>
                <w:sz w:val="21"/>
                <w:szCs w:val="21"/>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6,840.00</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2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0.97</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6,840.00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41,520.00</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2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41,520.00</w:t>
            </w:r>
          </w:p>
        </w:tc>
      </w:tr>
      <w:tr>
        <w:trPr>
          <w:trHeight w:val="234"/>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43,470.00</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6.22</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43,470.00</w:t>
            </w: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2022 Plan, the Company may grant restricted stock units to employees, directors and officers. The restricted stock units granted generally vest equally over periods ranging from one to three years.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restricted stock unit activity under the 2022 Plan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January 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3,462.00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3,462.00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238,874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(85,921)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(50,229)</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102,867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expense related to unvested restricted stock units was $1.4 million, which is expected to be recognized over a weighted average period of 0.74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Employee Stock Purchase Plan (“ESPP”). The Company initially reserved 167 shares of Common Stock for issuance under the ESPP. On December 31, 2024 and 2023, no shares were available for future issuance.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are granted options to purchase shares of Common Stock at the lower of 85% of the fair market value of the stock at the time of grant or 85% of the fair market value at the time of exercise. Options to purchase shares are granted twice yearly on or about August 1 and February 1 and are exercisable on or about the succeeding January 31 and July 31, respectively, of each year. No participant may purchase more than $25,000 worth of Common Stock annually. During the years ended December 31, 2024 and 2023, 0 and 167 of Common Stock was granted under the 2022 ESPP.</w:t>
      </w:r>
    </w:p>
    <w:p>
      <w:pPr>
        <w:sectPr>
          <w:pgSz w:w="11900" w:h="16838" w:orient="portrait"/>
          <w:cols w:equalWidth="0" w:num="1">
            <w:col w:w="11240"/>
          </w:cols>
          <w:pgMar w:left="320" w:top="225"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(the “401(k) Plan”). All full-time U.S. employees become eligible to participate in the 401(k) Plan. The Company’s contribution to the 401(k) Plan is discretionary. During the year ended December 31, 2024 and 2023, the Company did not contribute to the 401(k)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all warrant activity of the Company for the year ended December 31,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January 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262,353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358,687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8,188,353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(913,350)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(57,117)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2024</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7,576,573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received proceeds from the exercise of Placement Agent Warrants of $26,000 and Pre-Funded Warrants of $10,000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financial reporting purposes, the net pre-tax book income and/or loss from continuing and discontinued operations for the U.S. and foreign entities, in the aggregate, was: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00" w:type="dxa"/>
            <w:vAlign w:val="bottom"/>
            <w:shd w:val="clear" w:color="auto" w:fill="CCEEFF"/>
          </w:tcPr>
          <w:p>
            <w:pPr>
              <w:spacing w:after="0"/>
              <w:rPr>
                <w:sz w:val="18"/>
                <w:szCs w:val="18"/>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55"/>
        </w:trPr>
        <w:tc>
          <w:tcPr>
            <w:tcW w:w="32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3"/>
          </w:tcPr>
          <w:p>
            <w:pPr>
              <w:jc w:val="right"/>
              <w:ind w:right="3034"/>
              <w:spacing w:after="0"/>
              <w:rPr>
                <w:sz w:val="20"/>
                <w:szCs w:val="20"/>
                <w:color w:val="auto"/>
              </w:rPr>
            </w:pPr>
            <w:r>
              <w:rPr>
                <w:rFonts w:ascii="Times New Roman" w:cs="Times New Roman" w:eastAsia="Times New Roman" w:hAnsi="Times New Roman"/>
                <w:sz w:val="18"/>
                <w:szCs w:val="18"/>
                <w:color w:val="auto"/>
              </w:rPr>
              <w:t>F-38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(benefit) from continuing and discontinued operations consisted of the following for the years ended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1"/>
              <w:spacing w:after="0" w:line="203" w:lineRule="exact"/>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reconciliation between the Company’s effective tax rate on income from continuing operations discontinued operations and the statutory tax rate for the years ended December 31, 2024 and December 31, 2023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at U.S. statutory rate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Nondeductible/nontaxable items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3,336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change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True-up and 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2,621</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5,635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r>
      <w:tr>
        <w:trPr>
          <w:trHeight w:val="250"/>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carrying amounts of assets and liabilities for financial reporting purposes and the amounts used for income tax purposes. Realization of net deferred tax assets is dependent upon future earnings, if any, the timing and amount of which are uncertain.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items comprise the Company’s net deferred tax assets and liabilities as of December 31,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48,662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35,491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Accruals, reserves, and other</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4,422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tax credit carryforward</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3,475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sec. 174 R&amp;E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(1,221)</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(58,852)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(53,219)</w:t>
            </w: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r>
      <w:tr>
        <w:trPr>
          <w:trHeight w:val="210"/>
        </w:trPr>
        <w:tc>
          <w:tcPr>
            <w:tcW w:w="868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Deferred Tax Liability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Asset/(Liability)</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continually evaluates the likelihood of the realization of deferred tax assets and adjusts the carrying amount of the deferred tax assets by the valuation allowance to the extent the future realization of the deferred tax assets is more likely than not. The Company considers many factors when assessing the likelihood of future realization of its deferred tax assets, including its recent cumulative earnings experience by taxing jurisdiction, expectation of future taxable income or loss, the carryforward periods available to the Company for tax reporting purposes, and other relevant factors.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based on the Company’s history of earnings and its assessment of future earnings, management believes that it is more likely than not that future taxable income will not be sufficient to realize the deferred tax assets. Therefore full valuation allowance has been applied to deferred tax assets.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Effective for tax years beginning after December 31, 2021, taxpayers are required to capitalize any expenses incurred that are considered incidental to research and experimentation (“R&amp;E”) activities under U.S. Internal Revenue Code (“IRC”) Section 174. While taxpayers historically had the option of deducting these expenses under IRC Section 174, the December 2017 Tax Cuts and Jobs Act mandates capitalization and amortization of R&amp;E expenses for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that are considered under IRC Section 41 (relating to the research tax credit).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year ended December 31, 2024, the Company has federal and state net operating loss carryforwards of approximately $197.6 million and $128.7 million respectively. Federal net operating loss carryforwards in the amount of $0.7 million begin expiring in 2036 and approximately $196.9 million have an indefinite life. Federal net operating loss (“NOL”) carryforwards generated after tax year 2021 are subject to an 80% limitation on taxable income, do not expire and will carryforward indefinitely. State net operating loss carryforwards in the amount of $115.8 million begin expiring in 2039 and approximately $12.8 million have an indefinite life.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utilization of the Company’s NOLs may be subject to a U.S. federal limitation due to the “change in ownership provisions” under Section 382 of the IRC and other similar limitations in various state jurisdictions. Such limitations may result in a reduction of the amount of net operating loss carryforwards in future years and possibly the expiration of certain net operating loss carryforwards before their utilization.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194"/>
        </w:trPr>
        <w:tc>
          <w:tcPr>
            <w:tcW w:w="8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NOL</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NOL</w:t>
            </w:r>
          </w:p>
        </w:tc>
        <w:tc>
          <w:tcPr>
            <w:tcW w:w="100" w:type="dxa"/>
            <w:vAlign w:val="bottom"/>
          </w:tcPr>
          <w:p>
            <w:pPr>
              <w:spacing w:after="0"/>
              <w:rPr>
                <w:sz w:val="16"/>
                <w:szCs w:val="16"/>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Available</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 Indefinite</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196,903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143,552</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 Federal</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115,846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85,245</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 Indefinite</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12,814</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8,038</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 State</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 Indefinite</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 Foreign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examinations by federal, foreign, and state and local jurisdictions, where applicable. There are currently no pending tax examinations. The Company’s tax years are still open under statute from 2019 to the present in the U.S. and from 2019 to present in the Company’s foreign operations. To the extent the Company has tax attribute carryforwards, the tax years in which the attribute was generated may still be adjusted upon examination by the Internal Revenue Service and state and local tax authorities to the extent utilized in a future period.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required by the uncertain tax position guidance in ASC Topic 740 (“ASC 740”), Income Tax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likelihood of being realized upon ultimate settlement with the relevant tax authority. The Company applied the uncertain tax position guidance in ASC 740, Accounting for Income to all tax positions for which the statute of limitations remained open. Any estimates of tax contingencies contain assumptions and judgments about potential actions by taxing jurisdictions. Any interest and penalties related to uncertain tax positions would be included as part of the income tax provision.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conclusions regarding uncertain tax positions may be subject to review and adjustment at a later date based upon ongoing analysis of or changes in tax laws, regulations and interpretations thereof as well as other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unrecognized tax benefits at December 31, 2024 relate entirely to research and development tax credits. The total amount of unrecognized tax benefits at December 31, 2024 is $1.2 million. If recognized, none of the unrecognized tax benefits would impact our effective tax rate. The following table summarizes the activity related to our unrecognized tax benefits (in thousands):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benefit –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period tax position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Current period tax position increases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benefit – end of period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18" w:lineRule="exact"/>
        <w:rPr>
          <w:sz w:val="20"/>
          <w:szCs w:val="20"/>
          <w:color w:val="auto"/>
        </w:rPr>
      </w:pPr>
    </w:p>
    <w:p>
      <w:pPr>
        <w:ind w:left="940" w:hanging="935"/>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w:t>
      </w:r>
    </w:p>
    <w:p>
      <w:pPr>
        <w:spacing w:after="0" w:line="9"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w:t>
      </w:r>
    </w:p>
    <w:p>
      <w:pPr>
        <w:spacing w:after="0" w:line="58" w:lineRule="exact"/>
        <w:rPr>
          <w:sz w:val="20"/>
          <w:szCs w:val="20"/>
          <w:color w:val="auto"/>
        </w:rPr>
      </w:pPr>
    </w:p>
    <w:p>
      <w:pPr>
        <w:ind w:left="700" w:hanging="695"/>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7">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225" w:right="339" w:bottom="1440" w:gutter="0" w:footer="0" w:header="0"/>
          <w:type w:val="continuous"/>
        </w:sectPr>
      </w:pPr>
    </w:p>
    <w:p>
      <w:pPr>
        <w:spacing w:after="0" w:line="9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taxes as components of interest expense and other expense, respectively. We incurred no interest or penalties related to unrecognized tax benefits in the years ended December 31, 2024 or 2023. We do not anticipate any significant changes in our uncertain tax positions within twelve months of this reporting date.</w:t>
      </w:r>
    </w:p>
    <w:p>
      <w:pPr>
        <w:sectPr>
          <w:pgSz w:w="11900" w:h="16838" w:orient="portrait"/>
          <w:cols w:equalWidth="0" w:num="1">
            <w:col w:w="11240"/>
          </w:cols>
          <w:pgMar w:left="320" w:top="225" w:right="339" w:bottom="1440" w:gutter="0" w:footer="0" w:header="0"/>
          <w:type w:val="continuous"/>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Net Loss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Company’s reverse stock splits. Net loss per share was calculated based on the weighted-average number of the Company’s Common Stock outstanding.</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using the weighted-average number of shares of Common Stock outstanding during the periods. Diluted net loss per share is computed by giving effect to all potential shares of Common Stock, including convertible notes, outstanding stock options, stock related to unvested restricted stock units, and outstanding warrants to the extent dilutive. Net loss per share, assuming dilution, is equal to basic net loss per share for the years ended December 31, 2024 and 2023 because the effect of dilutive securities outstanding during the periods, including convertible notes, options, restricted stock units and warrants computed using the treasury stock method, is anti-dilutive.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 from 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(28,352)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(13,429)</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 from discontinued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(5,221)</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available for common shareholders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1,020,185</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restricted stock units, and warrants, have been excluded from the computation of diluted net loss per share as the effect would be to reduce the net loss per share. Therefore, the weighted-average number of shares of Common Stock outstanding used to calculate both basic and diluted net loss per share attributable to holders of the Company’s Common Stock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unvested 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102,867</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7,576,573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358,687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7,679,650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359,493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operates in one consolidated segment. The Company’s Chief Operating Decision Maker, Benjamin Kovler, Chairman and Interim Chief Executive Officer of the Company reviews net income (loss) of the Company when making resource allocation decisions. Such information is presented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Litigation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Cultivation, Inc. (“Bud &amp; Mary’s) and certain related parties notifying such parties that Bud &amp; Mary’s was in default of its obligations under the TTK solution between the Company and Bud &amp; Mary (the “Bud &amp; Mary TTK Agreement”). On October 5, 2022, Bud &amp; Mary’s filed a complaint in the Superior Court of Massachusetts in Suffolk County, naming the Company as the defendant (the “Bud &amp; Mary Complaint”). Bud &amp; Mary’s is seeking, among other relief, monetary damages in connection with alleged unfair or deceptive trade practices, breach of contract and conversion arising from the Bud &amp; Mary TTK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As of December 31, 2024, the allowance related to Bud &amp; Mary’s was reduced to $14.4 million, reflecting a recovery of allowance for credit losses resulting from a loan repayment of $330 thousand that was previously included in the allowance. The $14.4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 Complaint and counterclaims. The Company is seeking, among other relief, monetary damages in connection with the breach of contract, breach of the implied covenant of good faith and fair dealing, unjust enrichment, and enforcement of the guarantees. This matter is still actively ongoing. The parties are required to report on status to the court on March 21, 2025. This matter is subject to the Cultivation sale escrow litigation reserve agreement where the Company was required to fund $1.5 million in January 2025 into escrow for the benefit of settling this and other claims.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Bowdoin Construction Corp. Litigation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22, 2023, Bowdoin Construction Corp. (“Bowdoin”) filed a complaint in the Superior Court of Massachusetts in Norfolk County, Massachusetts, naming the Company (the “Bowdoin Complaint”), Bud &amp; Mary’s and certain related parties as defendants, captioned Bowdoin Construction Corp. v. Agrify Corporation, Bud &amp; Mary’s Cultivation, Inc. and BMLC2, LLC, case no. 2382CV00173. The Bowdoin Complaint relates to a construction contract between Bowdoin and the Company relating to the property that is the subject of the Bud &amp; Mary’s Complaint, and alleges breach of contract by Bud &amp; Mary’s and by the Company due to nonpayment of approximately $7.0 million due under the contract and related indemnification claims and mechanics’ liens. $6.3 million is included in accounts payable and $700 thousand is included in accrued expenses and other current liabilities in the consolidated balance sheet. Two of Bowdoin’s subcontractors, Hannon Electric, Inc. and Electric Supply Center Corp, have filed separate suits against Agrify in the amount of $1.498 million and $93 thousand, respectively. These amounts are part of the $7.0 million claimed in Bowdoin’s Complaint. The Bowdoin suit and the subcontractor suits have been consolidated. The Company has denied liability in all such suits. Bowdoin and Agrify are attempting to work cooperatively to settle the subcontractor disputes. The parties are otherwise in the discovery phase which concludes in June 2025. This matter is subject to the sale of the Cultivation Business escrow litigation reserve agreement where the Company was required to fund $1.5 million in January 2025 into escrow for the benefit of settling this and other claims.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Mack Molding Co.</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2020, the Company entered into a five-year supply agreement with Mack Molding Co. (“Mack”) pursuant to which Mack became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contemplated that, following an introductory period, the Company negotiated a minimum percentage of the VFU requirements that the Company purchase from Mack each year based on the agreed-upon pricing formula. The introductory period was not time-based but rather referred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 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a slowdown in the demand for the VFUs and the lack of a demand forecast that the Company could provide to the vendor, Mack exercised the right to invoice the Company for the slow-moving inventory. As of December 31, 2022, the Company recognized a contingent liability in the amount of $8.4 million, representing an estimate of the amount payable to Mack with respect to the original Mack purchase agreement, and which was included in accounts payable in the consolidated balance sheet. On March 2, 2023, Mack filed an arbitration action seeking the amounts owed to Mack for purchased inventory. On October 27, 2023, and effective as of October 18, 2023, Mack and the Company entered into a Modification and Settlement Agreement (the “Modification Agreement”) with respect to the dispute rather than engaging in litigation through the courts.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29, 2024, the Company met its contractual obligations under the terms of the Modification Agreement. In settlement of the dispute, the Company made cash payments of $500,000 and $250,000 to Mack and issued to Mack a warrant to purchase 750,000 shares of the Company’s Common Stock. In the first quarter of 2024, management derecognized the previously recognized contingent liability, resulting in a credit of approximately $5.9 million, recorded within gain on settlement of contingent liabilities, on the consolidated statement of operations.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30, 2024, the Company and Mack entered into an amendment to the Modification Agreement, which modified the payment terms and VFU purchase requirements under the Modification Agreement. Pursuant to the amendment, the Company agreed to make payments of $1.0 million prior to October 31, 2024 (the “October Payment”) and an additional $1.0 million prior to December 31, 2024. The Company has not made the October Payment as of the date hereof, however the Company is working with Mack to extend the date of the October Payment. The Company also agreed to purchase at least 25 VFUs prior to October 31, 2024 and a further 25 VFUs between November 1, 2024 and December 31, 2024. Upon payment in accordance with the terms of the amendment, the Company will be entitled to certain residual inventory in the possession of Mack, and the warrant issued to Mack will be terminated. This matter was settled on December 16, 2024 as a precursor to the Cultivation sale agreement and the corresponding warrants were terminated.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TRC Electronics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was seeking damages in the amount of $0.5 million, plus attorneys’ fees, costs, and post-judgment interest. This matter was settled in January 2025 for no cost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McCutchan, Inc.</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2021, the Company entered into a standard form of agreement between Owner and Contractor whereby Valiant Group LLC (“Valiant”) is the general contractor for tenant improvements on certain real property located in Bellevue, Washington (the “Project”). McCutchan, Inc. (“McCutchan”) agreed to be a subcontractor on the Project and engaged various other subcontractors (the “Valiant Agreement”). The Company terminated Valiant as the general contractor for, among other allegations, breach of contract and unjust enrichment. Following the termination of Valiant, in October 2022, the Valiant Agreement was assigned and accepted (the “Assignment”) to Agxion, LLC, a wholly owned subsidiary of the Company. The Assignment contemplates that, as a subcontractor to the Valiant Agreement, McCutchan is still bound to the subcontract agreement and will continue construction operations on the Project. The Company is pursuing Valiant in a separate litigation to collect no less than approximately $1.4 million alleging overbilling, breach of the Valiant Agreement, and violation of Chapter 18.27 and 19.86 of the Revised Code of Washington. On March 5, 2024, McCutchan filed a complaint in the Superior Court of Washington for King County naming the Company, Valiant, and certain related parties as defendants. In the complaint, McCutchan asserts two causes of action against the Company: (1) breach of contract, (2) voidable contract, (3) interference with business or economic expectancy, (4) unjust enrichment, and (5) defamation. McCutchan’s claims are based on allegations of misrepresentations made by the Company to pay McCutchan for work completed on the Project as well as a failure to pay under the Valiant Agreement. In the alternative, McCutchan is alleging the Assignment is void and not a valid contract. McCutchan is seeking to collect no less than $3 million against the Company and all other named defendants. The parties are currently in the discovery process, initial discovery responses were due on November 7, 2024. This matter is subject to the Cultivation sale escrow litigation reserve agreement where the Company was required to fund $1.5 million in January 2025 into escrow for the benefit of settling this and other claims.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Valiant Group LLC</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filed two separate complaints against Valiant for overbilling, misrepresentation, and breach of contract for the Treehouse project in Nevada and Hannah Project in Washington. Agrify obtained judgments against Valiant in Nevada for $4.5 million for the Treehouse project and $10.0 million in Washington for the Hannah Project. Agrify has domesticated those judgments in Massachusetts and is seeking to enforce them against Valiant, its successor in interest, Intrepid Investments LLC, and the principals of Valiant. Agrify filed an action for supplementary proceedings to collect on the judgments. The action is in the early stages and there is no guarantee that the court would award the full amount and no guarantee that Agrify would be able to successfully collect the full amount. This matter is subject to the Cultivation sale escrow litigation reserve agreement where the Company was required to fund $1.5 million in January 2025 into escrow for the benefit of settling this and other claims.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2023, the Company settled a legal dispute with a specific customer that resulted in the recognition of a gain of approximately $0.9 million, of which $0.3 million was paid in October 2023, with the remaining approximate $0.6 million to be paid in equal monthly installments, beginning in January, 2024. This gain was recognized as part of other income, net, per the consolidated statement of operations for the year ended December 31, 2023, with the approximate $0.9 million receivable balance recognized as part of prepaid expenses and other current assets, per the consolidated balance sheet, as of December 31, 2023. The settlement also resulted in the return of equipment to the Company in October 2023.</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currently pursuing 10 separate legal proceedings in attempting to collect approximately $1.8 million outstanding receivables. The Company is not confident that all legal proceedings and collection efforts will yield in positive results or return of equipment.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25, 2024, Medical Investor Holdings, LLC dba Vertical Companies (“MIH”) filed a complaint against Agrify demanding $0.3 million. MIH purchased an XMU hydrocarbon extraction system from Precision in October 2021. MIH chose not to include installation and training in the original purchase but is now having problems with this equipment resulting in the claims against Precision, now owned by the Company. This case was dismissed without prejudice by opposing counsel on August 1, 2024.</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also a defendant or plaintiff in a variety of other litigation matters that are individually insignificant. The timing and amount of any settlements, including potential payments made or received, is uncertain. Nonetheless, management currently estimates that the Company’s aggregate net loss exposure with respect to these cases is within the range of approximately $150 thousand to $300 thousand. Given the Company has determined these losses are probable of occurring and reasonably estimable, an accrual was recorded in the amount of $150 thousand within general and administrative expenses within the consolidated statement of operations.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9, 2022, a former sales Vice President of the Company filed suit against the Company claiming he is owed back wages, commission and is entitled to equity in the company, under theories of liability under Massachusetts labor laws including retaliation, breach of contract, breach of covenant of good faith and fair dealing, fraudulent inducement, tortious interference and unjust enrichment. The Company filed its answer to the initial complaint in January 2023. The Company believes this is a meritless claim and has responded to various discovery requests. Discovery is ongoing and a final pretrial conference is presently scheduled for April 10,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Mack Molding Co.</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Modification Agreement with Mack referenced above resulted in the Company entering a purchase commitment with Mack pursuant to which the Company was contractually obligated to purchase a minimum of 25 VFUs per quarter for each quarter during 2024 and a minimum of 50 VFUs per quarter for the six quarters beginning with the first quarter of 2025, at a per VFU price of $14,000. The Company made payment and took collection of 25 VFUs in the second quarter of 2024. The Company also granted Mack a second lien position on all Agrify assets.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30, 2024, the Company entered into an amendment to the Modification Agreement with Mack, which modified the payment terms and VFU purchase requirements under the Modification Agreement. Pursuant to the amendment, the Company agreed to make the October Payment of $1.0 million and an additional $1.0 million prior to December 31, 2024. The Company has not made the October Payment as of the date hereof, however the Company is working with Mack to extend the date of the October Payment. The Company also agreed to purchase at least 25 VFUs prior to October 31, 2024 and a further 25 VFUs between November 1, 2024 and December 31, 2024. This commitment was satisfied on December 16, 2024 as a precursor to the Purchase Agreement with CP.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Refer to Note 10 – Debt, included elsewhere in the notes to the consolidated financial statements for details of the Company’s future minimum debt payments. Refer to Note 11 – Leases, included elsewhere in the notes to the consolidated financial statements for details of the Company’s future minimum lease payments under operating and financing lease liabilities. Refer to Note 15 – Income Taxes, included elsewhere in the notes to the consolidated financial statements for information regarding income tax contingencies.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Related Parties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Some of the officers and directors of the Company are involved in other business activities and may, in the future, become involved in other business opportunities that become available.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purchasing (sales) activity with entities identified as related parties to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Thumb Industries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net related party payable as of December 31, 2024 and 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Thumb Industries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12, 2023, the Company issued an unsecured promissory note in favor of GIC, an entity that is owned and managed by the Company’s former Chairman and Chief Executive Officer.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27, 2023, CP, an entity affiliated with and controlled by former Company’s Chairman and Chief Executive Officer, purchased the Exchange Note and the Convertible Note. In addition, the Company issued to CP a Junior Secured Note. Refer to Note 10 - Debt for further disclosure related to this Related Party Note including related transactions occurring during the years ended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 Thumb Convertible Note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5, 2024, the Company issued the Green Thumb Note to Investor. For further discussion on the note, refer to Note 10.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the Note, the related party shared services agreement charges are included in the $10,487 balance.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consolidated financial statements were issued.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Consent of Independent Registered Public Accounting Firm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Forms S-8 File Nos. 333-257340, 333-265950, and 333-283453 and on Form S-1 File No. 333-282387 of Agrify Corporation, of our report, dated March 21, 2025, relating to the consolidated financial statements of Agrify Corporation as of December 31, 2024 and for the year then ended, and the retrospective adjustments to the 2023 consolidated financial statements described in Notes 1 and 6, except for the retroactive impact of the reverse stock split on October 8, 2024, as to which the date is March 27, 2025, which report is included in this Annual Report on Form 10-K/A of Agrify Corporation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GuzmanGray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GuzmanGray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ectPr>
          <w:pgSz w:w="11900" w:h="16838" w:orient="portrait"/>
          <w:cols w:equalWidth="0" w:num="1">
            <w:col w:w="11240"/>
          </w:cols>
          <w:pgMar w:left="320" w:top="1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of Agrify Corporation and Subsidiaries on Form S-8 (File Nos. 333-283453, 333-257340 and 333-265950) and on Form S-1 (File No. 333-282387) of our report dated April 15, 2024 with respect to our audit of the consolidated financial statements of Agrify Corporation and Subsidiaries as of December 31, 2023 and for the year ended December 31, 2023 appearing in the Annual Report on Form 10-K/A of Agrify Corporation and Subsidiaries for the year ended December 31, 2024.</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 AS ADOPTED PURSUANT TO</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Benjamin Kovler,</w:t>
      </w:r>
      <w:r>
        <w:rPr>
          <w:rFonts w:ascii="Times New Roman" w:cs="Times New Roman" w:eastAsia="Times New Roman" w:hAnsi="Times New Roman"/>
          <w:sz w:val="18"/>
          <w:szCs w:val="18"/>
          <w:color w:val="auto"/>
        </w:rPr>
        <w:t xml:space="preserve"> certify that:</w:t>
      </w:r>
    </w:p>
    <w:p>
      <w:pPr>
        <w:spacing w:after="0" w:line="229"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Agrify Corporation for the year ended December 31, 2024;</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r>
      <w:tr>
        <w:trPr>
          <w:trHeight w:val="198"/>
        </w:trPr>
        <w:tc>
          <w:tcPr>
            <w:tcW w:w="4180" w:type="dxa"/>
            <w:vAlign w:val="bottom"/>
          </w:tcPr>
          <w:p>
            <w:pPr>
              <w:spacing w:after="0"/>
              <w:rPr>
                <w:sz w:val="17"/>
                <w:szCs w:val="17"/>
                <w:color w:val="auto"/>
              </w:rPr>
            </w:pPr>
          </w:p>
        </w:tc>
        <w:tc>
          <w:tcPr>
            <w:tcW w:w="3140" w:type="dxa"/>
            <w:vAlign w:val="bottom"/>
          </w:tcPr>
          <w:p>
            <w:pPr>
              <w:ind w:left="25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r>
      <w:tr>
        <w:trPr>
          <w:trHeight w:val="216"/>
        </w:trPr>
        <w:tc>
          <w:tcPr>
            <w:tcW w:w="4180" w:type="dxa"/>
            <w:vAlign w:val="bottom"/>
          </w:tcPr>
          <w:p>
            <w:pPr>
              <w:spacing w:after="0"/>
              <w:rPr>
                <w:sz w:val="18"/>
                <w:szCs w:val="18"/>
                <w:color w:val="auto"/>
              </w:rPr>
            </w:pP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(Principal Executive</w:t>
            </w:r>
          </w:p>
        </w:tc>
      </w:tr>
      <w:tr>
        <w:trPr>
          <w:trHeight w:val="234"/>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Brad Asher,</w:t>
      </w:r>
      <w:r>
        <w:rPr>
          <w:rFonts w:ascii="Times New Roman" w:cs="Times New Roman" w:eastAsia="Times New Roman" w:hAnsi="Times New Roman"/>
          <w:sz w:val="18"/>
          <w:szCs w:val="18"/>
          <w:color w:val="auto"/>
        </w:rPr>
        <w:t xml:space="preserve"> certify that:</w:t>
      </w:r>
    </w:p>
    <w:p>
      <w:pPr>
        <w:spacing w:after="0" w:line="229"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Agrify Corporation for the year ended December 31, 2024;</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Asher</w:t>
            </w:r>
          </w:p>
        </w:tc>
      </w:tr>
      <w:tr>
        <w:trPr>
          <w:trHeight w:val="198"/>
        </w:trPr>
        <w:tc>
          <w:tcPr>
            <w:tcW w:w="4180" w:type="dxa"/>
            <w:vAlign w:val="bottom"/>
          </w:tcPr>
          <w:p>
            <w:pPr>
              <w:spacing w:after="0"/>
              <w:rPr>
                <w:sz w:val="17"/>
                <w:szCs w:val="17"/>
                <w:color w:val="auto"/>
              </w:rPr>
            </w:pPr>
          </w:p>
        </w:tc>
        <w:tc>
          <w:tcPr>
            <w:tcW w:w="3140" w:type="dxa"/>
            <w:vAlign w:val="bottom"/>
          </w:tcPr>
          <w:p>
            <w:pPr>
              <w:ind w:left="25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Brad Asher</w:t>
            </w:r>
          </w:p>
        </w:tc>
      </w:tr>
      <w:tr>
        <w:trPr>
          <w:trHeight w:val="216"/>
        </w:trPr>
        <w:tc>
          <w:tcPr>
            <w:tcW w:w="4180" w:type="dxa"/>
            <w:vAlign w:val="bottom"/>
          </w:tcPr>
          <w:p>
            <w:pPr>
              <w:spacing w:after="0"/>
              <w:rPr>
                <w:sz w:val="18"/>
                <w:szCs w:val="18"/>
                <w:color w:val="auto"/>
              </w:rPr>
            </w:pP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10-K/A of Agrify Corporation (the “Company”) for the year ended December 31, 2024,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r>
      <w:tr>
        <w:trPr>
          <w:trHeight w:val="198"/>
        </w:trPr>
        <w:tc>
          <w:tcPr>
            <w:tcW w:w="4180" w:type="dxa"/>
            <w:vAlign w:val="bottom"/>
          </w:tcPr>
          <w:p>
            <w:pPr>
              <w:spacing w:after="0"/>
              <w:rPr>
                <w:sz w:val="17"/>
                <w:szCs w:val="17"/>
                <w:color w:val="auto"/>
              </w:rPr>
            </w:pPr>
          </w:p>
        </w:tc>
        <w:tc>
          <w:tcPr>
            <w:tcW w:w="3140" w:type="dxa"/>
            <w:vAlign w:val="bottom"/>
          </w:tcPr>
          <w:p>
            <w:pPr>
              <w:ind w:left="25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r>
      <w:tr>
        <w:trPr>
          <w:trHeight w:val="216"/>
        </w:trPr>
        <w:tc>
          <w:tcPr>
            <w:tcW w:w="4180" w:type="dxa"/>
            <w:vAlign w:val="bottom"/>
          </w:tcPr>
          <w:p>
            <w:pPr>
              <w:spacing w:after="0"/>
              <w:rPr>
                <w:sz w:val="18"/>
                <w:szCs w:val="18"/>
                <w:color w:val="auto"/>
              </w:rPr>
            </w:pP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(Principal Executive</w:t>
            </w:r>
          </w:p>
        </w:tc>
      </w:tr>
      <w:tr>
        <w:trPr>
          <w:trHeight w:val="234"/>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11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10-K/A of Agrify Corporation (the “Company”) for the year ended December 31, 2024,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Asher</w:t>
            </w:r>
          </w:p>
        </w:tc>
      </w:tr>
      <w:tr>
        <w:trPr>
          <w:trHeight w:val="198"/>
        </w:trPr>
        <w:tc>
          <w:tcPr>
            <w:tcW w:w="4180" w:type="dxa"/>
            <w:vAlign w:val="bottom"/>
          </w:tcPr>
          <w:p>
            <w:pPr>
              <w:spacing w:after="0"/>
              <w:rPr>
                <w:sz w:val="17"/>
                <w:szCs w:val="17"/>
                <w:color w:val="auto"/>
              </w:rPr>
            </w:pPr>
          </w:p>
        </w:tc>
        <w:tc>
          <w:tcPr>
            <w:tcW w:w="3140" w:type="dxa"/>
            <w:vAlign w:val="bottom"/>
          </w:tcPr>
          <w:p>
            <w:pPr>
              <w:ind w:left="25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Brad Asher</w:t>
            </w:r>
          </w:p>
        </w:tc>
      </w:tr>
      <w:tr>
        <w:trPr>
          <w:trHeight w:val="216"/>
        </w:trPr>
        <w:tc>
          <w:tcPr>
            <w:tcW w:w="4180" w:type="dxa"/>
            <w:vAlign w:val="bottom"/>
          </w:tcPr>
          <w:p>
            <w:pPr>
              <w:spacing w:after="0"/>
              <w:rPr>
                <w:sz w:val="18"/>
                <w:szCs w:val="18"/>
                <w:color w:val="auto"/>
              </w:rPr>
            </w:pP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620"/>
    </w:lvl>
  </w:abstractNum>
  <w:abstractNum w:abstractNumId="11">
    <w:nsid w:val="519B500D"/>
    <w:multiLevelType w:val="hybridMultilevel"/>
    <w:lvl w:ilvl="0">
      <w:lvlJc w:val="left"/>
      <w:lvlText w:val="\emdash "/>
      <w:numFmt w:val="bullet"/>
      <w:start w:val="1"/>
    </w:lvl>
  </w:abstractNum>
  <w:abstractNum w:abstractNumId="12">
    <w:nsid w:val="431BD7B7"/>
    <w:multiLevelType w:val="hybridMultilevel"/>
    <w:lvl w:ilvl="0">
      <w:lvlJc w:val="left"/>
      <w:lvlText w:val="%1"/>
      <w:numFmt w:val="decimal"/>
      <w:start w:val="118"/>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Roman"/>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02" Type="http://schemas.openxmlformats.org/officeDocument/2006/relationships/image" Target="media/image8.png"/><Relationship Id="rId103" Type="http://schemas.openxmlformats.org/officeDocument/2006/relationships/image" Target="media/image9.png"/><Relationship Id="rId104" Type="http://schemas.openxmlformats.org/officeDocument/2006/relationships/image" Target="media/image10.png"/><Relationship Id="rId105" Type="http://schemas.openxmlformats.org/officeDocument/2006/relationships/image" Target="media/image11.png"/><Relationship Id="rId106" Type="http://schemas.openxmlformats.org/officeDocument/2006/relationships/image" Target="media/image12.png"/><Relationship Id="rId107" Type="http://schemas.openxmlformats.org/officeDocument/2006/relationships/image" Target="media/image13.png"/><Relationship Id="rId108" Type="http://schemas.openxmlformats.org/officeDocument/2006/relationships/image" Target="media/image14.png"/><Relationship Id="rId109" Type="http://schemas.openxmlformats.org/officeDocument/2006/relationships/image" Target="media/image15.png"/><Relationship Id="rId110" Type="http://schemas.openxmlformats.org/officeDocument/2006/relationships/image" Target="media/image16.png"/><Relationship Id="rId111" Type="http://schemas.openxmlformats.org/officeDocument/2006/relationships/image" Target="media/image17.png"/><Relationship Id="rId112" Type="http://schemas.openxmlformats.org/officeDocument/2006/relationships/image" Target="media/image18.png"/><Relationship Id="rId113" Type="http://schemas.openxmlformats.org/officeDocument/2006/relationships/image" Target="media/image19.png"/><Relationship Id="rId114" Type="http://schemas.openxmlformats.org/officeDocument/2006/relationships/image" Target="media/image20.png"/><Relationship Id="rId115" Type="http://schemas.openxmlformats.org/officeDocument/2006/relationships/image" Target="media/image21.png"/><Relationship Id="rId116" Type="http://schemas.openxmlformats.org/officeDocument/2006/relationships/image" Target="media/image22.png"/><Relationship Id="rId117" Type="http://schemas.openxmlformats.org/officeDocument/2006/relationships/image" Target="media/image23.png"/><Relationship Id="rId118" Type="http://schemas.openxmlformats.org/officeDocument/2006/relationships/image" Target="media/image24.png"/><Relationship Id="rId119" Type="http://schemas.openxmlformats.org/officeDocument/2006/relationships/image" Target="media/image25.png"/><Relationship Id="rId120" Type="http://schemas.openxmlformats.org/officeDocument/2006/relationships/image" Target="media/image26.png"/><Relationship Id="rId121" Type="http://schemas.openxmlformats.org/officeDocument/2006/relationships/image" Target="media/image27.png"/><Relationship Id="rId122" Type="http://schemas.openxmlformats.org/officeDocument/2006/relationships/image" Target="media/image28.png"/><Relationship Id="rId123" Type="http://schemas.openxmlformats.org/officeDocument/2006/relationships/image" Target="media/image29.png"/><Relationship Id="rId124" Type="http://schemas.openxmlformats.org/officeDocument/2006/relationships/image" Target="media/image30.png"/><Relationship Id="rId125" Type="http://schemas.openxmlformats.org/officeDocument/2006/relationships/image" Target="media/image31.png"/><Relationship Id="rId126" Type="http://schemas.openxmlformats.org/officeDocument/2006/relationships/image" Target="media/image32.png"/><Relationship Id="rId127" Type="http://schemas.openxmlformats.org/officeDocument/2006/relationships/image" Target="media/image33.png"/><Relationship Id="rId128" Type="http://schemas.openxmlformats.org/officeDocument/2006/relationships/image" Target="media/image34.png"/><Relationship Id="rId129" Type="http://schemas.openxmlformats.org/officeDocument/2006/relationships/image" Target="media/image35.png"/><Relationship Id="rId130" Type="http://schemas.openxmlformats.org/officeDocument/2006/relationships/image" Target="media/image36.png"/><Relationship Id="rId131" Type="http://schemas.openxmlformats.org/officeDocument/2006/relationships/image" Target="media/image37.png"/><Relationship Id="rId132" Type="http://schemas.openxmlformats.org/officeDocument/2006/relationships/image" Target="media/image38.png"/><Relationship Id="rId133" Type="http://schemas.openxmlformats.org/officeDocument/2006/relationships/image" Target="media/image39.png"/><Relationship Id="rId134" Type="http://schemas.openxmlformats.org/officeDocument/2006/relationships/image" Target="media/image40.png"/><Relationship Id="rId135" Type="http://schemas.openxmlformats.org/officeDocument/2006/relationships/image" Target="media/image41.png"/><Relationship Id="rId136" Type="http://schemas.openxmlformats.org/officeDocument/2006/relationships/image" Target="media/image42.png"/><Relationship Id="rId137" Type="http://schemas.openxmlformats.org/officeDocument/2006/relationships/image" Target="media/image43.png"/><Relationship Id="rId138" Type="http://schemas.openxmlformats.org/officeDocument/2006/relationships/image" Target="media/image44.png"/><Relationship Id="rId139" Type="http://schemas.openxmlformats.org/officeDocument/2006/relationships/image" Target="media/image45.png"/><Relationship Id="rId140" Type="http://schemas.openxmlformats.org/officeDocument/2006/relationships/image" Target="media/image46.png"/><Relationship Id="rId141" Type="http://schemas.openxmlformats.org/officeDocument/2006/relationships/image" Target="media/image47.png"/><Relationship Id="rId142" Type="http://schemas.openxmlformats.org/officeDocument/2006/relationships/image" Target="media/image48.png"/><Relationship Id="rId143" Type="http://schemas.openxmlformats.org/officeDocument/2006/relationships/image" Target="media/image49.png"/><Relationship Id="rId144" Type="http://schemas.openxmlformats.org/officeDocument/2006/relationships/image" Target="media/image50.png"/><Relationship Id="rId145" Type="http://schemas.openxmlformats.org/officeDocument/2006/relationships/image" Target="media/image51.png"/><Relationship Id="rId146" Type="http://schemas.openxmlformats.org/officeDocument/2006/relationships/image" Target="media/image52.png"/><Relationship Id="rId147" Type="http://schemas.openxmlformats.org/officeDocument/2006/relationships/image" Target="media/image53.png"/><Relationship Id="rId148" Type="http://schemas.openxmlformats.org/officeDocument/2006/relationships/image" Target="media/image54.png"/><Relationship Id="rId149" Type="http://schemas.openxmlformats.org/officeDocument/2006/relationships/image" Target="media/image55.png"/><Relationship Id="rId150" Type="http://schemas.openxmlformats.org/officeDocument/2006/relationships/image" Target="media/image56.png"/><Relationship Id="rId151" Type="http://schemas.openxmlformats.org/officeDocument/2006/relationships/image" Target="media/image57.png"/><Relationship Id="rId152" Type="http://schemas.openxmlformats.org/officeDocument/2006/relationships/image" Target="media/image58.png"/><Relationship Id="rId153" Type="http://schemas.openxmlformats.org/officeDocument/2006/relationships/image" Target="media/image59.png"/><Relationship Id="rId154" Type="http://schemas.openxmlformats.org/officeDocument/2006/relationships/image" Target="media/image60.png"/><Relationship Id="rId155" Type="http://schemas.openxmlformats.org/officeDocument/2006/relationships/image" Target="media/image61.png"/><Relationship Id="rId156" Type="http://schemas.openxmlformats.org/officeDocument/2006/relationships/image" Target="media/image62.png"/><Relationship Id="rId157" Type="http://schemas.openxmlformats.org/officeDocument/2006/relationships/image" Target="media/image63.png"/><Relationship Id="rId158" Type="http://schemas.openxmlformats.org/officeDocument/2006/relationships/image" Target="media/image64.png"/><Relationship Id="rId159" Type="http://schemas.openxmlformats.org/officeDocument/2006/relationships/image" Target="media/image65.png"/><Relationship Id="rId160" Type="http://schemas.openxmlformats.org/officeDocument/2006/relationships/image" Target="media/image66.png"/><Relationship Id="rId161" Type="http://schemas.openxmlformats.org/officeDocument/2006/relationships/image" Target="media/image67.png"/><Relationship Id="rId162" Type="http://schemas.openxmlformats.org/officeDocument/2006/relationships/image" Target="media/image68.png"/><Relationship Id="rId163" Type="http://schemas.openxmlformats.org/officeDocument/2006/relationships/image" Target="media/image69.png"/><Relationship Id="rId164" Type="http://schemas.openxmlformats.org/officeDocument/2006/relationships/image" Target="media/image70.png"/><Relationship Id="rId15" Type="http://schemas.openxmlformats.org/officeDocument/2006/relationships/hyperlink" Target="http://www.sec.gov/Archives/edgar/data/1800637/000101376221000191/ea148348ex2-1_agrifycorp.htm" TargetMode="External"/><Relationship Id="rId16" Type="http://schemas.openxmlformats.org/officeDocument/2006/relationships/hyperlink" Target="https://www.sec.gov/Archives/edgar/data/1800637/000101376221000191/ea148348ex2-2_agrifycorp.htm" TargetMode="External"/><Relationship Id="rId17" Type="http://schemas.openxmlformats.org/officeDocument/2006/relationships/hyperlink" Target="http://www.sec.gov/Archives/edgar/data/1800637/000121390022000601/ea153490ex2-1_agrifycorp.htm" TargetMode="External"/><Relationship Id="rId18" Type="http://schemas.openxmlformats.org/officeDocument/2006/relationships/hyperlink" Target="http://www.sec.gov/Archives/edgar/data/1800637/000121390022004925/ea154783ex2-1_agrifycorp.htm" TargetMode="External"/><Relationship Id="rId19" Type="http://schemas.openxmlformats.org/officeDocument/2006/relationships/hyperlink" Target="https://www.sec.gov/Archives/edgar/data/1800637/000121390024109028/ea022484701ex2-1_agrify.htm" TargetMode="External"/><Relationship Id="rId20" Type="http://schemas.openxmlformats.org/officeDocument/2006/relationships/hyperlink" Target="http://www.sec.gov/Archives/edgar/data/1800637/000121390021001799/fs12020a1ex3-1_agrify.htm" TargetMode="External"/><Relationship Id="rId21" Type="http://schemas.openxmlformats.org/officeDocument/2006/relationships/hyperlink" Target="https://www.sec.gov/Archives/edgar/data/1800637/000121390022039420/ea162872ex3-1_agrify.htm" TargetMode="External"/><Relationship Id="rId22" Type="http://schemas.openxmlformats.org/officeDocument/2006/relationships/hyperlink" Target="https://www.sec.gov/Archives/edgar/data/1800637/000121390022064269/ea167213ex3-1agrifycorp.htm" TargetMode="External"/><Relationship Id="rId23" Type="http://schemas.openxmlformats.org/officeDocument/2006/relationships/hyperlink" Target="https://www.sec.gov/Archives/edgar/data/1800637/000121390023017011/ea174612ex3-1_agrifycorp.htm" TargetMode="External"/><Relationship Id="rId24" Type="http://schemas.openxmlformats.org/officeDocument/2006/relationships/hyperlink" Target="https://www.sec.gov/Archives/edgar/data/1800637/000121390023053790/ea181262ex3-1_agrify.htm" TargetMode="External"/><Relationship Id="rId25" Type="http://schemas.openxmlformats.org/officeDocument/2006/relationships/hyperlink" Target="https://www.sec.gov/Archives/edgar/data/1800637/000121390024006275/ea192155ex3-1_agrify.htm" TargetMode="External"/><Relationship Id="rId26" Type="http://schemas.openxmlformats.org/officeDocument/2006/relationships/hyperlink" Target="https://www.sec.gov/Archives/edgar/data/1800637/000121390024085199/ea021670501ex3-1_agrify.htm" TargetMode="External"/><Relationship Id="rId27" Type="http://schemas.openxmlformats.org/officeDocument/2006/relationships/hyperlink" Target="https://www.sec.gov/Archives/edgar/data/1800637/000121390021004220/fs12021a2ex3-3_agrifycorp.htm" TargetMode="External"/><Relationship Id="rId28" Type="http://schemas.openxmlformats.org/officeDocument/2006/relationships/hyperlink" Target="https://www.sec.gov/Archives/edgar/data/1800637/000121390024067146/ea021098501ex3-1_agrify.htm" TargetMode="External"/><Relationship Id="rId29" Type="http://schemas.openxmlformats.org/officeDocument/2006/relationships/hyperlink" Target="https://www.sec.gov/Archives/edgar/data/1800637/000121390021001799/fs12020a1ex3-2_agrify.htm" TargetMode="External"/><Relationship Id="rId30" Type="http://schemas.openxmlformats.org/officeDocument/2006/relationships/hyperlink" Target="http://www.sec.gov/Archives/edgar/data/1800637/000121390021004220/fs12021a2ex4-1_agrifycorp.htm" TargetMode="External"/><Relationship Id="rId31" Type="http://schemas.openxmlformats.org/officeDocument/2006/relationships/hyperlink" Target="http://www.sec.gov/Archives/edgar/data/1800637/000121390021008530/fs12021ex4-2_agrifycorp.htm" TargetMode="External"/><Relationship Id="rId32" Type="http://schemas.openxmlformats.org/officeDocument/2006/relationships/hyperlink" Target="http://www.sec.gov/Archives/edgar/data/1800637/000121390021004220/fs12021a2ex4-2_agrifycorp.htm" TargetMode="External"/><Relationship Id="rId33" Type="http://schemas.openxmlformats.org/officeDocument/2006/relationships/hyperlink" Target="http://www.sec.gov/Archives/edgar/data/1800637/000121390020044121/fs12020ex4-3_agrifycorp.htm" TargetMode="External"/><Relationship Id="rId34" Type="http://schemas.openxmlformats.org/officeDocument/2006/relationships/hyperlink" Target="http://www.sec.gov/Archives/edgar/data/1800637/000121390021019992/f10k2020ex4-5_agrifycorp.htm" TargetMode="External"/><Relationship Id="rId35" Type="http://schemas.openxmlformats.org/officeDocument/2006/relationships/hyperlink" Target="http://www.sec.gov/Archives/edgar/data/1800637/000121390022003773/ea154520ex4-2_agrify.htm" TargetMode="External"/><Relationship Id="rId36" Type="http://schemas.openxmlformats.org/officeDocument/2006/relationships/hyperlink" Target="http://www.sec.gov/Archives/edgar/data/1800637/000121390022049494/ea164681ex4-1_agrify.htm" TargetMode="External"/><Relationship Id="rId37" Type="http://schemas.openxmlformats.org/officeDocument/2006/relationships/hyperlink" Target="http://www.sec.gov/Archives/edgar/data/1800637/000121390022049494/ea164681ex4-2_agrify.htm" TargetMode="External"/><Relationship Id="rId38" Type="http://schemas.openxmlformats.org/officeDocument/2006/relationships/hyperlink" Target="http://www.sec.gov/Archives/edgar/data/1800637/000121390022049494/ea164681ex4-3_agrify.htm" TargetMode="External"/><Relationship Id="rId39" Type="http://schemas.openxmlformats.org/officeDocument/2006/relationships/hyperlink" Target="http://www.sec.gov/Archives/edgar/data/1800637/000121390022080562/ea170341ex4-1_agrifycorp.htm" TargetMode="External"/><Relationship Id="rId40" Type="http://schemas.openxmlformats.org/officeDocument/2006/relationships/hyperlink" Target="http://www.sec.gov/Archives/edgar/data/1800637/000121390022080562/ea170341ex4-2_agrifycorp.htm" TargetMode="External"/><Relationship Id="rId41" Type="http://schemas.openxmlformats.org/officeDocument/2006/relationships/hyperlink" Target="http://www.sec.gov/Archives/edgar/data/1800637/000121390023018686/ea174704ex4-1_agrifycorp.htm" TargetMode="External"/><Relationship Id="rId42" Type="http://schemas.openxmlformats.org/officeDocument/2006/relationships/hyperlink" Target="http://www.sec.gov/Archives/edgar/data/1800637/000121390023018686/ea174704ex4-2_agrifycorp.htm" TargetMode="External"/><Relationship Id="rId43" Type="http://schemas.openxmlformats.org/officeDocument/2006/relationships/hyperlink" Target="https://www.sec.gov/Archives/edgar/data/1800637/000121390023083943/ea187778ex4-1_agrifycorp.htm" TargetMode="External"/><Relationship Id="rId44" Type="http://schemas.openxmlformats.org/officeDocument/2006/relationships/hyperlink" Target="https://www.sec.gov/Archives/edgar/data/1800637/000121390023083943/ea187778ex4-2_agrifycorp.htm" TargetMode="External"/><Relationship Id="rId45" Type="http://schemas.openxmlformats.org/officeDocument/2006/relationships/hyperlink" Target="https://www.sec.gov/Archives/edgar/data/1800637/000121390023083943/ea187778ex4-3_agrifycorp.htm" TargetMode="External"/><Relationship Id="rId46" Type="http://schemas.openxmlformats.org/officeDocument/2006/relationships/hyperlink" Target="https://www.sec.gov/Archives/edgar/data/1800637/000121390023083943/ea187778ex4-4_agrifycorp.htm" TargetMode="External"/><Relationship Id="rId47" Type="http://schemas.openxmlformats.org/officeDocument/2006/relationships/hyperlink" Target="http://www.sec.gov/Archives/edgar/data/1800637/000121390023083943/ea187778ex4-5_agrifycorp.htm" TargetMode="External"/><Relationship Id="rId48" Type="http://schemas.openxmlformats.org/officeDocument/2006/relationships/hyperlink" Target="https://www.sec.gov/Archives/edgar/data/1800637/000121390023093703/ea189579ex4-1_agrify.htm" TargetMode="External"/><Relationship Id="rId49" Type="http://schemas.openxmlformats.org/officeDocument/2006/relationships/hyperlink" Target="https://www.sec.gov/Archives/edgar/data/1800637/000121390024006275/ea192155ex4-1_agrify.htm" TargetMode="External"/><Relationship Id="rId50" Type="http://schemas.openxmlformats.org/officeDocument/2006/relationships/hyperlink" Target="https://www.sec.gov/Archives/edgar/data/1800637/000121390024006275/ea192155ex4-2_agrify.htm" TargetMode="External"/><Relationship Id="rId51" Type="http://schemas.openxmlformats.org/officeDocument/2006/relationships/hyperlink" Target="https://www.sec.gov/Archives/edgar/data/1800637/000121390024011247/fs12024a1ex4-21_agrifycorp.htm" TargetMode="External"/><Relationship Id="rId52" Type="http://schemas.openxmlformats.org/officeDocument/2006/relationships/hyperlink" Target="https://www.sec.gov/Archives/edgar/data/1800637/000121390024011247/fs12024a1ex4-22_agrifycorp.htm" TargetMode="External"/><Relationship Id="rId53" Type="http://schemas.openxmlformats.org/officeDocument/2006/relationships/hyperlink" Target="https://www.sec.gov/Archives/edgar/data/1800637/000121390024045718/ea020667101ex4-1_agrifycorp.htm" TargetMode="External"/><Relationship Id="rId54" Type="http://schemas.openxmlformats.org/officeDocument/2006/relationships/hyperlink" Target="https://www.sec.gov/Archives/edgar/data/1800637/000121390024045718/ea020667101ex4-2_agrifycorp.htm" TargetMode="External"/><Relationship Id="rId55" Type="http://schemas.openxmlformats.org/officeDocument/2006/relationships/hyperlink" Target="https://www.sec.gov/Archives/edgar/data/1800637/000121390024045718/ea020667101ex4-3_agrifycorp.htm" TargetMode="External"/><Relationship Id="rId56" Type="http://schemas.openxmlformats.org/officeDocument/2006/relationships/hyperlink" Target="https://www.sec.gov/Archives/edgar/data/1800637/000121390024058789/ea020888301ex4-1_agrify.htm" TargetMode="External"/><Relationship Id="rId57" Type="http://schemas.openxmlformats.org/officeDocument/2006/relationships/hyperlink" Target="https://www.sec.gov/Archives/edgar/data/1800637/000121390024058789/ea020888301ex4-2_agrify.htm" TargetMode="External"/><Relationship Id="rId58" Type="http://schemas.openxmlformats.org/officeDocument/2006/relationships/hyperlink" Target="https://www.sec.gov/Archives/edgar/data/1800637/000121390024069076/ea021134001ex4-1_agrify.htm" TargetMode="External"/><Relationship Id="rId59" Type="http://schemas.openxmlformats.org/officeDocument/2006/relationships/hyperlink" Target="https://www.sec.gov/Archives/edgar/data/1800637/000121390024089657/ea021819201ex4-1_agrify.htm" TargetMode="External"/><Relationship Id="rId60" Type="http://schemas.openxmlformats.org/officeDocument/2006/relationships/hyperlink" Target="https://www.sec.gov/Archives/edgar/data/1800637/000121390024094613/ea022010001ex4-1_agrify.htm" TargetMode="External"/><Relationship Id="rId61" Type="http://schemas.openxmlformats.org/officeDocument/2006/relationships/hyperlink" Target="https://www.sec.gov/Archives/edgar/data/1800637/000121390024100715/ea022206201ex4-1_agrify.htm" TargetMode="External"/><Relationship Id="rId62" Type="http://schemas.openxmlformats.org/officeDocument/2006/relationships/hyperlink" Target="https://www.sec.gov/Archives/edgar/data/1800637/000121390024109028/ea022484701ex4-1_agrify.htm" TargetMode="External"/><Relationship Id="rId63" Type="http://schemas.openxmlformats.org/officeDocument/2006/relationships/hyperlink" Target="https://www.sec.gov/Archives/edgar/data/1800637/000121390020044121/fs12020ex10-1_agrifycorp.htm" TargetMode="External"/><Relationship Id="rId64" Type="http://schemas.openxmlformats.org/officeDocument/2006/relationships/hyperlink" Target="https://www.sec.gov/Archives/edgar/data/1800637/000121390020044121/fs12020ex10-2_agrifycorp.htm" TargetMode="External"/><Relationship Id="rId65" Type="http://schemas.openxmlformats.org/officeDocument/2006/relationships/hyperlink" Target="https://www.sec.gov/Archives/edgar/data/1800637/000121390020044121/fs12020ex10-3_agrifycorp.htm" TargetMode="External"/><Relationship Id="rId66" Type="http://schemas.openxmlformats.org/officeDocument/2006/relationships/hyperlink" Target="http://www.sec.gov/Archives/edgar/data/1800637/000121390020044121/fs12020ex10-4_agrifycorp.htm" TargetMode="External"/><Relationship Id="rId67" Type="http://schemas.openxmlformats.org/officeDocument/2006/relationships/hyperlink" Target="http://www.sec.gov/Archives/edgar/data/1800637/000121390021019992/f10k2020ex10-5_agrifycorp.htm" TargetMode="External"/><Relationship Id="rId68" Type="http://schemas.openxmlformats.org/officeDocument/2006/relationships/hyperlink" Target="http://www.sec.gov/Archives/edgar/data/1800637/000121390020044121/fs12020ex10-13_agrifycorp.htm" TargetMode="External"/><Relationship Id="rId69" Type="http://schemas.openxmlformats.org/officeDocument/2006/relationships/hyperlink" Target="http://www.sec.gov/Archives/edgar/data/1800637/000121390020044121/fs12020ex10-16_agrifycorp.htm" TargetMode="External"/><Relationship Id="rId70" Type="http://schemas.openxmlformats.org/officeDocument/2006/relationships/hyperlink" Target="http://www.sec.gov/Archives/edgar/data/1800637/000121390021001799/fs12020a1ex10-15_agrify.htm" TargetMode="External"/><Relationship Id="rId71" Type="http://schemas.openxmlformats.org/officeDocument/2006/relationships/hyperlink" Target="http://www.sec.gov/Archives/edgar/data/1800637/000121390020044121/fs12020ex10-18_agrifycorp.htm" TargetMode="External"/><Relationship Id="rId72" Type="http://schemas.openxmlformats.org/officeDocument/2006/relationships/hyperlink" Target="http://www.sec.gov/Archives/edgar/data/1800637/000121390021008530/fs12021ex10-18_agrifycorp.htm" TargetMode="External"/><Relationship Id="rId73" Type="http://schemas.openxmlformats.org/officeDocument/2006/relationships/hyperlink" Target="http://www.sec.gov/Archives/edgar/data/1800637/000121390021059567/ea150577ex10-2_agrifycorp.htm" TargetMode="External"/><Relationship Id="rId74" Type="http://schemas.openxmlformats.org/officeDocument/2006/relationships/hyperlink" Target="http://www.sec.gov/Archives/edgar/data/1800637/000121390022003773/ea154520ex10-1_agrify.htm" TargetMode="External"/><Relationship Id="rId75" Type="http://schemas.openxmlformats.org/officeDocument/2006/relationships/hyperlink" Target="http://www.sec.gov/Archives/edgar/data/1800637/000121390022013613/ea157101ex10-1_agrifycorp.htm" TargetMode="External"/><Relationship Id="rId76" Type="http://schemas.openxmlformats.org/officeDocument/2006/relationships/hyperlink" Target="https://www.sec.gov/Archives/edgar/data/1800637/000121390022022512/def14a0422_agrify.htm#T99014" TargetMode="External"/><Relationship Id="rId77" Type="http://schemas.openxmlformats.org/officeDocument/2006/relationships/hyperlink" Target="https://www.sec.gov/Archives/edgar/data/1800637/000121390022022512/def14a0422_agrify.htm#T99015" TargetMode="External"/><Relationship Id="rId78" Type="http://schemas.openxmlformats.org/officeDocument/2006/relationships/hyperlink" Target="http://www.sec.gov/Archives/edgar/data/1800637/000121390022039420/ea162872ex10-2_agrify.htm" TargetMode="External"/><Relationship Id="rId79" Type="http://schemas.openxmlformats.org/officeDocument/2006/relationships/hyperlink" Target="http://www.sec.gov/Archives/edgar/data/1800637/000121390022039420/ea162872ex10-1_agrify.htm" TargetMode="External"/><Relationship Id="rId80" Type="http://schemas.openxmlformats.org/officeDocument/2006/relationships/hyperlink" Target="http://www.sec.gov/Archives/edgar/data/1800637/000121390022049494/ea164681ex10-1_agrify.htm" TargetMode="External"/><Relationship Id="rId81" Type="http://schemas.openxmlformats.org/officeDocument/2006/relationships/hyperlink" Target="http://www.sec.gov/Archives/edgar/data/1800637/000121390022064592/ea167238ex1-1_agrifycorp.htm" TargetMode="External"/><Relationship Id="rId82" Type="http://schemas.openxmlformats.org/officeDocument/2006/relationships/hyperlink" Target="http://www.sec.gov/Archives/edgar/data/1800637/000121390023004857/ea172124ex10-1_agrifycorp.htm" TargetMode="External"/><Relationship Id="rId83" Type="http://schemas.openxmlformats.org/officeDocument/2006/relationships/hyperlink" Target="http://www.sec.gov/Archives/edgar/data/1800637/000121390023018686/ea174704ex10-1_agrifycorp.htm" TargetMode="External"/><Relationship Id="rId84" Type="http://schemas.openxmlformats.org/officeDocument/2006/relationships/hyperlink" Target="http://www.sec.gov/Archives/edgar/data/1800637/000121390023083943/ea187778ex10-1_agrifycorp.htm" TargetMode="External"/><Relationship Id="rId85" Type="http://schemas.openxmlformats.org/officeDocument/2006/relationships/hyperlink" Target="https://www.sec.gov/Archives/edgar/data/1800637/000121390023083943/ea187778ex10-2_agrifycorp.htm" TargetMode="External"/><Relationship Id="rId86" Type="http://schemas.openxmlformats.org/officeDocument/2006/relationships/hyperlink" Target="https://www.sec.gov/Archives/edgar/data/1800637/000121390023083943/ea187778ex10-3_agrifycorp.htm" TargetMode="External"/><Relationship Id="rId87" Type="http://schemas.openxmlformats.org/officeDocument/2006/relationships/hyperlink" Target="https://www.sec.gov/Archives/edgar/data/1800637/000121390024073911/ea021277101ex10-1_agrify.htm" TargetMode="External"/><Relationship Id="rId88" Type="http://schemas.openxmlformats.org/officeDocument/2006/relationships/hyperlink" Target="https://www.sec.gov/Archives/edgar/data/1800637/000121390024073911/ea021277101ex10-2_agrify.htm" TargetMode="External"/><Relationship Id="rId89" Type="http://schemas.openxmlformats.org/officeDocument/2006/relationships/hyperlink" Target="https://www.sec.gov/Archives/edgar/data/1800637/000121390024073911/ea021277101ex10-3_agrify.htm" TargetMode="External"/><Relationship Id="rId90" Type="http://schemas.openxmlformats.org/officeDocument/2006/relationships/hyperlink" Target="https://www.sec.gov/Archives/edgar/data/1800637/000121390024073911/ea021277101ex10-4_agrify.htm" TargetMode="External"/><Relationship Id="rId91" Type="http://schemas.openxmlformats.org/officeDocument/2006/relationships/hyperlink" Target="https://www.sec.gov/Archives/edgar/data/1800637/000121390024075628/ea021332601ex10-1_agrify.htm" TargetMode="External"/><Relationship Id="rId92" Type="http://schemas.openxmlformats.org/officeDocument/2006/relationships/hyperlink" Target="https://www.sec.gov/Archives/edgar/data/1800637/000121390024084050/ea021625401ex10-1_agrify.htm" TargetMode="External"/><Relationship Id="rId93" Type="http://schemas.openxmlformats.org/officeDocument/2006/relationships/hyperlink" Target="https://www.sec.gov/Archives/edgar/data/1800637/000121390024084050/ea021625401ex10-2_agrify.htm" TargetMode="External"/><Relationship Id="rId94" Type="http://schemas.openxmlformats.org/officeDocument/2006/relationships/hyperlink" Target="https://www.sec.gov/Archives/edgar/data/1800637/000121390024094613/ea022010001ex10-1_agrify.htm" TargetMode="External"/><Relationship Id="rId95" Type="http://schemas.openxmlformats.org/officeDocument/2006/relationships/hyperlink" Target="https://www.sec.gov/Archives/edgar/data/1800637/000121390024100715/ea022206201ex10-1_agrify.htm" TargetMode="External"/><Relationship Id="rId96" Type="http://schemas.openxmlformats.org/officeDocument/2006/relationships/hyperlink" Target="http://www.sec.gov/Archives/edgar/data/1800637/000121390024100715/ea022206201ex10-2_agrify.htm" TargetMode="External"/><Relationship Id="rId97" Type="http://schemas.openxmlformats.org/officeDocument/2006/relationships/hyperlink" Target="https://www.sec.gov/Archives/edgar/data/1800637/000121390020044121/fs12020ex14-1_agrifycorp.htm" TargetMode="External"/><Relationship Id="rId98" Type="http://schemas.openxmlformats.org/officeDocument/2006/relationships/hyperlink" Target="http://www.sec.gov/Archives/edgar/data/1800637/000101376224000464/ea020964501ex16-1_agrify.htm" TargetMode="External"/><Relationship Id="rId99" Type="http://schemas.openxmlformats.org/officeDocument/2006/relationships/hyperlink" Target="https://www.sec.gov/Archives/edgar/data/1800637/000101376225000918/ea023440201ex19-1_agrify.htm" TargetMode="External"/><Relationship Id="rId100" Type="http://schemas.openxmlformats.org/officeDocument/2006/relationships/hyperlink" Target="https://www.sec.gov/Archives/edgar/data/1800637/000101376225000918/ea023440201ex21-1_agrify.htm" TargetMode="External"/><Relationship Id="rId101" Type="http://schemas.openxmlformats.org/officeDocument/2006/relationships/hyperlink" Target="http://www.sec.gov/Archives/edgar/data/1800637/000121390024033048/ea0203682ex97-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2025-03-28T05:26:06Z</dcterms:created>
  <dcterms:modified xsi:type="dcterms:W3CDTF">2025-03-28T05:26:06Z</dcterms:modified>
</cp:coreProperties>
</file>