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Raymond Nobu</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AGRIFY CORPORATION</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 TREBLE COVE RD.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CEO &amp; Chairman of the Board</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BILLERICA</w:t>
            </w:r>
          </w:p>
        </w:tc>
        <w:tc>
          <w:tcPr>
            <w:tcW w:w="980" w:type="dxa"/>
            <w:vAlign w:val="bottom"/>
          </w:tcPr>
          <w:p>
            <w:pPr>
              <w:ind w:left="1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01862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08/24/2021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7"/>
                <w:szCs w:val="17"/>
                <w:color w:val="0000FF"/>
              </w:rPr>
              <w:t>1,700</w:t>
            </w:r>
          </w:p>
        </w:tc>
        <w:tc>
          <w:tcPr>
            <w:tcW w:w="340" w:type="dxa"/>
            <w:vAlign w:val="bottom"/>
          </w:tcPr>
          <w:p>
            <w:pPr>
              <w:jc w:val="center"/>
              <w:ind w:left="107"/>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18"/>
                <w:szCs w:val="18"/>
                <w:color w:val="auto"/>
              </w:rPr>
            </w:pPr>
          </w:p>
        </w:tc>
        <w:tc>
          <w:tcPr>
            <w:tcW w:w="88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31.0352</w:t>
            </w:r>
            <w:r>
              <w:rPr>
                <w:rFonts w:ascii="Arial" w:cs="Arial" w:eastAsia="Arial" w:hAnsi="Arial"/>
                <w:sz w:val="22"/>
                <w:szCs w:val="22"/>
                <w:color w:val="008000"/>
                <w:w w:val="87"/>
                <w:vertAlign w:val="superscript"/>
              </w:rPr>
              <w:t>(1)</w:t>
            </w:r>
          </w:p>
        </w:tc>
        <w:tc>
          <w:tcPr>
            <w:tcW w:w="1240" w:type="dxa"/>
            <w:vAlign w:val="bottom"/>
            <w:gridSpan w:val="3"/>
          </w:tcPr>
          <w:p>
            <w:pPr>
              <w:ind w:left="340"/>
              <w:spacing w:after="0"/>
              <w:rPr>
                <w:sz w:val="20"/>
                <w:szCs w:val="20"/>
                <w:color w:val="auto"/>
              </w:rPr>
            </w:pPr>
            <w:r>
              <w:rPr>
                <w:rFonts w:ascii="Arial" w:cs="Arial" w:eastAsia="Arial" w:hAnsi="Arial"/>
                <w:sz w:val="17"/>
                <w:szCs w:val="17"/>
                <w:color w:val="0000FF"/>
              </w:rPr>
              <w:t>533,246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08/25/2021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Arial" w:cs="Arial" w:eastAsia="Arial" w:hAnsi="Arial"/>
                <w:sz w:val="17"/>
                <w:szCs w:val="17"/>
                <w:color w:val="0000FF"/>
              </w:rPr>
              <w:t>22,725</w:t>
            </w:r>
          </w:p>
        </w:tc>
        <w:tc>
          <w:tcPr>
            <w:tcW w:w="340" w:type="dxa"/>
            <w:vAlign w:val="bottom"/>
          </w:tcPr>
          <w:p>
            <w:pPr>
              <w:jc w:val="center"/>
              <w:ind w:left="107"/>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18"/>
                <w:szCs w:val="18"/>
                <w:color w:val="auto"/>
              </w:rPr>
            </w:pPr>
          </w:p>
        </w:tc>
        <w:tc>
          <w:tcPr>
            <w:tcW w:w="88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30.6843</w:t>
            </w:r>
            <w:r>
              <w:rPr>
                <w:rFonts w:ascii="Arial" w:cs="Arial" w:eastAsia="Arial" w:hAnsi="Arial"/>
                <w:sz w:val="22"/>
                <w:szCs w:val="22"/>
                <w:color w:val="008000"/>
                <w:w w:val="87"/>
                <w:vertAlign w:val="superscript"/>
              </w:rPr>
              <w:t>(3)</w:t>
            </w:r>
          </w:p>
        </w:tc>
        <w:tc>
          <w:tcPr>
            <w:tcW w:w="1240" w:type="dxa"/>
            <w:vAlign w:val="bottom"/>
            <w:gridSpan w:val="3"/>
          </w:tcPr>
          <w:p>
            <w:pPr>
              <w:ind w:left="340"/>
              <w:spacing w:after="0"/>
              <w:rPr>
                <w:sz w:val="20"/>
                <w:szCs w:val="20"/>
                <w:color w:val="auto"/>
              </w:rPr>
            </w:pPr>
            <w:r>
              <w:rPr>
                <w:rFonts w:ascii="Arial" w:cs="Arial" w:eastAsia="Arial" w:hAnsi="Arial"/>
                <w:sz w:val="17"/>
                <w:szCs w:val="17"/>
                <w:color w:val="0000FF"/>
              </w:rPr>
              <w:t>510,521</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Price represents the weighted average sale price of the shares sold ranging from $31.00 to $31.07 per share. Upon request by the staff of the Securities and Exchange Commission, the issuer, or a security holder of the issuer, the reporting person will provide full information regarding the number of shares sold at each separate price within the range set forth in this footnote.</w:t>
      </w: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40" w:right="56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Price represents the weighted average sale price of the shares sold ranging from $30.50 to $31.43 per share. Upon request by the staff of the Securities and Exchange Commission, the issuer, or a security holder of the issuer, the reporting person will provide full information regarding the number of shares sold at each separate price within the range set forth in this footnote.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Raymond Chang</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08/26/2021</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2021-08-26T16:29:43Z</dcterms:created>
  <dcterms:modified xsi:type="dcterms:W3CDTF">2021-08-26T16:29:43Z</dcterms:modified>
</cp:coreProperties>
</file>