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179070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10-Q/A</w:t>
      </w:r>
    </w:p>
    <w:p>
      <w:pPr>
        <w:spacing w:after="0" w:line="194" w:lineRule="exact"/>
        <w:rPr>
          <w:sz w:val="24"/>
          <w:szCs w:val="24"/>
          <w:color w:val="auto"/>
        </w:rPr>
      </w:pPr>
    </w:p>
    <w:p>
      <w:pPr>
        <w:jc w:val="center"/>
        <w:ind w:left="4040" w:right="1520" w:hanging="2532"/>
        <w:spacing w:after="0" w:line="493" w:lineRule="auto"/>
        <w:tabs>
          <w:tab w:leader="none" w:pos="173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jc w:val="center"/>
        <w:ind w:left="3780" w:right="1520" w:hanging="2278"/>
        <w:spacing w:after="0" w:line="493" w:lineRule="auto"/>
        <w:tabs>
          <w:tab w:leader="none" w:pos="1731"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 to _________</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9"/>
              </w:rPr>
              <w:t>Commission File Number: 001-39946</w:t>
            </w:r>
          </w:p>
        </w:tc>
        <w:tc>
          <w:tcPr>
            <w:tcW w:w="3600" w:type="dxa"/>
            <w:vAlign w:val="bottom"/>
          </w:tcPr>
          <w:p>
            <w:pPr>
              <w:spacing w:after="0"/>
              <w:rPr>
                <w:sz w:val="17"/>
                <w:szCs w:val="17"/>
                <w:color w:val="auto"/>
              </w:rPr>
            </w:pPr>
          </w:p>
        </w:tc>
      </w:tr>
      <w:tr>
        <w:trPr>
          <w:trHeight w:val="36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9"/>
              </w:rPr>
              <w:t>AGRIFY CORPORATION</w:t>
            </w:r>
          </w:p>
        </w:tc>
        <w:tc>
          <w:tcPr>
            <w:tcW w:w="360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gridSpan w:val="4"/>
          </w:tcPr>
          <w:p>
            <w:pPr>
              <w:jc w:val="center"/>
              <w:ind w:right="240"/>
              <w:spacing w:after="0"/>
              <w:rPr>
                <w:sz w:val="20"/>
                <w:szCs w:val="20"/>
                <w:color w:val="auto"/>
              </w:rPr>
            </w:pPr>
            <w:r>
              <w:rPr>
                <w:rFonts w:ascii="Arial" w:cs="Arial" w:eastAsia="Arial" w:hAnsi="Arial"/>
                <w:sz w:val="16"/>
                <w:szCs w:val="16"/>
                <w:color w:val="auto"/>
                <w:w w:val="89"/>
              </w:rPr>
              <w:t>(Exact name of registrant as specified in its charter)</w:t>
            </w:r>
          </w:p>
        </w:tc>
        <w:tc>
          <w:tcPr>
            <w:tcW w:w="3600" w:type="dxa"/>
            <w:vAlign w:val="bottom"/>
          </w:tcPr>
          <w:p>
            <w:pPr>
              <w:spacing w:after="0"/>
              <w:rPr>
                <w:sz w:val="17"/>
                <w:szCs w:val="17"/>
                <w:color w:val="auto"/>
              </w:rPr>
            </w:pPr>
          </w:p>
        </w:tc>
      </w:tr>
      <w:tr>
        <w:trPr>
          <w:trHeight w:val="383"/>
        </w:trPr>
        <w:tc>
          <w:tcPr>
            <w:tcW w:w="20" w:type="dxa"/>
            <w:vAlign w:val="bottom"/>
          </w:tcPr>
          <w:p>
            <w:pPr>
              <w:spacing w:after="0"/>
              <w:rPr>
                <w:sz w:val="24"/>
                <w:szCs w:val="24"/>
                <w:color w:val="auto"/>
              </w:rPr>
            </w:pPr>
          </w:p>
        </w:tc>
        <w:tc>
          <w:tcPr>
            <w:tcW w:w="3700" w:type="dxa"/>
            <w:vAlign w:val="bottom"/>
            <w:tcBorders>
              <w:bottom w:val="single" w:sz="8" w:color="auto"/>
            </w:tcBorders>
            <w:gridSpan w:val="2"/>
          </w:tcPr>
          <w:p>
            <w:pPr>
              <w:jc w:val="center"/>
              <w:ind w:left="1701"/>
              <w:spacing w:after="0"/>
              <w:rPr>
                <w:sz w:val="20"/>
                <w:szCs w:val="20"/>
                <w:color w:val="auto"/>
              </w:rPr>
            </w:pPr>
            <w:r>
              <w:rPr>
                <w:rFonts w:ascii="Arial" w:cs="Arial" w:eastAsia="Arial" w:hAnsi="Arial"/>
                <w:sz w:val="16"/>
                <w:szCs w:val="16"/>
                <w:b w:val="1"/>
                <w:bCs w:val="1"/>
                <w:color w:val="auto"/>
                <w:w w:val="91"/>
              </w:rPr>
              <w:t>Nevada</w:t>
            </w: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ind w:right="1841"/>
              <w:spacing w:after="0"/>
              <w:rPr>
                <w:sz w:val="20"/>
                <w:szCs w:val="20"/>
                <w:color w:val="auto"/>
              </w:rPr>
            </w:pPr>
            <w:r>
              <w:rPr>
                <w:rFonts w:ascii="Arial" w:cs="Arial" w:eastAsia="Arial" w:hAnsi="Arial"/>
                <w:sz w:val="16"/>
                <w:szCs w:val="16"/>
                <w:b w:val="1"/>
                <w:bCs w:val="1"/>
                <w:color w:val="auto"/>
                <w:w w:val="88"/>
              </w:rPr>
              <w:t>30-0943453</w:t>
            </w:r>
          </w:p>
        </w:tc>
      </w:tr>
      <w:tr>
        <w:trPr>
          <w:trHeight w:val="177"/>
        </w:trPr>
        <w:tc>
          <w:tcPr>
            <w:tcW w:w="20" w:type="dxa"/>
            <w:vAlign w:val="bottom"/>
          </w:tcPr>
          <w:p>
            <w:pPr>
              <w:spacing w:after="0"/>
              <w:rPr>
                <w:sz w:val="15"/>
                <w:szCs w:val="15"/>
                <w:color w:val="auto"/>
              </w:rPr>
            </w:pPr>
          </w:p>
        </w:tc>
        <w:tc>
          <w:tcPr>
            <w:tcW w:w="3700" w:type="dxa"/>
            <w:vAlign w:val="bottom"/>
            <w:gridSpan w:val="2"/>
          </w:tcPr>
          <w:p>
            <w:pPr>
              <w:jc w:val="center"/>
              <w:ind w:left="1701"/>
              <w:spacing w:after="0" w:line="177" w:lineRule="exact"/>
              <w:rPr>
                <w:sz w:val="20"/>
                <w:szCs w:val="20"/>
                <w:color w:val="auto"/>
              </w:rPr>
            </w:pPr>
            <w:r>
              <w:rPr>
                <w:rFonts w:ascii="Arial" w:cs="Arial" w:eastAsia="Arial" w:hAnsi="Arial"/>
                <w:sz w:val="16"/>
                <w:szCs w:val="16"/>
                <w:color w:val="auto"/>
                <w:w w:val="91"/>
              </w:rPr>
              <w:t>(State or other jurisdiction of</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tcPr>
          <w:p>
            <w:pPr>
              <w:jc w:val="center"/>
              <w:ind w:right="1841"/>
              <w:spacing w:after="0" w:line="177" w:lineRule="exact"/>
              <w:rPr>
                <w:sz w:val="20"/>
                <w:szCs w:val="20"/>
                <w:color w:val="auto"/>
              </w:rPr>
            </w:pPr>
            <w:r>
              <w:rPr>
                <w:rFonts w:ascii="Arial" w:cs="Arial" w:eastAsia="Arial" w:hAnsi="Arial"/>
                <w:sz w:val="16"/>
                <w:szCs w:val="16"/>
                <w:color w:val="auto"/>
                <w:w w:val="91"/>
              </w:rPr>
              <w:t>(I.R.S. Employer</w:t>
            </w:r>
          </w:p>
        </w:tc>
      </w:tr>
      <w:tr>
        <w:trPr>
          <w:trHeight w:val="200"/>
        </w:trPr>
        <w:tc>
          <w:tcPr>
            <w:tcW w:w="20" w:type="dxa"/>
            <w:vAlign w:val="bottom"/>
          </w:tcPr>
          <w:p>
            <w:pPr>
              <w:spacing w:after="0"/>
              <w:rPr>
                <w:sz w:val="17"/>
                <w:szCs w:val="17"/>
                <w:color w:val="auto"/>
              </w:rPr>
            </w:pPr>
          </w:p>
        </w:tc>
        <w:tc>
          <w:tcPr>
            <w:tcW w:w="3700" w:type="dxa"/>
            <w:vAlign w:val="bottom"/>
            <w:gridSpan w:val="2"/>
          </w:tcPr>
          <w:p>
            <w:pPr>
              <w:jc w:val="center"/>
              <w:ind w:left="1681"/>
              <w:spacing w:after="0"/>
              <w:rPr>
                <w:sz w:val="20"/>
                <w:szCs w:val="20"/>
                <w:color w:val="auto"/>
              </w:rPr>
            </w:pPr>
            <w:r>
              <w:rPr>
                <w:rFonts w:ascii="Arial" w:cs="Arial" w:eastAsia="Arial" w:hAnsi="Arial"/>
                <w:sz w:val="16"/>
                <w:szCs w:val="16"/>
                <w:color w:val="auto"/>
                <w:w w:val="91"/>
              </w:rPr>
              <w:t>incorporation or organization)</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841"/>
              <w:spacing w:after="0"/>
              <w:rPr>
                <w:sz w:val="20"/>
                <w:szCs w:val="20"/>
                <w:color w:val="auto"/>
              </w:rPr>
            </w:pPr>
            <w:r>
              <w:rPr>
                <w:rFonts w:ascii="Arial" w:cs="Arial" w:eastAsia="Arial" w:hAnsi="Arial"/>
                <w:sz w:val="16"/>
                <w:szCs w:val="16"/>
                <w:color w:val="auto"/>
                <w:w w:val="93"/>
              </w:rPr>
              <w:t>Identification No.)</w:t>
            </w:r>
          </w:p>
        </w:tc>
      </w:tr>
      <w:tr>
        <w:trPr>
          <w:trHeight w:val="36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1"/>
              </w:rPr>
              <w:t>2468 Industrial Row Dr.,</w:t>
            </w:r>
          </w:p>
        </w:tc>
        <w:tc>
          <w:tcPr>
            <w:tcW w:w="360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0"/>
              </w:rPr>
              <w:t>Troy, Michigan, 48084</w:t>
            </w:r>
          </w:p>
        </w:tc>
        <w:tc>
          <w:tcPr>
            <w:tcW w:w="360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gridSpan w:val="5"/>
          </w:tcPr>
          <w:p>
            <w:pPr>
              <w:jc w:val="center"/>
              <w:ind w:right="120"/>
              <w:spacing w:after="0"/>
              <w:rPr>
                <w:sz w:val="20"/>
                <w:szCs w:val="20"/>
                <w:color w:val="auto"/>
              </w:rPr>
            </w:pPr>
            <w:r>
              <w:rPr>
                <w:rFonts w:ascii="Arial" w:cs="Arial" w:eastAsia="Arial" w:hAnsi="Arial"/>
                <w:sz w:val="16"/>
                <w:szCs w:val="16"/>
                <w:color w:val="auto"/>
                <w:w w:val="91"/>
              </w:rPr>
              <w:t>(Address of principal executive offices, including zip code)</w:t>
            </w:r>
          </w:p>
        </w:tc>
        <w:tc>
          <w:tcPr>
            <w:tcW w:w="3600" w:type="dxa"/>
            <w:vAlign w:val="bottom"/>
          </w:tcPr>
          <w:p>
            <w:pPr>
              <w:spacing w:after="0"/>
              <w:rPr>
                <w:sz w:val="17"/>
                <w:szCs w:val="17"/>
                <w:color w:val="auto"/>
              </w:rPr>
            </w:pPr>
          </w:p>
        </w:tc>
      </w:tr>
      <w:tr>
        <w:trPr>
          <w:trHeight w:val="36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4"/>
          </w:tcPr>
          <w:p>
            <w:pPr>
              <w:jc w:val="center"/>
              <w:ind w:left="21"/>
              <w:spacing w:after="0"/>
              <w:rPr>
                <w:sz w:val="20"/>
                <w:szCs w:val="20"/>
                <w:color w:val="auto"/>
              </w:rPr>
            </w:pPr>
            <w:r>
              <w:rPr>
                <w:rFonts w:ascii="Arial" w:cs="Arial" w:eastAsia="Arial" w:hAnsi="Arial"/>
                <w:sz w:val="16"/>
                <w:szCs w:val="16"/>
                <w:b w:val="1"/>
                <w:bCs w:val="1"/>
                <w:color w:val="auto"/>
                <w:w w:val="89"/>
              </w:rPr>
              <w:t>(617) 896-5243</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gridSpan w:val="4"/>
          </w:tcPr>
          <w:p>
            <w:pPr>
              <w:jc w:val="center"/>
              <w:ind w:right="260"/>
              <w:spacing w:after="0"/>
              <w:rPr>
                <w:sz w:val="20"/>
                <w:szCs w:val="20"/>
                <w:color w:val="auto"/>
              </w:rPr>
            </w:pPr>
            <w:r>
              <w:rPr>
                <w:rFonts w:ascii="Arial" w:cs="Arial" w:eastAsia="Arial" w:hAnsi="Arial"/>
                <w:sz w:val="16"/>
                <w:szCs w:val="16"/>
                <w:color w:val="auto"/>
                <w:w w:val="89"/>
              </w:rPr>
              <w:t>(Registrant’s phone number, including area code)</w:t>
            </w:r>
          </w:p>
        </w:tc>
        <w:tc>
          <w:tcPr>
            <w:tcW w:w="3600" w:type="dxa"/>
            <w:vAlign w:val="bottom"/>
          </w:tcPr>
          <w:p>
            <w:pPr>
              <w:spacing w:after="0"/>
              <w:rPr>
                <w:sz w:val="17"/>
                <w:szCs w:val="17"/>
                <w:color w:val="auto"/>
              </w:rPr>
            </w:pPr>
          </w:p>
        </w:tc>
      </w:tr>
      <w:tr>
        <w:trPr>
          <w:trHeight w:val="378"/>
        </w:trPr>
        <w:tc>
          <w:tcPr>
            <w:tcW w:w="3720" w:type="dxa"/>
            <w:vAlign w:val="bottom"/>
            <w:gridSpan w:val="3"/>
          </w:tcPr>
          <w:p>
            <w:pPr>
              <w:jc w:val="center"/>
              <w:ind w:right="100"/>
              <w:spacing w:after="0"/>
              <w:rPr>
                <w:sz w:val="20"/>
                <w:szCs w:val="20"/>
                <w:color w:val="auto"/>
              </w:rPr>
            </w:pPr>
            <w:r>
              <w:rPr>
                <w:rFonts w:ascii="Arial" w:cs="Arial" w:eastAsia="Arial" w:hAnsi="Arial"/>
                <w:sz w:val="16"/>
                <w:szCs w:val="16"/>
                <w:color w:val="auto"/>
                <w:w w:val="89"/>
              </w:rPr>
              <w:t>Securities registered pursuant to Section 12(b) of the Act:</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83"/>
        </w:trPr>
        <w:tc>
          <w:tcPr>
            <w:tcW w:w="20" w:type="dxa"/>
            <w:vAlign w:val="bottom"/>
          </w:tcPr>
          <w:p>
            <w:pPr>
              <w:spacing w:after="0"/>
              <w:rPr>
                <w:sz w:val="24"/>
                <w:szCs w:val="24"/>
                <w:color w:val="auto"/>
              </w:rPr>
            </w:pPr>
          </w:p>
        </w:tc>
        <w:tc>
          <w:tcPr>
            <w:tcW w:w="37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Title of each class</w:t>
            </w:r>
          </w:p>
        </w:tc>
        <w:tc>
          <w:tcPr>
            <w:tcW w:w="120" w:type="dxa"/>
            <w:vAlign w:val="bottom"/>
          </w:tcPr>
          <w:p>
            <w:pPr>
              <w:spacing w:after="0"/>
              <w:rPr>
                <w:sz w:val="24"/>
                <w:szCs w:val="24"/>
                <w:color w:val="auto"/>
              </w:rPr>
            </w:pPr>
          </w:p>
        </w:tc>
        <w:tc>
          <w:tcPr>
            <w:tcW w:w="382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189"/>
        </w:trPr>
        <w:tc>
          <w:tcPr>
            <w:tcW w:w="20" w:type="dxa"/>
            <w:vAlign w:val="bottom"/>
          </w:tcPr>
          <w:p>
            <w:pPr>
              <w:spacing w:after="0"/>
              <w:rPr>
                <w:sz w:val="16"/>
                <w:szCs w:val="16"/>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Common Stock, par value $0.001 per share</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rPr>
              <w:t>AGFY</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NASDAQ Capital Market</w:t>
            </w:r>
          </w:p>
        </w:tc>
      </w:tr>
    </w:tbl>
    <w:p>
      <w:pPr>
        <w:spacing w:after="0" w:line="177" w:lineRule="exact"/>
        <w:rPr>
          <w:sz w:val="24"/>
          <w:szCs w:val="24"/>
          <w:color w:val="auto"/>
        </w:rPr>
      </w:pPr>
    </w:p>
    <w:p>
      <w:pPr>
        <w:ind w:right="160"/>
        <w:spacing w:after="0" w:line="34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4" w:lineRule="exact"/>
        <w:rPr>
          <w:sz w:val="24"/>
          <w:szCs w:val="24"/>
          <w:color w:val="auto"/>
        </w:rPr>
      </w:pPr>
    </w:p>
    <w:p>
      <w:pPr>
        <w:ind w:left="102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2" w:lineRule="exact"/>
        <w:rPr>
          <w:sz w:val="24"/>
          <w:szCs w:val="24"/>
          <w:color w:val="auto"/>
        </w:rPr>
      </w:pPr>
    </w:p>
    <w:p>
      <w:pPr>
        <w:ind w:right="60"/>
        <w:spacing w:after="0" w:line="26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9" w:lineRule="exact"/>
        <w:rPr>
          <w:sz w:val="24"/>
          <w:szCs w:val="24"/>
          <w:color w:val="auto"/>
        </w:rPr>
      </w:pPr>
    </w:p>
    <w:p>
      <w:pPr>
        <w:ind w:left="102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2" w:lineRule="exact"/>
        <w:rPr>
          <w:sz w:val="24"/>
          <w:szCs w:val="24"/>
          <w:color w:val="auto"/>
        </w:rPr>
      </w:pPr>
    </w:p>
    <w:p>
      <w:pPr>
        <w:ind w:right="160"/>
        <w:spacing w:after="0" w:line="34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8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500"/>
              <w:spacing w:after="0"/>
              <w:rPr>
                <w:sz w:val="20"/>
                <w:szCs w:val="20"/>
                <w:color w:val="auto"/>
              </w:rPr>
            </w:pPr>
            <w:r>
              <w:rPr>
                <w:rFonts w:ascii="Arial" w:cs="Arial" w:eastAsia="Arial" w:hAnsi="Arial"/>
                <w:sz w:val="16"/>
                <w:szCs w:val="16"/>
                <w:color w:val="auto"/>
              </w:rPr>
              <w:t>Accelerated filer</w:t>
            </w:r>
          </w:p>
        </w:tc>
        <w:tc>
          <w:tcPr>
            <w:tcW w:w="1540" w:type="dxa"/>
            <w:vAlign w:val="bottom"/>
          </w:tcPr>
          <w:p>
            <w:pPr>
              <w:ind w:left="1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18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500"/>
              <w:spacing w:after="0"/>
              <w:rPr>
                <w:sz w:val="20"/>
                <w:szCs w:val="20"/>
                <w:color w:val="auto"/>
              </w:rPr>
            </w:pPr>
            <w:r>
              <w:rPr>
                <w:rFonts w:ascii="Arial" w:cs="Arial" w:eastAsia="Arial" w:hAnsi="Arial"/>
                <w:sz w:val="16"/>
                <w:szCs w:val="16"/>
                <w:color w:val="auto"/>
              </w:rPr>
              <w:t>Smaller reporting company</w:t>
            </w:r>
          </w:p>
        </w:tc>
        <w:tc>
          <w:tcPr>
            <w:tcW w:w="1540" w:type="dxa"/>
            <w:vAlign w:val="bottom"/>
          </w:tcPr>
          <w:p>
            <w:pPr>
              <w:ind w:left="1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4"/>
        </w:trPr>
        <w:tc>
          <w:tcPr>
            <w:tcW w:w="29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600" w:type="dxa"/>
            <w:vAlign w:val="bottom"/>
          </w:tcPr>
          <w:p>
            <w:pPr>
              <w:ind w:left="500"/>
              <w:spacing w:after="0"/>
              <w:rPr>
                <w:sz w:val="20"/>
                <w:szCs w:val="20"/>
                <w:color w:val="auto"/>
              </w:rPr>
            </w:pPr>
            <w:r>
              <w:rPr>
                <w:rFonts w:ascii="Arial" w:cs="Arial" w:eastAsia="Arial" w:hAnsi="Arial"/>
                <w:sz w:val="16"/>
                <w:szCs w:val="16"/>
                <w:color w:val="auto"/>
              </w:rPr>
              <w:t>Emerging growth company</w:t>
            </w:r>
          </w:p>
        </w:tc>
        <w:tc>
          <w:tcPr>
            <w:tcW w:w="1540" w:type="dxa"/>
            <w:vAlign w:val="bottom"/>
          </w:tcPr>
          <w:p>
            <w:pPr>
              <w:ind w:left="13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49" w:lineRule="exact"/>
        <w:rPr>
          <w:sz w:val="24"/>
          <w:szCs w:val="24"/>
          <w:color w:val="auto"/>
        </w:rPr>
      </w:pPr>
    </w:p>
    <w:p>
      <w:pPr>
        <w:ind w:right="32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57" w:lineRule="exact"/>
        <w:rPr>
          <w:sz w:val="24"/>
          <w:szCs w:val="24"/>
          <w:color w:val="auto"/>
        </w:rPr>
      </w:pPr>
    </w:p>
    <w:p>
      <w:pPr>
        <w:ind w:left="102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57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Class</w:t>
            </w:r>
          </w:p>
        </w:tc>
        <w:tc>
          <w:tcPr>
            <w:tcW w:w="5520" w:type="dxa"/>
            <w:vAlign w:val="bottom"/>
          </w:tcPr>
          <w:p>
            <w:pPr>
              <w:jc w:val="center"/>
              <w:spacing w:after="0"/>
              <w:rPr>
                <w:sz w:val="20"/>
                <w:szCs w:val="20"/>
                <w:color w:val="auto"/>
              </w:rPr>
            </w:pPr>
            <w:r>
              <w:rPr>
                <w:rFonts w:ascii="Arial" w:cs="Arial" w:eastAsia="Arial" w:hAnsi="Arial"/>
                <w:sz w:val="16"/>
                <w:szCs w:val="16"/>
                <w:b w:val="1"/>
                <w:bCs w:val="1"/>
                <w:color w:val="auto"/>
                <w:w w:val="88"/>
              </w:rPr>
              <w:t>Outstanding as of May 12, 2022</w:t>
            </w:r>
          </w:p>
        </w:tc>
      </w:tr>
      <w:tr>
        <w:trPr>
          <w:trHeight w:val="189"/>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Common Stock, $0.001 par value</w:t>
            </w:r>
          </w:p>
        </w:tc>
        <w:tc>
          <w:tcPr>
            <w:tcW w:w="220" w:type="dxa"/>
            <w:vAlign w:val="bottom"/>
            <w:tcBorders>
              <w:top w:val="single" w:sz="8" w:color="CCEEFF"/>
            </w:tcBorders>
            <w:shd w:val="clear" w:color="auto" w:fill="CCEEFF"/>
          </w:tcPr>
          <w:p>
            <w:pPr>
              <w:spacing w:after="0"/>
              <w:rPr>
                <w:sz w:val="16"/>
                <w:szCs w:val="16"/>
                <w:color w:val="auto"/>
              </w:rPr>
            </w:pPr>
          </w:p>
        </w:tc>
        <w:tc>
          <w:tcPr>
            <w:tcW w:w="5520" w:type="dxa"/>
            <w:vAlign w:val="bottom"/>
            <w:tcBorders>
              <w:top w:val="single" w:sz="8" w:color="auto"/>
            </w:tcBorders>
            <w:shd w:val="clear" w:color="auto" w:fill="CCEEFF"/>
          </w:tcPr>
          <w:p>
            <w:pPr>
              <w:jc w:val="right"/>
              <w:ind w:right="2421"/>
              <w:spacing w:after="0"/>
              <w:rPr>
                <w:sz w:val="20"/>
                <w:szCs w:val="20"/>
                <w:color w:val="auto"/>
              </w:rPr>
            </w:pPr>
            <w:r>
              <w:rPr>
                <w:rFonts w:ascii="Arial" w:cs="Arial" w:eastAsia="Arial" w:hAnsi="Arial"/>
                <w:sz w:val="16"/>
                <w:szCs w:val="16"/>
                <w:color w:val="auto"/>
              </w:rPr>
              <w:t>132,957</w:t>
            </w:r>
          </w:p>
        </w:tc>
      </w:tr>
      <w:tr>
        <w:trPr>
          <w:trHeight w:val="189"/>
        </w:trPr>
        <w:tc>
          <w:tcPr>
            <w:tcW w:w="5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520" w:type="dxa"/>
            <w:vAlign w:val="bottom"/>
            <w:tcBorders>
              <w:bottom w:val="single" w:sz="8" w:color="auto"/>
            </w:tcBorders>
          </w:tcPr>
          <w:p>
            <w:pPr>
              <w:spacing w:after="0"/>
              <w:rPr>
                <w:sz w:val="16"/>
                <w:szCs w:val="16"/>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r>
      <w:tr>
        <w:trPr>
          <w:trHeight w:val="570"/>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466"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EXPLANATORY NOTE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References throughout this Amendment No. 1 to the Quarterly Report on Form 10-Q to “we,” “us,” the “Company” or “our company” are to Agrify Corporation.</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This Amendment No. 1 (“Amendment No. 1”) to the Quarterly Report on Form 10-Q/A amends the Quarterly Report on Form 10-Q of Agrify Corporation for the quarter ended March 31, 2022, as filed with the Securities and Exchange Commission (“SEC”) on May 16, 2022 (the “Original Filing”).</w:t>
      </w:r>
    </w:p>
    <w:p>
      <w:pPr>
        <w:spacing w:after="0" w:line="157" w:lineRule="exact"/>
        <w:rPr>
          <w:sz w:val="20"/>
          <w:szCs w:val="20"/>
          <w:color w:val="auto"/>
        </w:rPr>
      </w:pPr>
    </w:p>
    <w:p>
      <w:pPr>
        <w:ind w:right="180"/>
        <w:spacing w:after="0" w:line="296" w:lineRule="auto"/>
        <w:rPr>
          <w:sz w:val="20"/>
          <w:szCs w:val="20"/>
          <w:color w:val="auto"/>
        </w:rPr>
      </w:pPr>
      <w:r>
        <w:rPr>
          <w:rFonts w:ascii="Arial" w:cs="Arial" w:eastAsia="Arial" w:hAnsi="Arial"/>
          <w:sz w:val="14"/>
          <w:szCs w:val="14"/>
          <w:color w:val="auto"/>
        </w:rPr>
        <w:t>On April 12, 2023, the Audit Committee of the Board of Directors (the “Audit Committee”) of Agrify Corporation (the “Company”), in consultation with management of the Company and the Company’s independent registered public accounting firm, Marcum LLP (“Marcum”), concluded that the Company’s previously issued unaudited condensed consolidated interim financial statements as of and for the fiscal periods ended March 31, 2022, June 30, 2022 and September 30, 2022 included in the Company’s Quarterly Reports on Form 10-Q for such periods, should no longer be relied upon. Similarly, earnings releases, and investor communications describing the financial statements for the periods described above should no longer be relied upon. The Company identified errors in the accounting for warrants previously issued by the Company.</w:t>
      </w:r>
    </w:p>
    <w:p>
      <w:pPr>
        <w:spacing w:after="0" w:line="143"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Specifically, the Audit Committee concluded 15,081 warrants issued in a private placement on January 28, 2022 and 34,406 warrants issued in a private placement on March 23, 2022 (collectively, the “Warrants”) should have been classified as a liability measured at fair value, with changes in fair value each period reported in earnings, rather than as a component of equity. The change in fair value of the Warrants is a non-cash charge and will be reflected in the Company’s statement of operations. Additionally, debt issuance costs were classified as an asset rather than a liability. The change will be reflected in the Company’s balance sheet.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As such, the Company is restating in this Form 10-Q/A the unaudited condensed consolidated interim financial statements for the three-month period ended March 31, 2022.</w:t>
      </w:r>
    </w:p>
    <w:p>
      <w:pPr>
        <w:spacing w:after="0" w:line="21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are filing this Amendment No. 1 to amend and restate the Original Filing with modification as necessary to reflect the restatement. The following items have been amended to reflect the restatement: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Part I, Item 1,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Part I, Item 2, Management’s Discussion and Analysis of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Part I, Item 4, 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Part II, Item 1A, Risk Factors</w:t>
      </w:r>
    </w:p>
    <w:p>
      <w:pPr>
        <w:spacing w:after="0" w:line="19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Except as described above and set forth in this Amendment No. 1, this Amendment No. 1 does not amend or update any other information contained in the Original Filing. This Amendment No. 1 does not purport to reflect any information or events subsequent to the Original Filing, except as expressly described herein. Accordingly, this Amendment No. 1 should be read in conjunction with the Original Filing and with our filings with the SEC subsequent to the Original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714946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20" w:type="dxa"/>
            <w:vAlign w:val="bottom"/>
            <w:gridSpan w:val="8"/>
          </w:tcPr>
          <w:p>
            <w:pPr>
              <w:ind w:left="160"/>
              <w:spacing w:after="0"/>
              <w:rPr>
                <w:sz w:val="20"/>
                <w:szCs w:val="20"/>
                <w:color w:val="auto"/>
              </w:rPr>
            </w:pPr>
            <w:r>
              <w:rPr>
                <w:rFonts w:ascii="Arial" w:cs="Arial" w:eastAsia="Arial" w:hAnsi="Arial"/>
                <w:sz w:val="16"/>
                <w:szCs w:val="16"/>
                <w:b w:val="1"/>
                <w:bCs w:val="1"/>
                <w:color w:val="auto"/>
              </w:rPr>
              <w:t>TABLE OF CONTENTS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PART I</w:t>
            </w:r>
          </w:p>
        </w:tc>
        <w:tc>
          <w:tcPr>
            <w:tcW w:w="9120" w:type="dxa"/>
            <w:vAlign w:val="bottom"/>
            <w:gridSpan w:val="18"/>
            <w:shd w:val="clear" w:color="auto" w:fill="CCEEFF"/>
          </w:tcPr>
          <w:p>
            <w:pPr>
              <w:ind w:left="20"/>
              <w:spacing w:after="0" w:line="122" w:lineRule="exact"/>
              <w:rPr>
                <w:sz w:val="20"/>
                <w:szCs w:val="20"/>
                <w:color w:val="auto"/>
              </w:rPr>
            </w:pPr>
            <w:r>
              <w:rPr>
                <w:rFonts w:ascii="Arial" w:cs="Arial" w:eastAsia="Arial" w:hAnsi="Arial"/>
                <w:sz w:val="14"/>
                <w:szCs w:val="14"/>
                <w:b w:val="1"/>
                <w:bCs w:val="1"/>
                <w:color w:val="0000EE"/>
              </w:rPr>
              <w:t>FINANCIAL INFORMATION</w:t>
            </w:r>
          </w:p>
        </w:tc>
        <w:tc>
          <w:tcPr>
            <w:tcW w:w="102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auto"/>
              </w:rPr>
              <w:t>ITEM 1.</w:t>
            </w: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rPr>
              <w:t>FINANCIAL STATEMENTS</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rPr>
              <w:t>Condensed Consolidated Balance Sheets as of March 31, 2022 (unaudited) and December 31, 2021</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8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w w:val="98"/>
              </w:rPr>
              <w:t>Condensed Consolidated Statements of Operations for the three months ended March 31, 2022 (unaudited) and 2021 (unaudited)</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8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w w:val="92"/>
              </w:rPr>
              <w:t>Condensed Consolidated Statements of Stockholders’ Equity for the three months ended March 31, 2022 (unaudited) and 2021 (unaudited)</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8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w w:val="98"/>
              </w:rPr>
              <w:t>Condensed Consolidated Statements of Cash Flows for the three months ended March 31, 2022 (unaudited) and 2021 (unaudited)</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8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rPr>
              <w:t>Notes to Condensed Consolidated Financial Statements</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auto"/>
              </w:rPr>
              <w:t>ITEM 2.</w:t>
            </w: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78"/>
              </w:rPr>
              <w:t>56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8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auto"/>
              </w:rPr>
              <w:t>ITEM 3.</w:t>
            </w: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rPr>
              <w:t>QUANTITATIVE AND QUALITATIVE DISCLOSURES ABOUT MARKET RISK</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78"/>
              </w:rPr>
              <w:t>73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8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auto"/>
              </w:rPr>
              <w:t>ITEM 4.</w:t>
            </w: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rPr>
              <w:t>CONTROLS AND PROCEDURES</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78"/>
              </w:rPr>
              <w:t>73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b w:val="1"/>
                <w:bCs w:val="1"/>
                <w:color w:val="auto"/>
              </w:rPr>
              <w:t>PART II</w:t>
            </w: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b w:val="1"/>
                <w:bCs w:val="1"/>
                <w:color w:val="0000EE"/>
              </w:rPr>
              <w:t>OTHER INFORMATION</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78"/>
              </w:rPr>
              <w:t>74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auto"/>
              </w:rPr>
              <w:t>ITEM 1.</w:t>
            </w: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rPr>
              <w:t>LEGAL PROCEEDINGS</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78"/>
              </w:rPr>
              <w:t>74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auto"/>
              </w:rPr>
              <w:t>ITEM 1A.</w:t>
            </w: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rPr>
              <w:t>RISK FACTORS</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78"/>
              </w:rPr>
              <w:t>74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auto"/>
              </w:rPr>
              <w:t>ITEM 2.</w:t>
            </w: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rPr>
              <w:t>UNREGISTERED SALES OF EQUITY SECURITIES AND USE OF PROCEEDS</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78"/>
              </w:rPr>
              <w:t>74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82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auto"/>
              </w:rPr>
              <w:t>ITEM 3.</w:t>
            </w: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rPr>
              <w:t>DEFAULTS UPON SENIOR SECURITIES</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78"/>
              </w:rPr>
              <w:t>74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auto"/>
              </w:rPr>
              <w:t>ITEM 4.</w:t>
            </w: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rPr>
              <w:t>MINE SAFETY DISCLOSURES</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78"/>
              </w:rPr>
              <w:t>74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auto"/>
              </w:rPr>
              <w:t>ITEM 5.</w:t>
            </w: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rPr>
              <w:t>OTHER INFORMATION</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78"/>
              </w:rPr>
              <w:t>74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0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auto"/>
              </w:rPr>
              <w:t>ITEM 6.</w:t>
            </w:r>
          </w:p>
        </w:tc>
        <w:tc>
          <w:tcPr>
            <w:tcW w:w="9120" w:type="dxa"/>
            <w:vAlign w:val="bottom"/>
            <w:gridSpan w:val="18"/>
            <w:shd w:val="clear" w:color="auto" w:fill="CCEEFF"/>
          </w:tcPr>
          <w:p>
            <w:pPr>
              <w:ind w:left="20"/>
              <w:spacing w:after="0" w:line="154" w:lineRule="exact"/>
              <w:rPr>
                <w:sz w:val="20"/>
                <w:szCs w:val="20"/>
                <w:color w:val="auto"/>
              </w:rPr>
            </w:pPr>
            <w:r>
              <w:rPr>
                <w:rFonts w:ascii="Arial" w:cs="Arial" w:eastAsia="Arial" w:hAnsi="Arial"/>
                <w:sz w:val="16"/>
                <w:szCs w:val="16"/>
                <w:color w:val="0000EE"/>
              </w:rPr>
              <w:t>EXHIBITS</w:t>
            </w: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78"/>
              </w:rPr>
              <w:t>75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110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b w:val="1"/>
                <w:bCs w:val="1"/>
                <w:color w:val="0000EE"/>
              </w:rPr>
              <w:t>SIGNATURES</w:t>
            </w: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78"/>
              </w:rPr>
              <w:t>76</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 w:name="page4"/>
    <w:bookmarkEnd w:id="3"/>
    <w:tbl>
      <w:tblPr>
        <w:tblLayout w:type="fixed"/>
        <w:tblInd w:w="5"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580" w:type="dxa"/>
            <w:vAlign w:val="bottom"/>
          </w:tcPr>
          <w:p>
            <w:pPr>
              <w:jc w:val="center"/>
              <w:ind w:left="2541"/>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8600" w:type="dxa"/>
            <w:vAlign w:val="bottom"/>
            <w:gridSpan w:val="2"/>
          </w:tcPr>
          <w:p>
            <w:pPr>
              <w:spacing w:after="0"/>
              <w:rPr>
                <w:sz w:val="20"/>
                <w:szCs w:val="20"/>
                <w:color w:val="auto"/>
              </w:rPr>
            </w:pPr>
            <w:r>
              <w:rPr>
                <w:rFonts w:ascii="Arial" w:cs="Arial" w:eastAsia="Arial" w:hAnsi="Arial"/>
                <w:sz w:val="16"/>
                <w:szCs w:val="16"/>
                <w:b w:val="1"/>
                <w:bCs w:val="1"/>
                <w:color w:val="auto"/>
              </w:rPr>
              <w:t>Item 1.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580" w:type="dxa"/>
            <w:vAlign w:val="bottom"/>
          </w:tcPr>
          <w:p>
            <w:pPr>
              <w:jc w:val="center"/>
              <w:ind w:left="2541"/>
              <w:spacing w:after="0"/>
              <w:rPr>
                <w:sz w:val="20"/>
                <w:szCs w:val="20"/>
                <w:color w:val="auto"/>
              </w:rPr>
            </w:pPr>
            <w:r>
              <w:rPr>
                <w:rFonts w:ascii="Arial" w:cs="Arial" w:eastAsia="Arial" w:hAnsi="Arial"/>
                <w:sz w:val="16"/>
                <w:szCs w:val="16"/>
                <w:b w:val="1"/>
                <w:bCs w:val="1"/>
                <w:color w:val="auto"/>
                <w:w w:val="99"/>
              </w:rPr>
              <w:t>AGRIFY CORPORATION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tcPr>
          <w:p>
            <w:pPr>
              <w:jc w:val="center"/>
              <w:ind w:left="2541"/>
              <w:spacing w:after="0"/>
              <w:rPr>
                <w:sz w:val="20"/>
                <w:szCs w:val="20"/>
                <w:color w:val="auto"/>
              </w:rPr>
            </w:pPr>
            <w:r>
              <w:rPr>
                <w:rFonts w:ascii="Arial" w:cs="Arial" w:eastAsia="Arial" w:hAnsi="Arial"/>
                <w:sz w:val="16"/>
                <w:szCs w:val="16"/>
                <w:b w:val="1"/>
                <w:bCs w:val="1"/>
                <w:color w:val="auto"/>
                <w:w w:val="97"/>
              </w:rPr>
              <w:t>CONDENSED CONSOLIDATED BALANCE SHEETS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580" w:type="dxa"/>
            <w:vAlign w:val="bottom"/>
          </w:tcPr>
          <w:p>
            <w:pPr>
              <w:jc w:val="center"/>
              <w:ind w:left="2541"/>
              <w:spacing w:after="0"/>
              <w:rPr>
                <w:sz w:val="20"/>
                <w:szCs w:val="20"/>
                <w:color w:val="auto"/>
              </w:rPr>
            </w:pPr>
            <w:r>
              <w:rPr>
                <w:rFonts w:ascii="Arial" w:cs="Arial" w:eastAsia="Arial" w:hAnsi="Arial"/>
                <w:sz w:val="16"/>
                <w:szCs w:val="16"/>
                <w:b w:val="1"/>
                <w:bCs w:val="1"/>
                <w:color w:val="auto"/>
                <w:w w:val="87"/>
              </w:rPr>
              <w:t>(In thousands, except share and per share data)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March 31,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42"/>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Restated)</w:t>
            </w:r>
          </w:p>
        </w:tc>
        <w:tc>
          <w:tcPr>
            <w:tcW w:w="80" w:type="dxa"/>
            <w:vAlign w:val="bottom"/>
          </w:tcPr>
          <w:p>
            <w:pPr>
              <w:spacing w:after="0"/>
              <w:rPr>
                <w:sz w:val="18"/>
                <w:szCs w:val="18"/>
                <w:color w:val="auto"/>
              </w:rPr>
            </w:pPr>
          </w:p>
        </w:tc>
        <w:tc>
          <w:tcPr>
            <w:tcW w:w="1040" w:type="dxa"/>
            <w:vAlign w:val="bottom"/>
          </w:tcPr>
          <w:p>
            <w:pPr>
              <w:jc w:val="right"/>
              <w:ind w:right="34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6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42"/>
              <w:spacing w:after="0"/>
              <w:rPr>
                <w:sz w:val="20"/>
                <w:szCs w:val="20"/>
                <w:color w:val="auto"/>
              </w:rPr>
            </w:pPr>
            <w:r>
              <w:rPr>
                <w:rFonts w:ascii="Arial" w:cs="Arial" w:eastAsia="Arial" w:hAnsi="Arial"/>
                <w:sz w:val="16"/>
                <w:szCs w:val="16"/>
                <w:color w:val="auto"/>
                <w:w w:val="90"/>
              </w:rPr>
              <w:t>(Unaudited)</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6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25,205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30,000</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Marketable securities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38,211</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44,550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580" w:type="dxa"/>
            <w:vAlign w:val="bottom"/>
          </w:tcPr>
          <w:p>
            <w:pPr>
              <w:ind w:left="120"/>
              <w:spacing w:after="0" w:line="177" w:lineRule="exact"/>
              <w:rPr>
                <w:sz w:val="20"/>
                <w:szCs w:val="20"/>
                <w:color w:val="auto"/>
              </w:rPr>
            </w:pPr>
            <w:r>
              <w:rPr>
                <w:rFonts w:ascii="Arial" w:cs="Arial" w:eastAsia="Arial" w:hAnsi="Arial"/>
                <w:sz w:val="16"/>
                <w:szCs w:val="16"/>
                <w:color w:val="auto"/>
                <w:w w:val="94"/>
              </w:rPr>
              <w:t>Accounts receivable, net of allowance for doubtful accounts of $1,415 and $1,415 at March 31, 2022 and December 31, 2021,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580" w:type="dxa"/>
            <w:vAlign w:val="bottom"/>
          </w:tcPr>
          <w:p>
            <w:pPr>
              <w:ind w:left="260"/>
              <w:spacing w:after="0"/>
              <w:rPr>
                <w:sz w:val="20"/>
                <w:szCs w:val="20"/>
                <w:color w:val="auto"/>
              </w:rPr>
            </w:pPr>
            <w:r>
              <w:rPr>
                <w:rFonts w:ascii="Arial" w:cs="Arial" w:eastAsia="Arial" w:hAnsi="Arial"/>
                <w:sz w:val="16"/>
                <w:szCs w:val="16"/>
                <w:color w:val="auto"/>
              </w:rPr>
              <w:t>respectively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8,571</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 net of reserves of $942 and $942 at March 31, 2022 and December 31, 2021, respectively</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38,989</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tcPr>
          <w:p>
            <w:pPr>
              <w:ind w:left="120"/>
              <w:spacing w:after="0"/>
              <w:rPr>
                <w:sz w:val="20"/>
                <w:szCs w:val="20"/>
                <w:color w:val="auto"/>
              </w:rPr>
            </w:pPr>
            <w:r>
              <w:rPr>
                <w:rFonts w:ascii="Arial" w:cs="Arial" w:eastAsia="Arial" w:hAnsi="Arial"/>
                <w:sz w:val="16"/>
                <w:szCs w:val="16"/>
                <w:color w:val="auto"/>
              </w:rPr>
              <w:t>Prepaid and refundable taxes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6,448</w:t>
            </w:r>
          </w:p>
        </w:tc>
        <w:tc>
          <w:tcPr>
            <w:tcW w:w="8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580" w:type="dxa"/>
            <w:vAlign w:val="bottom"/>
            <w:tcBorders>
              <w:top w:val="single" w:sz="8" w:color="CCEEFF"/>
            </w:tcBorders>
          </w:tcPr>
          <w:p>
            <w:pPr>
              <w:ind w:left="260"/>
              <w:spacing w:after="0" w:line="173" w:lineRule="exact"/>
              <w:rPr>
                <w:sz w:val="20"/>
                <w:szCs w:val="20"/>
                <w:color w:val="auto"/>
              </w:rPr>
            </w:pPr>
            <w:r>
              <w:rPr>
                <w:rFonts w:ascii="Arial" w:cs="Arial" w:eastAsia="Arial" w:hAnsi="Arial"/>
                <w:sz w:val="16"/>
                <w:szCs w:val="16"/>
                <w:color w:val="auto"/>
              </w:rPr>
              <w:t>Total current assets</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147,618</w:t>
            </w: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86,736</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Loan receivable</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34,738</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7,055</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 net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1,554</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tcPr>
          <w:p>
            <w:pPr>
              <w:spacing w:after="0"/>
              <w:rPr>
                <w:sz w:val="20"/>
                <w:szCs w:val="20"/>
                <w:color w:val="auto"/>
              </w:rPr>
            </w:pPr>
            <w:r>
              <w:rPr>
                <w:rFonts w:ascii="Arial" w:cs="Arial" w:eastAsia="Arial" w:hAnsi="Arial"/>
                <w:sz w:val="16"/>
                <w:szCs w:val="16"/>
                <w:color w:val="auto"/>
              </w:rPr>
              <w:t>Goodwill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54,544</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50,090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15,861</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14,072</w:t>
            </w:r>
          </w:p>
        </w:tc>
        <w:tc>
          <w:tcPr>
            <w:tcW w:w="0" w:type="dxa"/>
            <w:vAlign w:val="bottom"/>
          </w:tcPr>
          <w:p>
            <w:pPr>
              <w:spacing w:after="0"/>
              <w:rPr>
                <w:sz w:val="1"/>
                <w:szCs w:val="1"/>
                <w:color w:val="auto"/>
              </w:rPr>
            </w:pPr>
          </w:p>
        </w:tc>
      </w:tr>
      <w:tr>
        <w:trPr>
          <w:trHeight w:val="201"/>
        </w:trPr>
        <w:tc>
          <w:tcPr>
            <w:tcW w:w="8600" w:type="dxa"/>
            <w:vAlign w:val="bottom"/>
            <w:gridSpan w:val="2"/>
          </w:tcPr>
          <w:p>
            <w:pPr>
              <w:spacing w:after="0"/>
              <w:rPr>
                <w:sz w:val="20"/>
                <w:szCs w:val="20"/>
                <w:color w:val="auto"/>
              </w:rPr>
            </w:pPr>
            <w:r>
              <w:rPr>
                <w:rFonts w:ascii="Arial" w:cs="Arial" w:eastAsia="Arial" w:hAnsi="Arial"/>
                <w:sz w:val="16"/>
                <w:szCs w:val="16"/>
                <w:color w:val="auto"/>
              </w:rPr>
              <w:t>Other non-current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3,105</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264,475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restart"/>
          </w:tcPr>
          <w:p>
            <w:pPr>
              <w:spacing w:after="0"/>
              <w:rPr>
                <w:sz w:val="16"/>
                <w:szCs w:val="16"/>
                <w:color w:val="auto"/>
              </w:rPr>
            </w:pPr>
          </w:p>
        </w:tc>
        <w:tc>
          <w:tcPr>
            <w:tcW w:w="8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tcPr>
          <w:p>
            <w:pPr>
              <w:ind w:left="120"/>
              <w:spacing w:after="0"/>
              <w:rPr>
                <w:sz w:val="20"/>
                <w:szCs w:val="20"/>
                <w:color w:val="auto"/>
              </w:rPr>
            </w:pPr>
            <w:r>
              <w:rPr>
                <w:rFonts w:ascii="Arial" w:cs="Arial" w:eastAsia="Arial" w:hAnsi="Arial"/>
                <w:sz w:val="16"/>
                <w:szCs w:val="16"/>
                <w:color w:val="auto"/>
              </w:rPr>
              <w:t>Accrued expenses and other current liabilities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30,112</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28,764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 current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911</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tcPr>
          <w:p>
            <w:pPr>
              <w:ind w:left="120"/>
              <w:spacing w:after="0"/>
              <w:rPr>
                <w:sz w:val="20"/>
                <w:szCs w:val="20"/>
                <w:color w:val="auto"/>
              </w:rPr>
            </w:pPr>
            <w:r>
              <w:rPr>
                <w:rFonts w:ascii="Arial" w:cs="Arial" w:eastAsia="Arial" w:hAnsi="Arial"/>
                <w:sz w:val="16"/>
                <w:szCs w:val="16"/>
                <w:color w:val="auto"/>
              </w:rPr>
              <w:t>Long-term debt, current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2,281</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4,182</w:t>
            </w:r>
          </w:p>
        </w:tc>
        <w:tc>
          <w:tcPr>
            <w:tcW w:w="8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580" w:type="dxa"/>
            <w:vAlign w:val="bottom"/>
            <w:tcBorders>
              <w:top w:val="single" w:sz="8" w:color="CCEEFF"/>
            </w:tcBorders>
          </w:tcPr>
          <w:p>
            <w:pPr>
              <w:ind w:left="260"/>
              <w:spacing w:after="0" w:line="173" w:lineRule="exact"/>
              <w:rPr>
                <w:sz w:val="20"/>
                <w:szCs w:val="20"/>
                <w:color w:val="auto"/>
              </w:rPr>
            </w:pPr>
            <w:r>
              <w:rPr>
                <w:rFonts w:ascii="Arial" w:cs="Arial" w:eastAsia="Arial" w:hAnsi="Arial"/>
                <w:sz w:val="16"/>
                <w:szCs w:val="16"/>
                <w:color w:val="auto"/>
              </w:rPr>
              <w:t>Total current liabilities</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41,169</w:t>
            </w: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43,590</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Warrant liabilities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29,711</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275</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non-current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689</w:t>
            </w:r>
          </w:p>
        </w:tc>
        <w:tc>
          <w:tcPr>
            <w:tcW w:w="8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tcPr>
          <w:p>
            <w:pPr>
              <w:spacing w:after="0"/>
              <w:rPr>
                <w:sz w:val="20"/>
                <w:szCs w:val="20"/>
                <w:color w:val="auto"/>
              </w:rPr>
            </w:pPr>
            <w:r>
              <w:rPr>
                <w:rFonts w:ascii="Arial" w:cs="Arial" w:eastAsia="Arial" w:hAnsi="Arial"/>
                <w:sz w:val="16"/>
                <w:szCs w:val="16"/>
                <w:color w:val="auto"/>
              </w:rPr>
              <w:t>Deferred tax liabilities, 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35,697</w:t>
            </w:r>
          </w:p>
        </w:tc>
        <w:tc>
          <w:tcPr>
            <w:tcW w:w="8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580" w:type="dxa"/>
            <w:vAlign w:val="bottom"/>
            <w:tcBorders>
              <w:top w:val="single" w:sz="8" w:color="CCEEFF"/>
              <w:bottom w:val="single" w:sz="8" w:color="CCEEFF"/>
            </w:tcBorders>
          </w:tcPr>
          <w:p>
            <w:pPr>
              <w:ind w:left="260"/>
              <w:spacing w:after="0" w:line="173" w:lineRule="exact"/>
              <w:rPr>
                <w:sz w:val="20"/>
                <w:szCs w:val="20"/>
                <w:color w:val="auto"/>
              </w:rPr>
            </w:pPr>
            <w:r>
              <w:rPr>
                <w:rFonts w:ascii="Arial" w:cs="Arial" w:eastAsia="Arial" w:hAnsi="Arial"/>
                <w:sz w:val="16"/>
                <w:szCs w:val="16"/>
                <w:color w:val="auto"/>
              </w:rPr>
              <w:t>Total liabilities</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107,603</w:t>
            </w:r>
          </w:p>
        </w:tc>
        <w:tc>
          <w:tcPr>
            <w:tcW w:w="2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44,624</w:t>
            </w: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580" w:type="dxa"/>
            <w:vAlign w:val="bottom"/>
          </w:tcPr>
          <w:p>
            <w:pPr>
              <w:spacing w:after="0"/>
              <w:rPr>
                <w:sz w:val="20"/>
                <w:szCs w:val="20"/>
                <w:color w:val="auto"/>
              </w:rPr>
            </w:pPr>
            <w:r>
              <w:rPr>
                <w:rFonts w:ascii="Arial" w:cs="Arial" w:eastAsia="Arial" w:hAnsi="Arial"/>
                <w:sz w:val="16"/>
                <w:szCs w:val="16"/>
                <w:color w:val="auto"/>
              </w:rPr>
              <w:t>Stockholders’ equity: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80" w:type="dxa"/>
            <w:vAlign w:val="bottom"/>
            <w:shd w:val="clear" w:color="auto" w:fill="CCEEFF"/>
          </w:tcPr>
          <w:p>
            <w:pPr>
              <w:ind w:left="120"/>
              <w:spacing w:after="0" w:line="181" w:lineRule="exact"/>
              <w:rPr>
                <w:sz w:val="20"/>
                <w:szCs w:val="20"/>
                <w:color w:val="auto"/>
              </w:rPr>
            </w:pPr>
            <w:r>
              <w:rPr>
                <w:rFonts w:ascii="Arial" w:cs="Arial" w:eastAsia="Arial" w:hAnsi="Arial"/>
                <w:sz w:val="16"/>
                <w:szCs w:val="16"/>
                <w:color w:val="auto"/>
                <w:w w:val="88"/>
              </w:rPr>
              <w:t>Common Stock, $0.001 par value per share, 250,000 shares authorized, 132,714 and 111,035 shares issued and outstanding at March</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80" w:type="dxa"/>
            <w:vAlign w:val="bottom"/>
            <w:shd w:val="clear" w:color="auto" w:fill="CCEEFF"/>
          </w:tcPr>
          <w:p>
            <w:pPr>
              <w:ind w:left="260"/>
              <w:spacing w:after="0" w:line="233" w:lineRule="exact"/>
              <w:rPr>
                <w:sz w:val="20"/>
                <w:szCs w:val="20"/>
                <w:color w:val="auto"/>
              </w:rPr>
            </w:pPr>
            <w:r>
              <w:rPr>
                <w:rFonts w:ascii="Arial" w:cs="Arial" w:eastAsia="Arial" w:hAnsi="Arial"/>
                <w:sz w:val="16"/>
                <w:szCs w:val="16"/>
                <w:color w:val="auto"/>
              </w:rPr>
              <w:t xml:space="preserve">31, 2022 and December 31, 2021, respectively </w:t>
            </w:r>
            <w:r>
              <w:rPr>
                <w:rFonts w:ascii="Arial" w:cs="Arial" w:eastAsia="Arial" w:hAnsi="Arial"/>
                <w:sz w:val="26"/>
                <w:szCs w:val="26"/>
                <w:color w:val="auto"/>
                <w:vertAlign w:val="superscript"/>
              </w:rPr>
              <w:t>(1)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tcPr>
          <w:p>
            <w:pPr>
              <w:ind w:left="120"/>
              <w:spacing w:after="0"/>
              <w:rPr>
                <w:sz w:val="20"/>
                <w:szCs w:val="20"/>
                <w:color w:val="auto"/>
              </w:rPr>
            </w:pPr>
            <w:r>
              <w:rPr>
                <w:rFonts w:ascii="Arial" w:cs="Arial" w:eastAsia="Arial" w:hAnsi="Arial"/>
                <w:sz w:val="16"/>
                <w:szCs w:val="16"/>
                <w:color w:val="auto"/>
              </w:rPr>
              <w:t>Preferred Stock, $0.001 par value per share, 2,895,000 shares authorized, no shares issued or outstanding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A Stock, $0.001 par value per share, 105,000 shares authorized, no shares issued or outstanding</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80" w:type="dxa"/>
            <w:vAlign w:val="bottom"/>
          </w:tcPr>
          <w:p>
            <w:pPr>
              <w:ind w:left="120"/>
              <w:spacing w:after="0" w:line="225" w:lineRule="exact"/>
              <w:rPr>
                <w:sz w:val="20"/>
                <w:szCs w:val="20"/>
                <w:color w:val="auto"/>
              </w:rPr>
            </w:pPr>
            <w:r>
              <w:rPr>
                <w:rFonts w:ascii="Arial" w:cs="Arial" w:eastAsia="Arial" w:hAnsi="Arial"/>
                <w:sz w:val="16"/>
                <w:szCs w:val="16"/>
                <w:color w:val="auto"/>
              </w:rPr>
              <w:t xml:space="preserve">Additional paid-in capital </w:t>
            </w:r>
            <w:r>
              <w:rPr>
                <w:rFonts w:ascii="Arial" w:cs="Arial" w:eastAsia="Arial" w:hAnsi="Arial"/>
                <w:sz w:val="26"/>
                <w:szCs w:val="26"/>
                <w:color w:val="auto"/>
                <w:vertAlign w:val="superscript"/>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213,701</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Accumulated deficit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5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60" w:type="dxa"/>
            <w:vAlign w:val="bottom"/>
            <w:gridSpan w:val="2"/>
            <w:shd w:val="clear" w:color="auto" w:fill="CCEEFF"/>
          </w:tcPr>
          <w:p>
            <w:pPr>
              <w:jc w:val="right"/>
              <w:ind w:right="220"/>
              <w:spacing w:after="0" w:line="59" w:lineRule="exact"/>
              <w:rPr>
                <w:sz w:val="20"/>
                <w:szCs w:val="20"/>
                <w:color w:val="auto"/>
              </w:rPr>
            </w:pPr>
            <w:r>
              <w:rPr>
                <w:rFonts w:ascii="Arial" w:cs="Arial" w:eastAsia="Arial" w:hAnsi="Arial"/>
                <w:sz w:val="6"/>
                <w:szCs w:val="6"/>
                <w:color w:val="auto"/>
              </w:rPr>
              <w:t>(57,195</w:t>
            </w:r>
          </w:p>
        </w:tc>
        <w:tc>
          <w:tcPr>
            <w:tcW w:w="80" w:type="dxa"/>
            <w:vAlign w:val="bottom"/>
            <w:shd w:val="clear" w:color="auto" w:fill="CCEEFF"/>
          </w:tcPr>
          <w:p>
            <w:pPr>
              <w:spacing w:after="0"/>
              <w:rPr>
                <w:sz w:val="6"/>
                <w:szCs w:val="6"/>
                <w:color w:val="auto"/>
              </w:rPr>
            </w:pPr>
          </w:p>
        </w:tc>
        <w:tc>
          <w:tcPr>
            <w:tcW w:w="1140" w:type="dxa"/>
            <w:vAlign w:val="bottom"/>
            <w:gridSpan w:val="2"/>
            <w:shd w:val="clear" w:color="auto" w:fill="CCEEFF"/>
          </w:tcPr>
          <w:p>
            <w:pPr>
              <w:jc w:val="right"/>
              <w:ind w:right="120"/>
              <w:spacing w:after="0" w:line="59" w:lineRule="exact"/>
              <w:rPr>
                <w:sz w:val="20"/>
                <w:szCs w:val="20"/>
                <w:color w:val="auto"/>
              </w:rPr>
            </w:pPr>
            <w:r>
              <w:rPr>
                <w:rFonts w:ascii="Arial" w:cs="Arial" w:eastAsia="Arial" w:hAnsi="Arial"/>
                <w:sz w:val="6"/>
                <w:szCs w:val="6"/>
                <w:color w:val="auto"/>
              </w:rPr>
              <w:t>(58,975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580" w:type="dxa"/>
            <w:vAlign w:val="bottom"/>
            <w:tcBorders>
              <w:top w:val="single" w:sz="8" w:color="CCEEFF"/>
              <w:bottom w:val="single" w:sz="8" w:color="CCEEFF"/>
            </w:tcBorders>
          </w:tcPr>
          <w:p>
            <w:pPr>
              <w:ind w:left="260"/>
              <w:spacing w:after="0" w:line="173" w:lineRule="exact"/>
              <w:rPr>
                <w:sz w:val="20"/>
                <w:szCs w:val="20"/>
                <w:color w:val="auto"/>
              </w:rPr>
            </w:pPr>
            <w:r>
              <w:rPr>
                <w:rFonts w:ascii="Arial" w:cs="Arial" w:eastAsia="Arial" w:hAnsi="Arial"/>
                <w:sz w:val="16"/>
                <w:szCs w:val="16"/>
                <w:color w:val="auto"/>
              </w:rPr>
              <w:t>Total stockholders’ equity attributable to Agrify</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156,506</w:t>
            </w:r>
          </w:p>
        </w:tc>
        <w:tc>
          <w:tcPr>
            <w:tcW w:w="2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137,059</w:t>
            </w: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tcPr>
          <w:p>
            <w:pPr>
              <w:ind w:left="1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264,475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182,048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5" w:right="40" w:hanging="285"/>
        <w:spacing w:after="0" w:line="257" w:lineRule="auto"/>
        <w:tabs>
          <w:tab w:leader="none" w:pos="285"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Periods presented have been adjusted to reflect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16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8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946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5" w:right="319" w:bottom="1440" w:gutter="0" w:footer="0" w:header="0"/>
        </w:sectPr>
      </w:pPr>
    </w:p>
    <w:bookmarkStart w:id="4" w:name="page5"/>
    <w:bookmarkEnd w:id="4"/>
    <w:p>
      <w:pPr>
        <w:jc w:val="center"/>
        <w:ind w:right="15"/>
        <w:spacing w:after="0"/>
        <w:rPr>
          <w:sz w:val="20"/>
          <w:szCs w:val="20"/>
          <w:color w:val="auto"/>
        </w:rPr>
      </w:pPr>
      <w:r>
        <w:rPr>
          <w:rFonts w:ascii="Arial" w:cs="Arial" w:eastAsia="Arial" w:hAnsi="Arial"/>
          <w:sz w:val="16"/>
          <w:szCs w:val="16"/>
          <w:b w:val="1"/>
          <w:bCs w:val="1"/>
          <w:color w:val="auto"/>
        </w:rPr>
        <w:t>AGRIFY CORPORATION</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179"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7"/>
          </w:tcPr>
          <w:p>
            <w:pPr>
              <w:jc w:val="right"/>
              <w:ind w:right="64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41"/>
              <w:spacing w:after="0" w:line="173"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6"/>
                <w:szCs w:val="16"/>
                <w:b w:val="1"/>
                <w:bCs w:val="1"/>
                <w:color w:val="auto"/>
                <w:w w:val="87"/>
              </w:rPr>
              <w:t>(As Restated)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 (including $1,271 and $5,518 from related parties, respectively)</w:t>
            </w:r>
          </w:p>
        </w:tc>
        <w:tc>
          <w:tcPr>
            <w:tcW w:w="18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7,008</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800" w:type="dxa"/>
            <w:vAlign w:val="bottom"/>
            <w:gridSpan w:val="2"/>
          </w:tcPr>
          <w:p>
            <w:pPr>
              <w:spacing w:after="0"/>
              <w:rPr>
                <w:sz w:val="20"/>
                <w:szCs w:val="20"/>
                <w:color w:val="auto"/>
              </w:rPr>
            </w:pPr>
            <w:r>
              <w:rPr>
                <w:rFonts w:ascii="Arial" w:cs="Arial" w:eastAsia="Arial" w:hAnsi="Arial"/>
                <w:sz w:val="16"/>
                <w:szCs w:val="16"/>
                <w:color w:val="auto"/>
              </w:rPr>
              <w:t>Cost of goods sold</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21,851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7,548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 (loss)</w:t>
            </w:r>
          </w:p>
        </w:tc>
        <w:tc>
          <w:tcPr>
            <w:tcW w:w="18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7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9,759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2,084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Selling and marketing</w:t>
            </w: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80" w:type="dxa"/>
            <w:vAlign w:val="bottom"/>
            <w:tcBorders>
              <w:top w:val="single" w:sz="8" w:color="CCEEFF"/>
              <w:bottom w:val="single" w:sz="8" w:color="CCEEFF"/>
            </w:tcBorders>
          </w:tcPr>
          <w:p>
            <w:pPr>
              <w:ind w:left="120"/>
              <w:spacing w:after="0" w:line="173" w:lineRule="exact"/>
              <w:rPr>
                <w:sz w:val="20"/>
                <w:szCs w:val="20"/>
                <w:color w:val="auto"/>
              </w:rPr>
            </w:pPr>
            <w:r>
              <w:rPr>
                <w:rFonts w:ascii="Arial" w:cs="Arial" w:eastAsia="Arial" w:hAnsi="Arial"/>
                <w:sz w:val="16"/>
                <w:szCs w:val="16"/>
                <w:color w:val="auto"/>
              </w:rPr>
              <w:t>Total operating expenses</w:t>
            </w:r>
          </w:p>
        </w:tc>
        <w:tc>
          <w:tcPr>
            <w:tcW w:w="18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13,933</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5,956</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from operations</w:t>
            </w:r>
          </w:p>
        </w:tc>
        <w:tc>
          <w:tcPr>
            <w:tcW w:w="1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(9,763</w:t>
            </w:r>
          </w:p>
        </w:tc>
        <w:tc>
          <w:tcPr>
            <w:tcW w:w="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(6,496</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tcPr>
          <w:p>
            <w:pPr>
              <w:spacing w:after="0" w:line="173" w:lineRule="exact"/>
              <w:rPr>
                <w:sz w:val="20"/>
                <w:szCs w:val="20"/>
                <w:color w:val="auto"/>
              </w:rPr>
            </w:pPr>
            <w:r>
              <w:rPr>
                <w:rFonts w:ascii="Arial" w:cs="Arial" w:eastAsia="Arial" w:hAnsi="Arial"/>
                <w:sz w:val="16"/>
                <w:szCs w:val="16"/>
                <w:color w:val="auto"/>
              </w:rPr>
              <w:t>Interest income (expense), net</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559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(32)</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warrant liabilities</w:t>
            </w: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10,785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800" w:type="dxa"/>
            <w:vAlign w:val="bottom"/>
            <w:gridSpan w:val="2"/>
          </w:tcPr>
          <w:p>
            <w:pPr>
              <w:spacing w:after="0"/>
              <w:rPr>
                <w:sz w:val="20"/>
                <w:szCs w:val="20"/>
                <w:color w:val="auto"/>
              </w:rPr>
            </w:pPr>
            <w:r>
              <w:rPr>
                <w:rFonts w:ascii="Arial" w:cs="Arial" w:eastAsia="Arial" w:hAnsi="Arial"/>
                <w:sz w:val="16"/>
                <w:szCs w:val="16"/>
                <w:color w:val="auto"/>
              </w:rPr>
              <w:t>Gain on extinguishment of notes payable</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2,685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net</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tcPr>
          <w:p>
            <w:pPr>
              <w:ind w:left="120"/>
              <w:spacing w:after="0" w:line="173" w:lineRule="exact"/>
              <w:rPr>
                <w:sz w:val="20"/>
                <w:szCs w:val="20"/>
                <w:color w:val="auto"/>
              </w:rPr>
            </w:pPr>
            <w:r>
              <w:rPr>
                <w:rFonts w:ascii="Arial" w:cs="Arial" w:eastAsia="Arial" w:hAnsi="Arial"/>
                <w:sz w:val="16"/>
                <w:szCs w:val="16"/>
                <w:color w:val="auto"/>
              </w:rPr>
              <w:t>Net income (loss) before income taxes</w:t>
            </w: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1,581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(3,843)</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80" w:type="dxa"/>
            <w:vAlign w:val="bottom"/>
            <w:tcBorders>
              <w:top w:val="single" w:sz="8" w:color="CCEEFF"/>
            </w:tcBorders>
          </w:tcPr>
          <w:p>
            <w:pPr>
              <w:ind w:left="120"/>
              <w:spacing w:after="0" w:line="173" w:lineRule="exact"/>
              <w:rPr>
                <w:sz w:val="20"/>
                <w:szCs w:val="20"/>
                <w:color w:val="auto"/>
              </w:rPr>
            </w:pPr>
            <w:r>
              <w:rPr>
                <w:rFonts w:ascii="Arial" w:cs="Arial" w:eastAsia="Arial" w:hAnsi="Arial"/>
                <w:sz w:val="16"/>
                <w:szCs w:val="16"/>
                <w:color w:val="auto"/>
              </w:rPr>
              <w:t>Net income (loss)</w:t>
            </w:r>
          </w:p>
        </w:tc>
        <w:tc>
          <w:tcPr>
            <w:tcW w:w="18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1,781</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(3,843)</w:t>
            </w:r>
          </w:p>
        </w:tc>
        <w:tc>
          <w:tcPr>
            <w:tcW w:w="12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Income (loss) attributable to non-controlling interest</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6780" w:type="dxa"/>
            <w:vAlign w:val="bottom"/>
          </w:tcPr>
          <w:p>
            <w:pPr>
              <w:ind w:left="120"/>
              <w:spacing w:after="0"/>
              <w:rPr>
                <w:sz w:val="20"/>
                <w:szCs w:val="20"/>
                <w:color w:val="auto"/>
              </w:rPr>
            </w:pPr>
            <w:r>
              <w:rPr>
                <w:rFonts w:ascii="Arial" w:cs="Arial" w:eastAsia="Arial" w:hAnsi="Arial"/>
                <w:sz w:val="16"/>
                <w:szCs w:val="16"/>
                <w:color w:val="auto"/>
              </w:rPr>
              <w:t>Net income (loss) attributable to Agrify Corporation</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1,780</w:t>
            </w:r>
          </w:p>
        </w:tc>
        <w:tc>
          <w:tcPr>
            <w:tcW w:w="40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(3,810</w:t>
            </w:r>
          </w:p>
        </w:tc>
        <w:tc>
          <w:tcPr>
            <w:tcW w:w="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Borders>
              <w:top w:val="single" w:sz="8" w:color="CCEEFF"/>
              <w:bottom w:val="single" w:sz="8" w:color="CCEEFF"/>
            </w:tcBorders>
            <w:shd w:val="clear" w:color="auto" w:fill="CCEEFF"/>
          </w:tcPr>
          <w:p>
            <w:pPr>
              <w:spacing w:after="0" w:line="185" w:lineRule="exact"/>
              <w:rPr>
                <w:sz w:val="20"/>
                <w:szCs w:val="20"/>
                <w:color w:val="auto"/>
              </w:rPr>
            </w:pPr>
            <w:r>
              <w:rPr>
                <w:rFonts w:ascii="Arial" w:cs="Arial" w:eastAsia="Arial" w:hAnsi="Arial"/>
                <w:sz w:val="13"/>
                <w:szCs w:val="13"/>
                <w:color w:val="auto"/>
              </w:rPr>
              <w:t xml:space="preserve">Net income (loss) per share attributable to Common Stockholders – basic </w:t>
            </w:r>
            <w:r>
              <w:rPr>
                <w:rFonts w:ascii="Arial" w:cs="Arial" w:eastAsia="Arial" w:hAnsi="Arial"/>
                <w:sz w:val="21"/>
                <w:szCs w:val="21"/>
                <w:color w:val="auto"/>
                <w:vertAlign w:val="superscript"/>
              </w:rPr>
              <w:t>(1)</w:t>
            </w:r>
          </w:p>
        </w:tc>
        <w:tc>
          <w:tcPr>
            <w:tcW w:w="18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(65.87</w:t>
            </w:r>
          </w:p>
        </w:tc>
        <w:tc>
          <w:tcPr>
            <w:tcW w:w="120" w:type="dxa"/>
            <w:vAlign w:val="bottom"/>
            <w:tcBorders>
              <w:top w:val="single" w:sz="8" w:color="CCEEFF"/>
              <w:bottom w:val="single" w:sz="8" w:color="CCEEFF"/>
            </w:tcBorders>
            <w:gridSpan w:val="2"/>
            <w:shd w:val="clear" w:color="auto" w:fill="CCEEFF"/>
          </w:tcPr>
          <w:p>
            <w:pPr>
              <w:jc w:val="right"/>
              <w:ind w:right="60"/>
              <w:spacing w:after="0" w:line="161"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line="225" w:lineRule="exact"/>
              <w:rPr>
                <w:sz w:val="20"/>
                <w:szCs w:val="20"/>
                <w:color w:val="auto"/>
              </w:rPr>
            </w:pPr>
            <w:r>
              <w:rPr>
                <w:rFonts w:ascii="Arial" w:cs="Arial" w:eastAsia="Arial" w:hAnsi="Arial"/>
                <w:sz w:val="16"/>
                <w:szCs w:val="16"/>
                <w:color w:val="auto"/>
              </w:rPr>
              <w:t xml:space="preserve">Net income (loss) per share attributable to Common Stockholders – diluted </w:t>
            </w:r>
            <w:r>
              <w:rPr>
                <w:rFonts w:ascii="Arial" w:cs="Arial" w:eastAsia="Arial" w:hAnsi="Arial"/>
                <w:sz w:val="26"/>
                <w:szCs w:val="26"/>
                <w:color w:val="auto"/>
                <w:vertAlign w:val="superscript"/>
              </w:rPr>
              <w:t>(1)</w:t>
            </w:r>
          </w:p>
        </w:tc>
        <w:tc>
          <w:tcPr>
            <w:tcW w:w="19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8"/>
        </w:trPr>
        <w:tc>
          <w:tcPr>
            <w:tcW w:w="680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(65.87</w:t>
            </w:r>
          </w:p>
        </w:tc>
        <w:tc>
          <w:tcPr>
            <w:tcW w:w="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tcBorders>
              <w:top w:val="single" w:sz="8" w:color="CCEEFF"/>
              <w:bottom w:val="single" w:sz="8" w:color="CCEEFF"/>
            </w:tcBorders>
            <w:shd w:val="clear" w:color="auto" w:fill="CCEEFF"/>
          </w:tcPr>
          <w:p>
            <w:pPr>
              <w:spacing w:after="0" w:line="185" w:lineRule="exact"/>
              <w:rPr>
                <w:sz w:val="20"/>
                <w:szCs w:val="20"/>
                <w:color w:val="auto"/>
              </w:rPr>
            </w:pPr>
            <w:r>
              <w:rPr>
                <w:rFonts w:ascii="Arial" w:cs="Arial" w:eastAsia="Arial" w:hAnsi="Arial"/>
                <w:sz w:val="13"/>
                <w:szCs w:val="13"/>
                <w:color w:val="auto"/>
              </w:rPr>
              <w:t xml:space="preserve">Weighted-average common shares outstanding – basic </w:t>
            </w:r>
            <w:r>
              <w:rPr>
                <w:rFonts w:ascii="Arial" w:cs="Arial" w:eastAsia="Arial" w:hAnsi="Arial"/>
                <w:sz w:val="21"/>
                <w:szCs w:val="21"/>
                <w:color w:val="auto"/>
                <w:vertAlign w:val="superscript"/>
              </w:rPr>
              <w:t>(1)</w:t>
            </w:r>
          </w:p>
        </w:tc>
        <w:tc>
          <w:tcPr>
            <w:tcW w:w="18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122,946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57,841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line="225" w:lineRule="exact"/>
              <w:rPr>
                <w:sz w:val="20"/>
                <w:szCs w:val="20"/>
                <w:color w:val="auto"/>
              </w:rPr>
            </w:pPr>
            <w:r>
              <w:rPr>
                <w:rFonts w:ascii="Arial" w:cs="Arial" w:eastAsia="Arial" w:hAnsi="Arial"/>
                <w:sz w:val="16"/>
                <w:szCs w:val="16"/>
                <w:color w:val="auto"/>
              </w:rPr>
              <w:t xml:space="preserve">Weighted-average common shares outstanding – diluted </w:t>
            </w:r>
            <w:r>
              <w:rPr>
                <w:rFonts w:ascii="Arial" w:cs="Arial" w:eastAsia="Arial" w:hAnsi="Arial"/>
                <w:sz w:val="26"/>
                <w:szCs w:val="26"/>
                <w:color w:val="auto"/>
                <w:vertAlign w:val="superscript"/>
              </w:rPr>
              <w:t>(1)</w:t>
            </w: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800" w:type="dxa"/>
            <w:vAlign w:val="bottom"/>
            <w:gridSpan w:val="2"/>
            <w:vMerge w:val="continue"/>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129,045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57,841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5" w:right="40" w:hanging="285"/>
        <w:spacing w:after="0" w:line="257" w:lineRule="auto"/>
        <w:tabs>
          <w:tab w:leader="none" w:pos="285"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Periods presented have been adjusted to reflect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16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8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5" w:right="319" w:bottom="1440" w:gutter="0" w:footer="0" w:header="0"/>
        </w:sectPr>
      </w:pPr>
    </w:p>
    <w:bookmarkStart w:id="5" w:name="page6"/>
    <w:bookmarkEnd w:id="5"/>
    <w:p>
      <w:pPr>
        <w:jc w:val="center"/>
        <w:ind w:right="15"/>
        <w:spacing w:after="0"/>
        <w:rPr>
          <w:sz w:val="20"/>
          <w:szCs w:val="20"/>
          <w:color w:val="auto"/>
        </w:rPr>
      </w:pPr>
      <w:r>
        <w:rPr>
          <w:rFonts w:ascii="Arial" w:cs="Arial" w:eastAsia="Arial" w:hAnsi="Arial"/>
          <w:sz w:val="16"/>
          <w:szCs w:val="16"/>
          <w:b w:val="1"/>
          <w:bCs w:val="1"/>
          <w:color w:val="auto"/>
        </w:rPr>
        <w:t>AGRIFY CORPORATION</w:t>
      </w:r>
    </w:p>
    <w:p>
      <w:pPr>
        <w:spacing w:after="0" w:line="2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(In thousands, except share data)</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(Unaudited)</w:t>
      </w:r>
    </w:p>
    <w:p>
      <w:pPr>
        <w:spacing w:after="0" w:line="179"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2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41"/>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4"/>
            <w:vMerge w:val="restart"/>
          </w:tcPr>
          <w:p>
            <w:pPr>
              <w:jc w:val="center"/>
              <w:ind w:left="221"/>
              <w:spacing w:after="0"/>
              <w:rPr>
                <w:sz w:val="20"/>
                <w:szCs w:val="20"/>
                <w:color w:val="auto"/>
              </w:rPr>
            </w:pPr>
            <w:r>
              <w:rPr>
                <w:rFonts w:ascii="Arial" w:cs="Arial" w:eastAsia="Arial" w:hAnsi="Arial"/>
                <w:sz w:val="16"/>
                <w:szCs w:val="16"/>
                <w:b w:val="1"/>
                <w:bCs w:val="1"/>
                <w:color w:val="auto"/>
                <w:w w:val="91"/>
              </w:rPr>
              <w:t>Preferred A</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w w:val="86"/>
              </w:rPr>
              <w:t>Stockholders’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61"/>
              <w:spacing w:after="0" w:line="178" w:lineRule="exact"/>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141"/>
              <w:spacing w:after="0" w:line="178" w:lineRule="exact"/>
              <w:rPr>
                <w:sz w:val="20"/>
                <w:szCs w:val="20"/>
                <w:color w:val="auto"/>
              </w:rPr>
            </w:pPr>
            <w:r>
              <w:rPr>
                <w:rFonts w:ascii="Arial" w:cs="Arial" w:eastAsia="Arial" w:hAnsi="Arial"/>
                <w:sz w:val="16"/>
                <w:szCs w:val="16"/>
                <w:b w:val="1"/>
                <w:bCs w:val="1"/>
                <w:color w:val="auto"/>
                <w:w w:val="89"/>
              </w:rPr>
              <w:t>Equity</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line="178" w:lineRule="exact"/>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5"/>
                <w:szCs w:val="15"/>
                <w:color w:val="auto"/>
              </w:rPr>
            </w:pPr>
          </w:p>
        </w:tc>
        <w:tc>
          <w:tcPr>
            <w:tcW w:w="840" w:type="dxa"/>
            <w:vAlign w:val="bottom"/>
          </w:tcPr>
          <w:p>
            <w:pPr>
              <w:jc w:val="right"/>
              <w:ind w:right="301"/>
              <w:spacing w:after="0" w:line="178"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Borders>
              <w:bottom w:val="single" w:sz="8" w:color="auto"/>
            </w:tcBorders>
            <w:gridSpan w:val="2"/>
          </w:tcPr>
          <w:p>
            <w:pPr>
              <w:jc w:val="center"/>
              <w:ind w:left="241"/>
              <w:spacing w:after="0"/>
              <w:rPr>
                <w:sz w:val="20"/>
                <w:szCs w:val="20"/>
                <w:color w:val="auto"/>
              </w:rPr>
            </w:pPr>
            <w:r>
              <w:rPr>
                <w:rFonts w:ascii="Arial" w:cs="Arial" w:eastAsia="Arial" w:hAnsi="Arial"/>
                <w:sz w:val="16"/>
                <w:szCs w:val="16"/>
                <w:b w:val="1"/>
                <w:bCs w:val="1"/>
                <w:color w:val="auto"/>
                <w:w w:val="88"/>
              </w:rPr>
              <w:t>Common Stock</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ind w:left="201"/>
              <w:spacing w:after="0"/>
              <w:rPr>
                <w:sz w:val="20"/>
                <w:szCs w:val="20"/>
                <w:color w:val="auto"/>
              </w:rPr>
            </w:pPr>
            <w:r>
              <w:rPr>
                <w:rFonts w:ascii="Arial" w:cs="Arial" w:eastAsia="Arial" w:hAnsi="Arial"/>
                <w:sz w:val="16"/>
                <w:szCs w:val="16"/>
                <w:b w:val="1"/>
                <w:bCs w:val="1"/>
                <w:color w:val="auto"/>
                <w:w w:val="87"/>
              </w:rPr>
              <w:t>Stock</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01"/>
              <w:spacing w:after="0"/>
              <w:rPr>
                <w:sz w:val="20"/>
                <w:szCs w:val="20"/>
                <w:color w:val="auto"/>
              </w:rPr>
            </w:pPr>
            <w:r>
              <w:rPr>
                <w:rFonts w:ascii="Arial" w:cs="Arial" w:eastAsia="Arial" w:hAnsi="Arial"/>
                <w:sz w:val="16"/>
                <w:szCs w:val="16"/>
                <w:b w:val="1"/>
                <w:bCs w:val="1"/>
                <w:color w:val="auto"/>
                <w:w w:val="97"/>
              </w:rPr>
              <w:t>Paid-In</w:t>
            </w:r>
          </w:p>
        </w:tc>
        <w:tc>
          <w:tcPr>
            <w:tcW w:w="100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Accumulated</w:t>
            </w:r>
          </w:p>
        </w:tc>
        <w:tc>
          <w:tcPr>
            <w:tcW w:w="20" w:type="dxa"/>
            <w:vAlign w:val="bottom"/>
          </w:tcPr>
          <w:p>
            <w:pPr>
              <w:spacing w:after="0"/>
              <w:rPr>
                <w:sz w:val="18"/>
                <w:szCs w:val="18"/>
                <w:color w:val="auto"/>
              </w:rPr>
            </w:pPr>
          </w:p>
        </w:tc>
        <w:tc>
          <w:tcPr>
            <w:tcW w:w="106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1"/>
              </w:rPr>
              <w:t>attributable</w:t>
            </w:r>
          </w:p>
        </w:tc>
        <w:tc>
          <w:tcPr>
            <w:tcW w:w="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Controlling</w:t>
            </w: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28"/>
        </w:trPr>
        <w:tc>
          <w:tcPr>
            <w:tcW w:w="2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ind w:right="61"/>
              <w:spacing w:after="0" w:line="225" w:lineRule="exact"/>
              <w:rPr>
                <w:sz w:val="20"/>
                <w:szCs w:val="20"/>
                <w:color w:val="auto"/>
              </w:rPr>
            </w:pPr>
            <w:r>
              <w:rPr>
                <w:rFonts w:ascii="Arial" w:cs="Arial" w:eastAsia="Arial" w:hAnsi="Arial"/>
                <w:sz w:val="16"/>
                <w:szCs w:val="16"/>
                <w:b w:val="1"/>
                <w:bCs w:val="1"/>
                <w:color w:val="auto"/>
                <w:w w:val="93"/>
              </w:rPr>
              <w:t>Shares</w:t>
            </w:r>
            <w:r>
              <w:rPr>
                <w:rFonts w:ascii="Arial" w:cs="Arial" w:eastAsia="Arial" w:hAnsi="Arial"/>
                <w:sz w:val="26"/>
                <w:szCs w:val="26"/>
                <w:color w:val="auto"/>
                <w:w w:val="93"/>
                <w:vertAlign w:val="superscript"/>
              </w:rPr>
              <w:t>(1)</w:t>
            </w:r>
          </w:p>
        </w:tc>
        <w:tc>
          <w:tcPr>
            <w:tcW w:w="1020" w:type="dxa"/>
            <w:vAlign w:val="bottom"/>
            <w:gridSpan w:val="2"/>
          </w:tcPr>
          <w:p>
            <w:pPr>
              <w:ind w:left="140"/>
              <w:spacing w:after="0" w:line="225" w:lineRule="exact"/>
              <w:rPr>
                <w:sz w:val="20"/>
                <w:szCs w:val="20"/>
                <w:color w:val="auto"/>
              </w:rPr>
            </w:pPr>
            <w:r>
              <w:rPr>
                <w:rFonts w:ascii="Arial" w:cs="Arial" w:eastAsia="Arial" w:hAnsi="Arial"/>
                <w:sz w:val="16"/>
                <w:szCs w:val="16"/>
                <w:b w:val="1"/>
                <w:bCs w:val="1"/>
                <w:color w:val="auto"/>
              </w:rPr>
              <w:t>Amount</w:t>
            </w:r>
            <w:r>
              <w:rPr>
                <w:rFonts w:ascii="Arial" w:cs="Arial" w:eastAsia="Arial" w:hAnsi="Arial"/>
                <w:sz w:val="26"/>
                <w:szCs w:val="26"/>
                <w:color w:val="auto"/>
                <w:vertAlign w:val="superscript"/>
              </w:rPr>
              <w:t>(1)</w:t>
            </w:r>
          </w:p>
        </w:tc>
        <w:tc>
          <w:tcPr>
            <w:tcW w:w="84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840" w:type="dxa"/>
            <w:vAlign w:val="bottom"/>
            <w:gridSpan w:val="3"/>
          </w:tcPr>
          <w:p>
            <w:pPr>
              <w:ind w:left="1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center"/>
              <w:ind w:right="101"/>
              <w:spacing w:after="0" w:line="225" w:lineRule="exact"/>
              <w:rPr>
                <w:sz w:val="20"/>
                <w:szCs w:val="20"/>
                <w:color w:val="auto"/>
              </w:rPr>
            </w:pPr>
            <w:r>
              <w:rPr>
                <w:rFonts w:ascii="Arial" w:cs="Arial" w:eastAsia="Arial" w:hAnsi="Arial"/>
                <w:sz w:val="16"/>
                <w:szCs w:val="16"/>
                <w:b w:val="1"/>
                <w:bCs w:val="1"/>
                <w:color w:val="auto"/>
                <w:w w:val="85"/>
              </w:rPr>
              <w:t>Capital</w:t>
            </w:r>
            <w:r>
              <w:rPr>
                <w:rFonts w:ascii="Arial" w:cs="Arial" w:eastAsia="Arial" w:hAnsi="Arial"/>
                <w:sz w:val="26"/>
                <w:szCs w:val="26"/>
                <w:color w:val="auto"/>
                <w:w w:val="85"/>
                <w:vertAlign w:val="superscript"/>
              </w:rPr>
              <w:t>(1)</w:t>
            </w:r>
          </w:p>
        </w:tc>
        <w:tc>
          <w:tcPr>
            <w:tcW w:w="140" w:type="dxa"/>
            <w:vAlign w:val="bottom"/>
          </w:tcPr>
          <w:p>
            <w:pPr>
              <w:spacing w:after="0"/>
              <w:rPr>
                <w:sz w:val="19"/>
                <w:szCs w:val="19"/>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141"/>
              <w:spacing w:after="0"/>
              <w:rPr>
                <w:sz w:val="20"/>
                <w:szCs w:val="20"/>
                <w:color w:val="auto"/>
              </w:rPr>
            </w:pPr>
            <w:r>
              <w:rPr>
                <w:rFonts w:ascii="Arial" w:cs="Arial" w:eastAsia="Arial" w:hAnsi="Arial"/>
                <w:sz w:val="16"/>
                <w:szCs w:val="16"/>
                <w:b w:val="1"/>
                <w:bCs w:val="1"/>
                <w:color w:val="auto"/>
                <w:w w:val="91"/>
              </w:rPr>
              <w:t>to Agrify</w:t>
            </w:r>
          </w:p>
        </w:tc>
        <w:tc>
          <w:tcPr>
            <w:tcW w:w="100" w:type="dxa"/>
            <w:vAlign w:val="bottom"/>
          </w:tcPr>
          <w:p>
            <w:pPr>
              <w:spacing w:after="0"/>
              <w:rPr>
                <w:sz w:val="19"/>
                <w:szCs w:val="19"/>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Interests</w:t>
            </w:r>
          </w:p>
        </w:tc>
        <w:tc>
          <w:tcPr>
            <w:tcW w:w="160" w:type="dxa"/>
            <w:vAlign w:val="bottom"/>
          </w:tcPr>
          <w:p>
            <w:pPr>
              <w:spacing w:after="0"/>
              <w:rPr>
                <w:sz w:val="19"/>
                <w:szCs w:val="19"/>
                <w:color w:val="auto"/>
              </w:rPr>
            </w:pPr>
          </w:p>
        </w:tc>
        <w:tc>
          <w:tcPr>
            <w:tcW w:w="840" w:type="dxa"/>
            <w:vAlign w:val="bottom"/>
          </w:tcPr>
          <w:p>
            <w:pPr>
              <w:jc w:val="center"/>
              <w:ind w:right="161"/>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189"/>
        </w:trPr>
        <w:tc>
          <w:tcPr>
            <w:tcW w:w="2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January 1, 2021</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21,058</w:t>
            </w:r>
          </w:p>
        </w:tc>
        <w:tc>
          <w:tcPr>
            <w:tcW w:w="620" w:type="dxa"/>
            <w:vAlign w:val="bottom"/>
            <w:tcBorders>
              <w:top w:val="single" w:sz="8" w:color="auto"/>
              <w:left w:val="single" w:sz="8" w:color="CCEEFF"/>
            </w:tcBorders>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19,831</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(26,510)</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(6,679)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(6,454)</w:t>
            </w:r>
          </w:p>
        </w:tc>
        <w:tc>
          <w:tcPr>
            <w:tcW w:w="0" w:type="dxa"/>
            <w:vAlign w:val="bottom"/>
          </w:tcPr>
          <w:p>
            <w:pPr>
              <w:spacing w:after="0"/>
              <w:rPr>
                <w:sz w:val="1"/>
                <w:szCs w:val="1"/>
                <w:color w:val="auto"/>
              </w:rPr>
            </w:pPr>
          </w:p>
        </w:tc>
      </w:tr>
      <w:tr>
        <w:trPr>
          <w:trHeight w:val="189"/>
        </w:trPr>
        <w:tc>
          <w:tcPr>
            <w:tcW w:w="252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gridSpan w:val="2"/>
          </w:tcPr>
          <w:p>
            <w:pPr>
              <w:ind w:left="1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2,135</w:t>
            </w:r>
          </w:p>
        </w:tc>
        <w:tc>
          <w:tcPr>
            <w:tcW w:w="140" w:type="dxa"/>
            <w:vAlign w:val="bottom"/>
          </w:tcPr>
          <w:p>
            <w:pPr>
              <w:spacing w:after="0"/>
              <w:rPr>
                <w:sz w:val="16"/>
                <w:szCs w:val="16"/>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2,135</w:t>
            </w:r>
          </w:p>
        </w:tc>
        <w:tc>
          <w:tcPr>
            <w:tcW w:w="0" w:type="dxa"/>
            <w:vAlign w:val="bottom"/>
          </w:tcPr>
          <w:p>
            <w:pPr>
              <w:spacing w:after="0"/>
              <w:rPr>
                <w:sz w:val="1"/>
                <w:szCs w:val="1"/>
                <w:color w:val="auto"/>
              </w:rPr>
            </w:pPr>
          </w:p>
        </w:tc>
      </w:tr>
      <w:tr>
        <w:trPr>
          <w:trHeight w:val="177"/>
        </w:trPr>
        <w:tc>
          <w:tcPr>
            <w:tcW w:w="252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Beneficial conversion feature</w:t>
            </w:r>
          </w:p>
        </w:tc>
        <w:tc>
          <w:tcPr>
            <w:tcW w:w="860" w:type="dxa"/>
            <w:vAlign w:val="bottom"/>
            <w:tcBorders>
              <w:right w:val="single" w:sz="8" w:color="CCEEFF"/>
            </w:tcBorders>
            <w:shd w:val="clear" w:color="auto" w:fill="CCEEFF"/>
          </w:tcPr>
          <w:p>
            <w:pPr>
              <w:spacing w:after="0"/>
              <w:rPr>
                <w:sz w:val="15"/>
                <w:szCs w:val="15"/>
                <w:color w:val="auto"/>
              </w:rPr>
            </w:pPr>
          </w:p>
        </w:tc>
        <w:tc>
          <w:tcPr>
            <w:tcW w:w="620" w:type="dxa"/>
            <w:vAlign w:val="bottom"/>
            <w:tcBorders>
              <w:lef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associated with amended</w:t>
            </w:r>
          </w:p>
        </w:tc>
        <w:tc>
          <w:tcPr>
            <w:tcW w:w="860" w:type="dxa"/>
            <w:vAlign w:val="bottom"/>
            <w:tcBorders>
              <w:right w:val="single" w:sz="8" w:color="CCEEFF"/>
            </w:tcBorders>
            <w:shd w:val="clear" w:color="auto" w:fill="CCEEFF"/>
          </w:tcPr>
          <w:p>
            <w:pPr>
              <w:spacing w:after="0"/>
              <w:rPr>
                <w:sz w:val="16"/>
                <w:szCs w:val="16"/>
                <w:color w:val="auto"/>
              </w:rPr>
            </w:pPr>
          </w:p>
        </w:tc>
        <w:tc>
          <w:tcPr>
            <w:tcW w:w="620" w:type="dxa"/>
            <w:vAlign w:val="bottom"/>
            <w:tcBorders>
              <w:left w:val="single" w:sz="8" w:color="CCEEFF"/>
            </w:tcBorders>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Convertible Promissory Notes</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lef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3,869</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3,869</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0" w:type="dxa"/>
            <w:vAlign w:val="bottom"/>
          </w:tcPr>
          <w:p>
            <w:pPr>
              <w:spacing w:after="0"/>
              <w:rPr>
                <w:sz w:val="1"/>
                <w:szCs w:val="1"/>
                <w:color w:val="auto"/>
              </w:rPr>
            </w:pPr>
          </w:p>
        </w:tc>
      </w:tr>
      <w:tr>
        <w:trPr>
          <w:trHeight w:val="189"/>
        </w:trPr>
        <w:tc>
          <w:tcPr>
            <w:tcW w:w="2520" w:type="dxa"/>
            <w:vAlign w:val="bottom"/>
            <w:gridSpan w:val="2"/>
          </w:tcPr>
          <w:p>
            <w:pPr>
              <w:spacing w:after="0"/>
              <w:rPr>
                <w:sz w:val="20"/>
                <w:szCs w:val="20"/>
                <w:color w:val="auto"/>
              </w:rPr>
            </w:pPr>
            <w:r>
              <w:rPr>
                <w:rFonts w:ascii="Arial" w:cs="Arial" w:eastAsia="Arial" w:hAnsi="Arial"/>
                <w:sz w:val="16"/>
                <w:szCs w:val="16"/>
                <w:color w:val="auto"/>
              </w:rPr>
              <w:t>Conversion of Convertible Notes</w:t>
            </w:r>
          </w:p>
        </w:tc>
        <w:tc>
          <w:tcPr>
            <w:tcW w:w="860" w:type="dxa"/>
            <w:vAlign w:val="bottom"/>
          </w:tcPr>
          <w:p>
            <w:pPr>
              <w:jc w:val="right"/>
              <w:spacing w:after="0"/>
              <w:rPr>
                <w:sz w:val="20"/>
                <w:szCs w:val="20"/>
                <w:color w:val="auto"/>
              </w:rPr>
            </w:pPr>
            <w:r>
              <w:rPr>
                <w:rFonts w:ascii="Arial" w:cs="Arial" w:eastAsia="Arial" w:hAnsi="Arial"/>
                <w:sz w:val="16"/>
                <w:szCs w:val="16"/>
                <w:color w:val="auto"/>
              </w:rPr>
              <w:t>8,485</w:t>
            </w:r>
          </w:p>
        </w:tc>
        <w:tc>
          <w:tcPr>
            <w:tcW w:w="620" w:type="dxa"/>
            <w:vAlign w:val="bottom"/>
          </w:tcPr>
          <w:p>
            <w:pPr>
              <w:spacing w:after="0"/>
              <w:rPr>
                <w:sz w:val="16"/>
                <w:szCs w:val="16"/>
                <w:color w:val="auto"/>
              </w:rPr>
            </w:pP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gridSpan w:val="2"/>
          </w:tcPr>
          <w:p>
            <w:pPr>
              <w:ind w:left="1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13,100</w:t>
            </w:r>
          </w:p>
        </w:tc>
        <w:tc>
          <w:tcPr>
            <w:tcW w:w="140" w:type="dxa"/>
            <w:vAlign w:val="bottom"/>
          </w:tcPr>
          <w:p>
            <w:pPr>
              <w:spacing w:after="0"/>
              <w:rPr>
                <w:sz w:val="16"/>
                <w:szCs w:val="16"/>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13,100</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13,100</w:t>
            </w:r>
          </w:p>
        </w:tc>
        <w:tc>
          <w:tcPr>
            <w:tcW w:w="0" w:type="dxa"/>
            <w:vAlign w:val="bottom"/>
          </w:tcPr>
          <w:p>
            <w:pPr>
              <w:spacing w:after="0"/>
              <w:rPr>
                <w:sz w:val="1"/>
                <w:szCs w:val="1"/>
                <w:color w:val="auto"/>
              </w:rPr>
            </w:pPr>
          </w:p>
        </w:tc>
      </w:tr>
      <w:tr>
        <w:trPr>
          <w:trHeight w:val="177"/>
        </w:trPr>
        <w:tc>
          <w:tcPr>
            <w:tcW w:w="252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w w:val="99"/>
              </w:rPr>
              <w:t>Issuance of Common Stock – Initial</w:t>
            </w:r>
          </w:p>
        </w:tc>
        <w:tc>
          <w:tcPr>
            <w:tcW w:w="860" w:type="dxa"/>
            <w:vAlign w:val="bottom"/>
            <w:tcBorders>
              <w:right w:val="single" w:sz="8" w:color="CCEEFF"/>
            </w:tcBorders>
            <w:shd w:val="clear" w:color="auto" w:fill="CCEEFF"/>
          </w:tcPr>
          <w:p>
            <w:pPr>
              <w:spacing w:after="0"/>
              <w:rPr>
                <w:sz w:val="15"/>
                <w:szCs w:val="15"/>
                <w:color w:val="auto"/>
              </w:rPr>
            </w:pPr>
          </w:p>
        </w:tc>
        <w:tc>
          <w:tcPr>
            <w:tcW w:w="620" w:type="dxa"/>
            <w:vAlign w:val="bottom"/>
            <w:tcBorders>
              <w:lef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7"/>
              </w:rPr>
              <w:t>Public Offering (“IPO”), net of fees</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31,050</w:t>
            </w:r>
          </w:p>
        </w:tc>
        <w:tc>
          <w:tcPr>
            <w:tcW w:w="620" w:type="dxa"/>
            <w:vAlign w:val="bottom"/>
            <w:tcBorders>
              <w:lef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56,961</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56,961</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56,961</w:t>
            </w:r>
          </w:p>
        </w:tc>
        <w:tc>
          <w:tcPr>
            <w:tcW w:w="0" w:type="dxa"/>
            <w:vAlign w:val="bottom"/>
          </w:tcPr>
          <w:p>
            <w:pPr>
              <w:spacing w:after="0"/>
              <w:rPr>
                <w:sz w:val="1"/>
                <w:szCs w:val="1"/>
                <w:color w:val="auto"/>
              </w:rPr>
            </w:pPr>
          </w:p>
        </w:tc>
      </w:tr>
      <w:tr>
        <w:trPr>
          <w:trHeight w:val="177"/>
        </w:trPr>
        <w:tc>
          <w:tcPr>
            <w:tcW w:w="2520" w:type="dxa"/>
            <w:vAlign w:val="bottom"/>
            <w:gridSpan w:val="2"/>
          </w:tcPr>
          <w:p>
            <w:pPr>
              <w:spacing w:after="0" w:line="177" w:lineRule="exact"/>
              <w:rPr>
                <w:sz w:val="20"/>
                <w:szCs w:val="20"/>
                <w:color w:val="auto"/>
              </w:rPr>
            </w:pPr>
            <w:r>
              <w:rPr>
                <w:rFonts w:ascii="Arial" w:cs="Arial" w:eastAsia="Arial" w:hAnsi="Arial"/>
                <w:sz w:val="16"/>
                <w:szCs w:val="16"/>
                <w:color w:val="auto"/>
              </w:rPr>
              <w:t>Issuance of Common Stock –</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20" w:type="dxa"/>
            <w:vAlign w:val="bottom"/>
            <w:gridSpan w:val="2"/>
          </w:tcPr>
          <w:p>
            <w:pPr>
              <w:ind w:left="180"/>
              <w:spacing w:after="0"/>
              <w:rPr>
                <w:sz w:val="20"/>
                <w:szCs w:val="20"/>
                <w:color w:val="auto"/>
              </w:rPr>
            </w:pPr>
            <w:r>
              <w:rPr>
                <w:rFonts w:ascii="Arial" w:cs="Arial" w:eastAsia="Arial" w:hAnsi="Arial"/>
                <w:sz w:val="16"/>
                <w:szCs w:val="16"/>
                <w:color w:val="auto"/>
              </w:rPr>
              <w:t>Secondary public offering, net of</w:t>
            </w: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520" w:type="dxa"/>
            <w:vAlign w:val="bottom"/>
            <w:gridSpan w:val="2"/>
          </w:tcPr>
          <w:p>
            <w:pPr>
              <w:ind w:left="140"/>
              <w:spacing w:after="0"/>
              <w:rPr>
                <w:sz w:val="20"/>
                <w:szCs w:val="20"/>
                <w:color w:val="auto"/>
              </w:rPr>
            </w:pPr>
            <w:r>
              <w:rPr>
                <w:rFonts w:ascii="Arial" w:cs="Arial" w:eastAsia="Arial" w:hAnsi="Arial"/>
                <w:sz w:val="16"/>
                <w:szCs w:val="16"/>
                <w:color w:val="auto"/>
              </w:rPr>
              <w:t>fees</w:t>
            </w:r>
          </w:p>
        </w:tc>
        <w:tc>
          <w:tcPr>
            <w:tcW w:w="860" w:type="dxa"/>
            <w:vAlign w:val="bottom"/>
          </w:tcPr>
          <w:p>
            <w:pPr>
              <w:jc w:val="right"/>
              <w:spacing w:after="0"/>
              <w:rPr>
                <w:sz w:val="20"/>
                <w:szCs w:val="20"/>
                <w:color w:val="auto"/>
              </w:rPr>
            </w:pPr>
            <w:r>
              <w:rPr>
                <w:rFonts w:ascii="Arial" w:cs="Arial" w:eastAsia="Arial" w:hAnsi="Arial"/>
                <w:sz w:val="16"/>
                <w:szCs w:val="16"/>
                <w:color w:val="auto"/>
              </w:rPr>
              <w:t>31,945</w:t>
            </w:r>
          </w:p>
        </w:tc>
        <w:tc>
          <w:tcPr>
            <w:tcW w:w="620" w:type="dxa"/>
            <w:vAlign w:val="bottom"/>
          </w:tcPr>
          <w:p>
            <w:pPr>
              <w:spacing w:after="0"/>
              <w:rPr>
                <w:sz w:val="17"/>
                <w:szCs w:val="17"/>
                <w:color w:val="auto"/>
              </w:rPr>
            </w:pP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gridSpan w:val="2"/>
          </w:tcPr>
          <w:p>
            <w:pPr>
              <w:ind w:left="1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79,839</w:t>
            </w:r>
          </w:p>
        </w:tc>
        <w:tc>
          <w:tcPr>
            <w:tcW w:w="140" w:type="dxa"/>
            <w:vAlign w:val="bottom"/>
          </w:tcPr>
          <w:p>
            <w:pPr>
              <w:spacing w:after="0"/>
              <w:rPr>
                <w:sz w:val="17"/>
                <w:szCs w:val="17"/>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79,839</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79,839</w:t>
            </w:r>
          </w:p>
        </w:tc>
        <w:tc>
          <w:tcPr>
            <w:tcW w:w="0" w:type="dxa"/>
            <w:vAlign w:val="bottom"/>
          </w:tcPr>
          <w:p>
            <w:pPr>
              <w:spacing w:after="0"/>
              <w:rPr>
                <w:sz w:val="1"/>
                <w:szCs w:val="1"/>
                <w:color w:val="auto"/>
              </w:rPr>
            </w:pPr>
          </w:p>
        </w:tc>
      </w:tr>
      <w:tr>
        <w:trPr>
          <w:trHeight w:val="191"/>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Conversion of Preferred A Stock</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6,865</w:t>
            </w:r>
          </w:p>
        </w:tc>
        <w:tc>
          <w:tcPr>
            <w:tcW w:w="620" w:type="dxa"/>
            <w:vAlign w:val="bottom"/>
            <w:tcBorders>
              <w:left w:val="single" w:sz="8" w:color="CCEEFF"/>
            </w:tcBorders>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5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520" w:type="dxa"/>
            <w:vAlign w:val="bottom"/>
            <w:gridSpan w:val="2"/>
          </w:tcPr>
          <w:p>
            <w:pPr>
              <w:spacing w:after="0"/>
              <w:rPr>
                <w:sz w:val="20"/>
                <w:szCs w:val="20"/>
                <w:color w:val="auto"/>
              </w:rPr>
            </w:pPr>
            <w:r>
              <w:rPr>
                <w:rFonts w:ascii="Arial" w:cs="Arial" w:eastAsia="Arial" w:hAnsi="Arial"/>
                <w:sz w:val="16"/>
                <w:szCs w:val="16"/>
                <w:color w:val="auto"/>
              </w:rPr>
              <w:t>Exercise of options</w:t>
            </w:r>
          </w:p>
        </w:tc>
        <w:tc>
          <w:tcPr>
            <w:tcW w:w="860" w:type="dxa"/>
            <w:vAlign w:val="bottom"/>
          </w:tcPr>
          <w:p>
            <w:pPr>
              <w:jc w:val="right"/>
              <w:spacing w:after="0"/>
              <w:rPr>
                <w:sz w:val="20"/>
                <w:szCs w:val="20"/>
                <w:color w:val="auto"/>
              </w:rPr>
            </w:pPr>
            <w:r>
              <w:rPr>
                <w:rFonts w:ascii="Arial" w:cs="Arial" w:eastAsia="Arial" w:hAnsi="Arial"/>
                <w:sz w:val="16"/>
                <w:szCs w:val="16"/>
                <w:color w:val="auto"/>
              </w:rPr>
              <w:t>872</w:t>
            </w:r>
          </w:p>
        </w:tc>
        <w:tc>
          <w:tcPr>
            <w:tcW w:w="620" w:type="dxa"/>
            <w:vAlign w:val="bottom"/>
          </w:tcPr>
          <w:p>
            <w:pPr>
              <w:spacing w:after="0"/>
              <w:rPr>
                <w:sz w:val="16"/>
                <w:szCs w:val="16"/>
                <w:color w:val="auto"/>
              </w:rPr>
            </w:pP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gridSpan w:val="2"/>
          </w:tcPr>
          <w:p>
            <w:pPr>
              <w:ind w:left="1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439</w:t>
            </w:r>
          </w:p>
        </w:tc>
        <w:tc>
          <w:tcPr>
            <w:tcW w:w="140" w:type="dxa"/>
            <w:vAlign w:val="bottom"/>
          </w:tcPr>
          <w:p>
            <w:pPr>
              <w:spacing w:after="0"/>
              <w:rPr>
                <w:sz w:val="16"/>
                <w:szCs w:val="16"/>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of warrants</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620" w:type="dxa"/>
            <w:vAlign w:val="bottom"/>
            <w:tcBorders>
              <w:left w:val="single" w:sz="8" w:color="CCEEFF"/>
            </w:tcBorders>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1"/>
        </w:trPr>
        <w:tc>
          <w:tcPr>
            <w:tcW w:w="25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400" w:type="dxa"/>
            <w:vAlign w:val="bottom"/>
          </w:tcPr>
          <w:p>
            <w:pPr>
              <w:ind w:left="1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gridSpan w:val="2"/>
          </w:tcPr>
          <w:p>
            <w:pPr>
              <w:ind w:left="14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(3,810)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(3,810)</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(3,843)</w:t>
            </w:r>
          </w:p>
        </w:tc>
        <w:tc>
          <w:tcPr>
            <w:tcW w:w="0" w:type="dxa"/>
            <w:vAlign w:val="bottom"/>
          </w:tcPr>
          <w:p>
            <w:pPr>
              <w:spacing w:after="0"/>
              <w:rPr>
                <w:sz w:val="1"/>
                <w:szCs w:val="1"/>
                <w:color w:val="auto"/>
              </w:rPr>
            </w:pPr>
          </w:p>
        </w:tc>
      </w:tr>
      <w:tr>
        <w:trPr>
          <w:trHeight w:val="24"/>
        </w:trPr>
        <w:tc>
          <w:tcPr>
            <w:tcW w:w="25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Balance at March 31, 2021</w:t>
            </w:r>
          </w:p>
        </w:tc>
        <w:tc>
          <w:tcPr>
            <w:tcW w:w="860" w:type="dxa"/>
            <w:vAlign w:val="bottom"/>
            <w:tcBorders>
              <w:right w:val="single" w:sz="8" w:color="auto"/>
            </w:tcBorders>
            <w:shd w:val="clear" w:color="auto" w:fill="000000"/>
          </w:tcPr>
          <w:p>
            <w:pPr>
              <w:spacing w:after="0"/>
              <w:rPr>
                <w:sz w:val="2"/>
                <w:szCs w:val="2"/>
                <w:color w:val="auto"/>
              </w:rPr>
            </w:pPr>
          </w:p>
        </w:tc>
        <w:tc>
          <w:tcPr>
            <w:tcW w:w="620" w:type="dxa"/>
            <w:vAlign w:val="bottom"/>
            <w:tcBorders>
              <w:left w:val="single" w:sz="8" w:color="CCEEFF"/>
            </w:tcBorders>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520" w:type="dxa"/>
            <w:vAlign w:val="bottom"/>
            <w:gridSpan w:val="2"/>
            <w:vMerge w:val="continue"/>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101,476</w:t>
            </w:r>
          </w:p>
        </w:tc>
        <w:tc>
          <w:tcPr>
            <w:tcW w:w="620" w:type="dxa"/>
            <w:vAlign w:val="bottom"/>
            <w:tcBorders>
              <w:left w:val="single" w:sz="8" w:color="CCEEFF"/>
            </w:tcBorders>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40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176,179</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(30,320</w:t>
            </w:r>
          </w:p>
        </w:tc>
        <w:tc>
          <w:tcPr>
            <w:tcW w:w="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145,859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146,051</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381"/>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center"/>
              <w:ind w:right="141"/>
              <w:spacing w:after="0"/>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Stockholders’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321"/>
              <w:spacing w:after="0" w:line="158" w:lineRule="exact"/>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3"/>
                <w:szCs w:val="13"/>
                <w:color w:val="auto"/>
              </w:rPr>
            </w:pPr>
          </w:p>
        </w:tc>
        <w:tc>
          <w:tcPr>
            <w:tcW w:w="840" w:type="dxa"/>
            <w:vAlign w:val="bottom"/>
          </w:tcPr>
          <w:p>
            <w:pPr>
              <w:jc w:val="center"/>
              <w:ind w:right="181"/>
              <w:spacing w:after="0" w:line="158"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92"/>
        </w:trPr>
        <w:tc>
          <w:tcPr>
            <w:tcW w:w="2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Common Stock</w:t>
            </w:r>
          </w:p>
        </w:tc>
        <w:tc>
          <w:tcPr>
            <w:tcW w:w="400" w:type="dxa"/>
            <w:vAlign w:val="bottom"/>
          </w:tcPr>
          <w:p>
            <w:pPr>
              <w:spacing w:after="0"/>
              <w:rPr>
                <w:sz w:val="16"/>
                <w:szCs w:val="16"/>
                <w:color w:val="auto"/>
              </w:rPr>
            </w:pPr>
          </w:p>
        </w:tc>
        <w:tc>
          <w:tcPr>
            <w:tcW w:w="1460" w:type="dxa"/>
            <w:vAlign w:val="bottom"/>
            <w:gridSpan w:val="4"/>
          </w:tcPr>
          <w:p>
            <w:pPr>
              <w:ind w:left="180"/>
              <w:spacing w:after="0"/>
              <w:rPr>
                <w:sz w:val="20"/>
                <w:szCs w:val="20"/>
                <w:color w:val="auto"/>
              </w:rPr>
            </w:pPr>
            <w:r>
              <w:rPr>
                <w:rFonts w:ascii="Arial" w:cs="Arial" w:eastAsia="Arial" w:hAnsi="Arial"/>
                <w:sz w:val="16"/>
                <w:szCs w:val="16"/>
                <w:b w:val="1"/>
                <w:bCs w:val="1"/>
                <w:color w:val="auto"/>
                <w:w w:val="93"/>
              </w:rPr>
              <w:t>Preferred A Stock</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center"/>
              <w:ind w:right="221"/>
              <w:spacing w:after="0"/>
              <w:rPr>
                <w:sz w:val="20"/>
                <w:szCs w:val="20"/>
                <w:color w:val="auto"/>
              </w:rPr>
            </w:pPr>
            <w:r>
              <w:rPr>
                <w:rFonts w:ascii="Arial" w:cs="Arial" w:eastAsia="Arial" w:hAnsi="Arial"/>
                <w:sz w:val="16"/>
                <w:szCs w:val="16"/>
                <w:b w:val="1"/>
                <w:bCs w:val="1"/>
                <w:color w:val="auto"/>
                <w:w w:val="95"/>
              </w:rPr>
              <w:t>Paid-In-</w:t>
            </w:r>
          </w:p>
        </w:tc>
        <w:tc>
          <w:tcPr>
            <w:tcW w:w="1000" w:type="dxa"/>
            <w:vAlign w:val="bottom"/>
            <w:gridSpan w:val="3"/>
          </w:tcPr>
          <w:p>
            <w:pPr>
              <w:spacing w:after="0"/>
              <w:rPr>
                <w:sz w:val="20"/>
                <w:szCs w:val="20"/>
                <w:color w:val="auto"/>
              </w:rPr>
            </w:pPr>
            <w:r>
              <w:rPr>
                <w:rFonts w:ascii="Arial" w:cs="Arial" w:eastAsia="Arial" w:hAnsi="Arial"/>
                <w:sz w:val="16"/>
                <w:szCs w:val="16"/>
                <w:b w:val="1"/>
                <w:bCs w:val="1"/>
                <w:color w:val="auto"/>
                <w:w w:val="97"/>
              </w:rPr>
              <w:t>Accumulated</w:t>
            </w:r>
          </w:p>
        </w:tc>
        <w:tc>
          <w:tcPr>
            <w:tcW w:w="20" w:type="dxa"/>
            <w:vAlign w:val="bottom"/>
          </w:tcPr>
          <w:p>
            <w:pPr>
              <w:spacing w:after="0"/>
              <w:rPr>
                <w:sz w:val="16"/>
                <w:szCs w:val="16"/>
                <w:color w:val="auto"/>
              </w:rPr>
            </w:pPr>
          </w:p>
        </w:tc>
        <w:tc>
          <w:tcPr>
            <w:tcW w:w="1060" w:type="dxa"/>
            <w:vAlign w:val="bottom"/>
            <w:gridSpan w:val="2"/>
          </w:tcPr>
          <w:p>
            <w:pPr>
              <w:jc w:val="center"/>
              <w:ind w:right="61"/>
              <w:spacing w:after="0"/>
              <w:rPr>
                <w:sz w:val="20"/>
                <w:szCs w:val="20"/>
                <w:color w:val="auto"/>
              </w:rPr>
            </w:pPr>
            <w:r>
              <w:rPr>
                <w:rFonts w:ascii="Arial" w:cs="Arial" w:eastAsia="Arial" w:hAnsi="Arial"/>
                <w:sz w:val="16"/>
                <w:szCs w:val="16"/>
                <w:b w:val="1"/>
                <w:bCs w:val="1"/>
                <w:color w:val="auto"/>
                <w:w w:val="91"/>
              </w:rPr>
              <w:t>attributable</w:t>
            </w:r>
          </w:p>
        </w:tc>
        <w:tc>
          <w:tcPr>
            <w:tcW w:w="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Controlling</w:t>
            </w: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6"/>
                <w:szCs w:val="16"/>
                <w:b w:val="1"/>
                <w:bCs w:val="1"/>
                <w:color w:val="auto"/>
              </w:rPr>
              <w:t>(As Restated)</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(As Restated)</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141"/>
              <w:spacing w:after="0" w:line="222" w:lineRule="exact"/>
              <w:rPr>
                <w:sz w:val="20"/>
                <w:szCs w:val="20"/>
                <w:color w:val="auto"/>
              </w:rPr>
            </w:pPr>
            <w:r>
              <w:rPr>
                <w:rFonts w:ascii="Arial" w:cs="Arial" w:eastAsia="Arial" w:hAnsi="Arial"/>
                <w:sz w:val="15"/>
                <w:szCs w:val="15"/>
                <w:b w:val="1"/>
                <w:bCs w:val="1"/>
                <w:color w:val="auto"/>
                <w:w w:val="91"/>
              </w:rPr>
              <w:t xml:space="preserve">Capital </w:t>
            </w:r>
            <w:r>
              <w:rPr>
                <w:rFonts w:ascii="Arial" w:cs="Arial" w:eastAsia="Arial" w:hAnsi="Arial"/>
                <w:sz w:val="25"/>
                <w:szCs w:val="25"/>
                <w:color w:val="auto"/>
                <w:w w:val="91"/>
                <w:vertAlign w:val="superscript"/>
              </w:rPr>
              <w:t>(1)</w:t>
            </w:r>
          </w:p>
        </w:tc>
        <w:tc>
          <w:tcPr>
            <w:tcW w:w="140" w:type="dxa"/>
            <w:vAlign w:val="bottom"/>
          </w:tcPr>
          <w:p>
            <w:pPr>
              <w:spacing w:after="0"/>
              <w:rPr>
                <w:sz w:val="19"/>
                <w:szCs w:val="19"/>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6"/>
                <w:szCs w:val="16"/>
                <w:b w:val="1"/>
                <w:bCs w:val="1"/>
                <w:color w:val="auto"/>
              </w:rPr>
              <w:t>Deficit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181"/>
              <w:spacing w:after="0"/>
              <w:rPr>
                <w:sz w:val="20"/>
                <w:szCs w:val="20"/>
                <w:color w:val="auto"/>
              </w:rPr>
            </w:pPr>
            <w:r>
              <w:rPr>
                <w:rFonts w:ascii="Arial" w:cs="Arial" w:eastAsia="Arial" w:hAnsi="Arial"/>
                <w:sz w:val="16"/>
                <w:szCs w:val="16"/>
                <w:b w:val="1"/>
                <w:bCs w:val="1"/>
                <w:color w:val="auto"/>
                <w:w w:val="91"/>
              </w:rPr>
              <w:t>to Agrify</w:t>
            </w:r>
          </w:p>
        </w:tc>
        <w:tc>
          <w:tcPr>
            <w:tcW w:w="100" w:type="dxa"/>
            <w:vAlign w:val="bottom"/>
          </w:tcPr>
          <w:p>
            <w:pPr>
              <w:spacing w:after="0"/>
              <w:rPr>
                <w:sz w:val="19"/>
                <w:szCs w:val="19"/>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Interests</w:t>
            </w:r>
          </w:p>
        </w:tc>
        <w:tc>
          <w:tcPr>
            <w:tcW w:w="160" w:type="dxa"/>
            <w:vAlign w:val="bottom"/>
          </w:tcPr>
          <w:p>
            <w:pPr>
              <w:spacing w:after="0"/>
              <w:rPr>
                <w:sz w:val="19"/>
                <w:szCs w:val="19"/>
                <w:color w:val="auto"/>
              </w:rPr>
            </w:pPr>
          </w:p>
        </w:tc>
        <w:tc>
          <w:tcPr>
            <w:tcW w:w="840" w:type="dxa"/>
            <w:vAlign w:val="bottom"/>
          </w:tcPr>
          <w:p>
            <w:pPr>
              <w:jc w:val="center"/>
              <w:ind w:right="141"/>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28"/>
        </w:trPr>
        <w:tc>
          <w:tcPr>
            <w:tcW w:w="2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ind w:right="101"/>
              <w:spacing w:after="0" w:line="225" w:lineRule="exact"/>
              <w:rPr>
                <w:sz w:val="20"/>
                <w:szCs w:val="20"/>
                <w:color w:val="auto"/>
              </w:rPr>
            </w:pPr>
            <w:r>
              <w:rPr>
                <w:rFonts w:ascii="Arial" w:cs="Arial" w:eastAsia="Arial" w:hAnsi="Arial"/>
                <w:sz w:val="16"/>
                <w:szCs w:val="16"/>
                <w:b w:val="1"/>
                <w:bCs w:val="1"/>
                <w:color w:val="auto"/>
                <w:w w:val="88"/>
              </w:rPr>
              <w:t>Shares</w:t>
            </w:r>
            <w:r>
              <w:rPr>
                <w:rFonts w:ascii="Arial" w:cs="Arial" w:eastAsia="Arial" w:hAnsi="Arial"/>
                <w:sz w:val="26"/>
                <w:szCs w:val="26"/>
                <w:color w:val="auto"/>
                <w:w w:val="88"/>
                <w:vertAlign w:val="superscript"/>
              </w:rPr>
              <w:t>(1)</w:t>
            </w:r>
          </w:p>
        </w:tc>
        <w:tc>
          <w:tcPr>
            <w:tcW w:w="1020" w:type="dxa"/>
            <w:vAlign w:val="bottom"/>
            <w:gridSpan w:val="2"/>
          </w:tcPr>
          <w:p>
            <w:pPr>
              <w:ind w:left="80"/>
              <w:spacing w:after="0" w:line="225" w:lineRule="exact"/>
              <w:rPr>
                <w:sz w:val="20"/>
                <w:szCs w:val="20"/>
                <w:color w:val="auto"/>
              </w:rPr>
            </w:pPr>
            <w:r>
              <w:rPr>
                <w:rFonts w:ascii="Arial" w:cs="Arial" w:eastAsia="Arial" w:hAnsi="Arial"/>
                <w:sz w:val="16"/>
                <w:szCs w:val="16"/>
                <w:b w:val="1"/>
                <w:bCs w:val="1"/>
                <w:color w:val="auto"/>
              </w:rPr>
              <w:t>Amount</w:t>
            </w:r>
            <w:r>
              <w:rPr>
                <w:rFonts w:ascii="Arial" w:cs="Arial" w:eastAsia="Arial" w:hAnsi="Arial"/>
                <w:sz w:val="26"/>
                <w:szCs w:val="26"/>
                <w:color w:val="auto"/>
                <w:vertAlign w:val="superscript"/>
              </w:rPr>
              <w:t>(1)</w:t>
            </w:r>
          </w:p>
        </w:tc>
        <w:tc>
          <w:tcPr>
            <w:tcW w:w="8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84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1040" w:type="dxa"/>
            <w:vAlign w:val="bottom"/>
            <w:gridSpan w:val="3"/>
          </w:tcPr>
          <w:p>
            <w:pPr>
              <w:jc w:val="center"/>
              <w:ind w:right="41"/>
              <w:spacing w:after="0"/>
              <w:rPr>
                <w:sz w:val="20"/>
                <w:szCs w:val="20"/>
                <w:color w:val="auto"/>
              </w:rPr>
            </w:pPr>
            <w:r>
              <w:rPr>
                <w:rFonts w:ascii="Arial" w:cs="Arial" w:eastAsia="Arial" w:hAnsi="Arial"/>
                <w:sz w:val="16"/>
                <w:szCs w:val="16"/>
                <w:b w:val="1"/>
                <w:bCs w:val="1"/>
                <w:color w:val="auto"/>
                <w:w w:val="89"/>
              </w:rPr>
              <w:t>(As Restated)</w:t>
            </w:r>
          </w:p>
        </w:tc>
        <w:tc>
          <w:tcPr>
            <w:tcW w:w="1000" w:type="dxa"/>
            <w:vAlign w:val="bottom"/>
            <w:gridSpan w:val="3"/>
          </w:tcPr>
          <w:p>
            <w:pPr>
              <w:spacing w:after="0"/>
              <w:rPr>
                <w:sz w:val="20"/>
                <w:szCs w:val="20"/>
                <w:color w:val="auto"/>
              </w:rPr>
            </w:pPr>
            <w:r>
              <w:rPr>
                <w:rFonts w:ascii="Arial" w:cs="Arial" w:eastAsia="Arial" w:hAnsi="Arial"/>
                <w:sz w:val="16"/>
                <w:szCs w:val="16"/>
                <w:b w:val="1"/>
                <w:bCs w:val="1"/>
                <w:color w:val="auto"/>
                <w:w w:val="94"/>
              </w:rPr>
              <w:t>(As Restated)</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(As Restated)</w:t>
            </w:r>
          </w:p>
        </w:tc>
        <w:tc>
          <w:tcPr>
            <w:tcW w:w="9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(As Restated)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(As Restated)</w:t>
            </w:r>
          </w:p>
        </w:tc>
        <w:tc>
          <w:tcPr>
            <w:tcW w:w="0" w:type="dxa"/>
            <w:vAlign w:val="bottom"/>
          </w:tcPr>
          <w:p>
            <w:pPr>
              <w:spacing w:after="0"/>
              <w:rPr>
                <w:sz w:val="1"/>
                <w:szCs w:val="1"/>
                <w:color w:val="auto"/>
              </w:rPr>
            </w:pPr>
          </w:p>
        </w:tc>
      </w:tr>
      <w:tr>
        <w:trPr>
          <w:trHeight w:val="189"/>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2022</w:t>
            </w:r>
          </w:p>
        </w:tc>
        <w:tc>
          <w:tcPr>
            <w:tcW w:w="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111,035</w:t>
            </w:r>
          </w:p>
        </w:tc>
        <w:tc>
          <w:tcPr>
            <w:tcW w:w="620" w:type="dxa"/>
            <w:vAlign w:val="bottom"/>
            <w:tcBorders>
              <w:top w:val="single" w:sz="8" w:color="auto"/>
              <w:left w:val="single" w:sz="8" w:color="CCEEFF"/>
            </w:tcBorders>
            <w:shd w:val="clear" w:color="auto" w:fill="CCEEFF"/>
          </w:tcPr>
          <w:p>
            <w:pPr>
              <w:jc w:val="center"/>
              <w:ind w:right="46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right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w w:val="87"/>
              </w:rPr>
              <w:t>—</w:t>
            </w: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196,034</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(58,975)</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righ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137,059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137,424</w:t>
            </w:r>
          </w:p>
        </w:tc>
        <w:tc>
          <w:tcPr>
            <w:tcW w:w="0" w:type="dxa"/>
            <w:vAlign w:val="bottom"/>
          </w:tcPr>
          <w:p>
            <w:pPr>
              <w:spacing w:after="0"/>
              <w:rPr>
                <w:sz w:val="1"/>
                <w:szCs w:val="1"/>
                <w:color w:val="auto"/>
              </w:rPr>
            </w:pPr>
          </w:p>
        </w:tc>
      </w:tr>
      <w:tr>
        <w:trPr>
          <w:trHeight w:val="189"/>
        </w:trPr>
        <w:tc>
          <w:tcPr>
            <w:tcW w:w="252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953</w:t>
            </w:r>
          </w:p>
        </w:tc>
        <w:tc>
          <w:tcPr>
            <w:tcW w:w="140" w:type="dxa"/>
            <w:vAlign w:val="bottom"/>
          </w:tcPr>
          <w:p>
            <w:pPr>
              <w:spacing w:after="0"/>
              <w:rPr>
                <w:sz w:val="16"/>
                <w:szCs w:val="16"/>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177"/>
        </w:trPr>
        <w:tc>
          <w:tcPr>
            <w:tcW w:w="252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Issuance of Common Stock and</w:t>
            </w:r>
          </w:p>
        </w:tc>
        <w:tc>
          <w:tcPr>
            <w:tcW w:w="860" w:type="dxa"/>
            <w:vAlign w:val="bottom"/>
            <w:tcBorders>
              <w:right w:val="single" w:sz="8" w:color="CCEEFF"/>
            </w:tcBorders>
            <w:shd w:val="clear" w:color="auto" w:fill="CCEEFF"/>
          </w:tcPr>
          <w:p>
            <w:pPr>
              <w:spacing w:after="0"/>
              <w:rPr>
                <w:sz w:val="15"/>
                <w:szCs w:val="15"/>
                <w:color w:val="auto"/>
              </w:rPr>
            </w:pPr>
          </w:p>
        </w:tc>
        <w:tc>
          <w:tcPr>
            <w:tcW w:w="620" w:type="dxa"/>
            <w:vAlign w:val="bottom"/>
            <w:tcBorders>
              <w:lef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warrants in private placement</w:t>
            </w:r>
          </w:p>
        </w:tc>
        <w:tc>
          <w:tcPr>
            <w:tcW w:w="8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12,252</w:t>
            </w:r>
          </w:p>
        </w:tc>
        <w:tc>
          <w:tcPr>
            <w:tcW w:w="620" w:type="dxa"/>
            <w:vAlign w:val="bottom"/>
            <w:tcBorders>
              <w:left w:val="single" w:sz="8" w:color="CCEEFF"/>
            </w:tcBorders>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14,800</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14,800</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14,800</w:t>
            </w:r>
          </w:p>
        </w:tc>
        <w:tc>
          <w:tcPr>
            <w:tcW w:w="0" w:type="dxa"/>
            <w:vAlign w:val="bottom"/>
          </w:tcPr>
          <w:p>
            <w:pPr>
              <w:spacing w:after="0"/>
              <w:rPr>
                <w:sz w:val="1"/>
                <w:szCs w:val="1"/>
                <w:color w:val="auto"/>
              </w:rPr>
            </w:pPr>
          </w:p>
        </w:tc>
      </w:tr>
      <w:tr>
        <w:trPr>
          <w:trHeight w:val="189"/>
        </w:trPr>
        <w:tc>
          <w:tcPr>
            <w:tcW w:w="2520" w:type="dxa"/>
            <w:vAlign w:val="bottom"/>
            <w:gridSpan w:val="2"/>
          </w:tcPr>
          <w:p>
            <w:pPr>
              <w:spacing w:after="0"/>
              <w:rPr>
                <w:sz w:val="20"/>
                <w:szCs w:val="20"/>
                <w:color w:val="auto"/>
              </w:rPr>
            </w:pPr>
            <w:r>
              <w:rPr>
                <w:rFonts w:ascii="Arial" w:cs="Arial" w:eastAsia="Arial" w:hAnsi="Arial"/>
                <w:sz w:val="16"/>
                <w:szCs w:val="16"/>
                <w:color w:val="auto"/>
              </w:rPr>
              <w:t>Acquisition of Lab Society</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1,490</w:t>
            </w:r>
          </w:p>
        </w:tc>
        <w:tc>
          <w:tcPr>
            <w:tcW w:w="620" w:type="dxa"/>
            <w:vAlign w:val="bottom"/>
          </w:tcPr>
          <w:p>
            <w:pPr>
              <w:spacing w:after="0"/>
              <w:rPr>
                <w:sz w:val="16"/>
                <w:szCs w:val="16"/>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1,903</w:t>
            </w:r>
          </w:p>
        </w:tc>
        <w:tc>
          <w:tcPr>
            <w:tcW w:w="140" w:type="dxa"/>
            <w:vAlign w:val="bottom"/>
          </w:tcPr>
          <w:p>
            <w:pPr>
              <w:spacing w:after="0"/>
              <w:rPr>
                <w:sz w:val="16"/>
                <w:szCs w:val="16"/>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Exercise of options</w:t>
            </w:r>
          </w:p>
        </w:tc>
        <w:tc>
          <w:tcPr>
            <w:tcW w:w="8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c>
          <w:tcPr>
            <w:tcW w:w="620" w:type="dxa"/>
            <w:vAlign w:val="bottom"/>
            <w:tcBorders>
              <w:left w:val="single" w:sz="8" w:color="CCEEFF"/>
            </w:tcBorders>
            <w:shd w:val="clear" w:color="auto" w:fill="CCEEFF"/>
          </w:tcPr>
          <w:p>
            <w:pPr>
              <w:spacing w:after="0"/>
              <w:rPr>
                <w:sz w:val="16"/>
                <w:szCs w:val="16"/>
                <w:color w:val="auto"/>
              </w:rPr>
            </w:pPr>
          </w:p>
        </w:tc>
        <w:tc>
          <w:tcPr>
            <w:tcW w:w="4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2520" w:type="dxa"/>
            <w:vAlign w:val="bottom"/>
            <w:gridSpan w:val="2"/>
          </w:tcPr>
          <w:p>
            <w:pPr>
              <w:spacing w:after="0"/>
              <w:rPr>
                <w:sz w:val="20"/>
                <w:szCs w:val="20"/>
                <w:color w:val="auto"/>
              </w:rPr>
            </w:pPr>
            <w:r>
              <w:rPr>
                <w:rFonts w:ascii="Arial" w:cs="Arial" w:eastAsia="Arial" w:hAnsi="Arial"/>
                <w:sz w:val="16"/>
                <w:szCs w:val="16"/>
                <w:color w:val="auto"/>
              </w:rPr>
              <w:t>Exercise of warrants</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7,916</w:t>
            </w:r>
          </w:p>
        </w:tc>
        <w:tc>
          <w:tcPr>
            <w:tcW w:w="620" w:type="dxa"/>
            <w:vAlign w:val="bottom"/>
          </w:tcPr>
          <w:p>
            <w:pPr>
              <w:spacing w:after="0"/>
              <w:rPr>
                <w:sz w:val="16"/>
                <w:szCs w:val="16"/>
                <w:color w:val="auto"/>
              </w:rPr>
            </w:pP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86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20" w:type="dxa"/>
            <w:vAlign w:val="bottom"/>
            <w:tcBorders>
              <w:lef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1,780</w:t>
            </w: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0" w:type="dxa"/>
            <w:vAlign w:val="bottom"/>
          </w:tcPr>
          <w:p>
            <w:pPr>
              <w:spacing w:after="0"/>
              <w:rPr>
                <w:sz w:val="1"/>
                <w:szCs w:val="1"/>
                <w:color w:val="auto"/>
              </w:rPr>
            </w:pPr>
          </w:p>
        </w:tc>
      </w:tr>
      <w:tr>
        <w:trPr>
          <w:trHeight w:val="145"/>
        </w:trPr>
        <w:tc>
          <w:tcPr>
            <w:tcW w:w="2480" w:type="dxa"/>
            <w:vAlign w:val="bottom"/>
            <w:tcBorders>
              <w:top w:val="single" w:sz="8" w:color="CCEEFF"/>
            </w:tcBorders>
          </w:tcPr>
          <w:p>
            <w:pPr>
              <w:spacing w:after="0" w:line="145" w:lineRule="exact"/>
              <w:rPr>
                <w:sz w:val="20"/>
                <w:szCs w:val="20"/>
                <w:color w:val="auto"/>
              </w:rPr>
            </w:pPr>
            <w:r>
              <w:rPr>
                <w:rFonts w:ascii="Arial" w:cs="Arial" w:eastAsia="Arial" w:hAnsi="Arial"/>
                <w:sz w:val="16"/>
                <w:szCs w:val="16"/>
                <w:b w:val="1"/>
                <w:bCs w:val="1"/>
                <w:color w:val="auto"/>
              </w:rPr>
              <w:t>Balance at March 31, 2022, as</w:t>
            </w: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520" w:type="dxa"/>
            <w:vAlign w:val="bottom"/>
            <w:gridSpan w:val="2"/>
          </w:tcPr>
          <w:p>
            <w:pPr>
              <w:ind w:left="140"/>
              <w:spacing w:after="0"/>
              <w:rPr>
                <w:sz w:val="20"/>
                <w:szCs w:val="20"/>
                <w:color w:val="auto"/>
              </w:rPr>
            </w:pPr>
            <w:r>
              <w:rPr>
                <w:rFonts w:ascii="Arial" w:cs="Arial" w:eastAsia="Arial" w:hAnsi="Arial"/>
                <w:sz w:val="16"/>
                <w:szCs w:val="16"/>
                <w:b w:val="1"/>
                <w:bCs w:val="1"/>
                <w:color w:val="auto"/>
              </w:rPr>
              <w:t>restated</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132,714</w:t>
            </w:r>
          </w:p>
        </w:tc>
        <w:tc>
          <w:tcPr>
            <w:tcW w:w="620" w:type="dxa"/>
            <w:vAlign w:val="bottom"/>
          </w:tcPr>
          <w:p>
            <w:pPr>
              <w:jc w:val="center"/>
              <w:ind w:right="461"/>
              <w:spacing w:after="0"/>
              <w:rPr>
                <w:sz w:val="20"/>
                <w:szCs w:val="20"/>
                <w:color w:val="auto"/>
              </w:rPr>
            </w:pPr>
            <w:r>
              <w:rPr>
                <w:rFonts w:ascii="Arial" w:cs="Arial" w:eastAsia="Arial" w:hAnsi="Arial"/>
                <w:sz w:val="16"/>
                <w:szCs w:val="16"/>
                <w:color w:val="auto"/>
                <w:w w:val="89"/>
              </w:rPr>
              <w:t>$</w:t>
            </w:r>
          </w:p>
        </w:tc>
        <w:tc>
          <w:tcPr>
            <w:tcW w:w="400" w:type="dxa"/>
            <w:vAlign w:val="bottom"/>
          </w:tcPr>
          <w:p>
            <w:pPr>
              <w:ind w:left="8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21"/>
                <w:szCs w:val="21"/>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1"/>
                <w:szCs w:val="21"/>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213,701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spacing w:after="0" w:line="241" w:lineRule="exact"/>
              <w:rPr>
                <w:sz w:val="20"/>
                <w:szCs w:val="20"/>
                <w:color w:val="auto"/>
              </w:rPr>
            </w:pPr>
            <w:r>
              <w:rPr>
                <w:rFonts w:ascii="Arial" w:cs="Arial" w:eastAsia="Arial" w:hAnsi="Arial"/>
                <w:sz w:val="14"/>
                <w:szCs w:val="14"/>
                <w:color w:val="auto"/>
              </w:rPr>
              <w:t>(57,195</w:t>
            </w: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156,506</w:t>
            </w:r>
          </w:p>
        </w:tc>
        <w:tc>
          <w:tcPr>
            <w:tcW w:w="10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366</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156,872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5" w:right="40" w:hanging="285"/>
        <w:spacing w:after="0" w:line="257" w:lineRule="auto"/>
        <w:tabs>
          <w:tab w:leader="none" w:pos="285"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Periods presented have been adjusted to reflect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16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8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5"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AGRIFY CORPORATION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6"/>
          </w:tcPr>
          <w:p>
            <w:pPr>
              <w:jc w:val="right"/>
              <w:ind w:right="58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41"/>
              <w:spacing w:after="0" w:line="173"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1"/>
              <w:spacing w:after="0"/>
              <w:rPr>
                <w:sz w:val="20"/>
                <w:szCs w:val="20"/>
                <w:color w:val="auto"/>
              </w:rPr>
            </w:pPr>
            <w:r>
              <w:rPr>
                <w:rFonts w:ascii="Arial" w:cs="Arial" w:eastAsia="Arial" w:hAnsi="Arial"/>
                <w:sz w:val="16"/>
                <w:szCs w:val="16"/>
                <w:b w:val="1"/>
                <w:bCs w:val="1"/>
                <w:color w:val="auto"/>
                <w:w w:val="94"/>
              </w:rPr>
              <w:t>(Restated)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020" w:type="dxa"/>
            <w:vAlign w:val="bottom"/>
            <w:gridSpan w:val="2"/>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Agrify Corporation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1,780</w:t>
            </w:r>
          </w:p>
        </w:tc>
        <w:tc>
          <w:tcPr>
            <w:tcW w:w="400" w:type="dxa"/>
            <w:vAlign w:val="bottom"/>
            <w:gridSpan w:val="2"/>
            <w:shd w:val="clear" w:color="auto" w:fill="CCEEFF"/>
          </w:tcPr>
          <w:p>
            <w:pPr>
              <w:jc w:val="right"/>
              <w:ind w:right="147"/>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spacing w:after="0"/>
              <w:rPr>
                <w:sz w:val="20"/>
                <w:szCs w:val="20"/>
                <w:color w:val="auto"/>
              </w:rPr>
            </w:pPr>
            <w:r>
              <w:rPr>
                <w:rFonts w:ascii="Arial" w:cs="Arial" w:eastAsia="Arial" w:hAnsi="Arial"/>
                <w:sz w:val="16"/>
                <w:szCs w:val="16"/>
                <w:color w:val="auto"/>
                <w:w w:val="97"/>
              </w:rPr>
              <w:t>Adjustments to reconcile net income (loss) attributable to Agrify Corporation to net cash used in operating activities: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Amortization of premium on investment securities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debt discount</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Amortization of issuance costs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on investment securities</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in connection with the issuance of stock options</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953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2,135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Non-cash interest (income) expense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fair value of warrant liabilities</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(10,785)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Gain on extinguishment of notes payable, net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(2,685)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Early termination of lease</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Income (loss) attributable to non-controlling interests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net of acquisitions:</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Accounts receivable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(5,218)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(16,361)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Right of use assets, net</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color w:val="auto"/>
              </w:rPr>
              <w:t>(2,838)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and other current liabilities</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(2,120)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7,360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Deferred revenue, net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cash used in operating activities</w:t>
            </w: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(30,875</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Purchases of property and equipment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color w:val="auto"/>
              </w:rPr>
              <w:t>(3,728)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securities</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(76,097)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Proceeds from the sale of securities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82,460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loan receivable</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(12,487)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Cash paid for business combination, net of cash acquired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color w:val="auto"/>
              </w:rPr>
              <w:t>(3,513)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cash used in investing activities</w:t>
            </w:r>
          </w:p>
        </w:tc>
        <w:tc>
          <w:tcPr>
            <w:tcW w:w="6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(13,365</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Proceeds from issuance of debt and warrants in private placement, net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62,405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Common Stock and warrants in private placement, net of fees</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25,797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Proceeds from IPO, net of fees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56,961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Secondary public offering, net of fees</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79,839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Proceeds from exercise of options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exercise of warrants</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Payments on other financing loans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on insurance financing loan</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Payments of financing leases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cash provided by financing activities</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0" w:type="dxa"/>
            <w:vAlign w:val="bottom"/>
          </w:tcPr>
          <w:p>
            <w:pPr>
              <w:spacing w:after="0" w:line="173" w:lineRule="exact"/>
              <w:rPr>
                <w:sz w:val="20"/>
                <w:szCs w:val="20"/>
                <w:color w:val="auto"/>
              </w:rPr>
            </w:pPr>
            <w:r>
              <w:rPr>
                <w:rFonts w:ascii="Arial" w:cs="Arial" w:eastAsia="Arial" w:hAnsi="Arial"/>
                <w:sz w:val="16"/>
                <w:szCs w:val="16"/>
                <w:color w:val="auto"/>
              </w:rPr>
              <w:t>Net increase in cash, cash equivalents, and restricted cash</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43,191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129,776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cash equivalents, and restricted cash at the beginning of period</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8,111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Borders>
              <w:top w:val="single" w:sz="8" w:color="CCEEFF"/>
            </w:tcBorders>
            <w:vMerge w:val="restart"/>
          </w:tcPr>
          <w:p>
            <w:pPr>
              <w:ind w:left="120"/>
              <w:spacing w:after="0"/>
              <w:rPr>
                <w:sz w:val="20"/>
                <w:szCs w:val="20"/>
                <w:color w:val="auto"/>
              </w:rPr>
            </w:pPr>
            <w:r>
              <w:rPr>
                <w:rFonts w:ascii="Arial" w:cs="Arial" w:eastAsia="Arial" w:hAnsi="Arial"/>
                <w:sz w:val="16"/>
                <w:szCs w:val="16"/>
                <w:color w:val="auto"/>
              </w:rPr>
              <w:t>Cash, cash equivalents, and restricted cash at the end of period</w:t>
            </w: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00" w:type="dxa"/>
            <w:vAlign w:val="bottom"/>
            <w:vMerge w:val="continue"/>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55,205</w:t>
            </w:r>
          </w:p>
        </w:tc>
        <w:tc>
          <w:tcPr>
            <w:tcW w:w="40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137,887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25,205</w:t>
            </w:r>
          </w:p>
        </w:tc>
        <w:tc>
          <w:tcPr>
            <w:tcW w:w="40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137,887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0" w:type="dxa"/>
            <w:vAlign w:val="bottom"/>
            <w:tcBorders>
              <w:top w:val="single" w:sz="8" w:color="CCEEFF"/>
              <w:bottom w:val="single" w:sz="8" w:color="CCEEFF"/>
            </w:tcBorders>
          </w:tcPr>
          <w:p>
            <w:pPr>
              <w:ind w:left="260"/>
              <w:spacing w:after="0" w:line="173" w:lineRule="exact"/>
              <w:rPr>
                <w:sz w:val="20"/>
                <w:szCs w:val="20"/>
                <w:color w:val="auto"/>
              </w:rPr>
            </w:pPr>
            <w:r>
              <w:rPr>
                <w:rFonts w:ascii="Arial" w:cs="Arial" w:eastAsia="Arial" w:hAnsi="Arial"/>
                <w:sz w:val="16"/>
                <w:szCs w:val="16"/>
                <w:color w:val="auto"/>
              </w:rPr>
              <w:t>Total cash, cash equivalents, and restricted cash at the end of period</w:t>
            </w:r>
          </w:p>
        </w:tc>
        <w:tc>
          <w:tcPr>
            <w:tcW w:w="66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55,205</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137,887</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260"/>
              <w:spacing w:after="0"/>
              <w:rPr>
                <w:sz w:val="20"/>
                <w:szCs w:val="20"/>
                <w:color w:val="auto"/>
              </w:rPr>
            </w:pPr>
            <w:r>
              <w:rPr>
                <w:rFonts w:ascii="Arial" w:cs="Arial" w:eastAsia="Arial" w:hAnsi="Arial"/>
                <w:sz w:val="16"/>
                <w:szCs w:val="16"/>
                <w:color w:val="auto"/>
              </w:rPr>
              <w:t>Conversion of Convertible Note to Common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13,100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Supplemental disclosures of non-cash flow information</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tcPr>
          <w:p>
            <w:pPr>
              <w:ind w:left="260"/>
              <w:spacing w:after="0"/>
              <w:rPr>
                <w:sz w:val="20"/>
                <w:szCs w:val="20"/>
                <w:color w:val="auto"/>
              </w:rPr>
            </w:pPr>
            <w:r>
              <w:rPr>
                <w:rFonts w:ascii="Arial" w:cs="Arial" w:eastAsia="Arial" w:hAnsi="Arial"/>
                <w:sz w:val="16"/>
                <w:szCs w:val="16"/>
                <w:color w:val="auto"/>
              </w:rPr>
              <w:t>Initial fair value of warrants</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40,496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Financing of prepaid insurance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1,928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AGRIFY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Nature of Business and Basis of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Business</w:t>
      </w:r>
    </w:p>
    <w:p>
      <w:pPr>
        <w:spacing w:after="0" w:line="198" w:lineRule="exact"/>
        <w:rPr>
          <w:sz w:val="20"/>
          <w:szCs w:val="20"/>
          <w:color w:val="auto"/>
        </w:rPr>
      </w:pPr>
    </w:p>
    <w:p>
      <w:pPr>
        <w:ind w:firstLine="284"/>
        <w:spacing w:after="0" w:line="253" w:lineRule="auto"/>
        <w:rPr>
          <w:sz w:val="20"/>
          <w:szCs w:val="20"/>
          <w:color w:val="auto"/>
        </w:rPr>
      </w:pPr>
      <w:r>
        <w:rPr>
          <w:rFonts w:ascii="Arial" w:cs="Arial" w:eastAsia="Arial" w:hAnsi="Arial"/>
          <w:sz w:val="16"/>
          <w:szCs w:val="16"/>
          <w:color w:val="auto"/>
        </w:rPr>
        <w:t>Agrify Corporation (“Agrify” or the “Company”) is a developer of proprietary precision hardware and software grow solutions for the commercial indoor agriculture industry and provides equipment and solutions for cultivation, extraction, post-processing, and testing for the cannabis and hemp industries. The Company was formed in the State of Nevada on June 6, 2016 as Agrinamics, Inc., and subsequently changed its name to Agrify Corporation. The Company is sometimes referred to herein by the words “we,” “us,” “our,” and similar terminology.</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has nine wholly-owned subsidiaries, which are collectively referred to as the “Subsidiaries”:</w:t>
      </w:r>
    </w:p>
    <w:p>
      <w:pPr>
        <w:spacing w:after="0" w:line="194" w:lineRule="exact"/>
        <w:rPr>
          <w:sz w:val="20"/>
          <w:szCs w:val="20"/>
          <w:color w:val="auto"/>
        </w:rPr>
      </w:pPr>
    </w:p>
    <w:p>
      <w:pPr>
        <w:ind w:left="560" w:hanging="28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AGM Service Corp LLC (formerly AGM Service Corp Inc.);</w:t>
      </w:r>
    </w:p>
    <w:p>
      <w:pPr>
        <w:spacing w:after="0" w:line="194" w:lineRule="exact"/>
        <w:rPr>
          <w:rFonts w:ascii="Arial" w:cs="Arial" w:eastAsia="Arial" w:hAnsi="Arial"/>
          <w:sz w:val="16"/>
          <w:szCs w:val="16"/>
          <w:color w:val="auto"/>
        </w:rPr>
      </w:pPr>
    </w:p>
    <w:p>
      <w:pPr>
        <w:ind w:left="560" w:right="600" w:hanging="282"/>
        <w:spacing w:after="0" w:line="268" w:lineRule="auto"/>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TriGrow Systems, LLC (“TriGrow”, which acted as the Company’s exclusive distributor and which was acquired in January 2020 as TriGrow Systems, Inc. and converted to TriGrow Systems, LLC in May 2020);</w:t>
      </w:r>
    </w:p>
    <w:p>
      <w:pPr>
        <w:spacing w:after="0" w:line="156" w:lineRule="exact"/>
        <w:rPr>
          <w:rFonts w:ascii="Arial" w:cs="Arial" w:eastAsia="Arial" w:hAnsi="Arial"/>
          <w:sz w:val="16"/>
          <w:szCs w:val="16"/>
          <w:color w:val="auto"/>
        </w:rPr>
      </w:pPr>
    </w:p>
    <w:p>
      <w:pPr>
        <w:ind w:left="560" w:hanging="28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Ariafy Finance, LLC;</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Agxiom, LLC;</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Harbor Mountain Holdings, LLC (“HMH”) (acquired in July 2020);</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Cascade Sciences, LLC (“Cascade”) (which was acquired by the Company on October 1, 2021);</w:t>
      </w:r>
    </w:p>
    <w:p>
      <w:pPr>
        <w:spacing w:after="0" w:line="194" w:lineRule="exact"/>
        <w:rPr>
          <w:rFonts w:ascii="Arial" w:cs="Arial" w:eastAsia="Arial" w:hAnsi="Arial"/>
          <w:sz w:val="16"/>
          <w:szCs w:val="16"/>
          <w:color w:val="auto"/>
        </w:rPr>
      </w:pPr>
    </w:p>
    <w:p>
      <w:pPr>
        <w:ind w:left="560" w:right="60" w:hanging="282"/>
        <w:spacing w:after="0" w:line="268" w:lineRule="auto"/>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Precision Extraction NewCo, LLC (“Precision”) (which was a newly formed subsidiary in connection with October 1, 2021 acquisition of Mass2Media, LLC, d/b/a PX2 Holdings, LLC, d/b/a Precision Extraction Solutions and Cascade); and</w:t>
      </w:r>
    </w:p>
    <w:p>
      <w:pPr>
        <w:spacing w:after="0" w:line="156" w:lineRule="exact"/>
        <w:rPr>
          <w:rFonts w:ascii="Arial" w:cs="Arial" w:eastAsia="Arial" w:hAnsi="Arial"/>
          <w:sz w:val="16"/>
          <w:szCs w:val="16"/>
          <w:color w:val="auto"/>
        </w:rPr>
      </w:pPr>
    </w:p>
    <w:p>
      <w:pPr>
        <w:ind w:left="560" w:hanging="28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PurePressure, LLC (“PurePressure”) (which was acquired by the Company on December 31, 2021); and</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Lab Society NewCo, LLC (“Lab Society”) (which was a newly formed subsidiary in connection with February 1, 2022 acquisition of LS Holdings Corp).</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also has ownership interests in the following companies:</w:t>
      </w:r>
    </w:p>
    <w:p>
      <w:pPr>
        <w:spacing w:after="0" w:line="194" w:lineRule="exact"/>
        <w:rPr>
          <w:sz w:val="20"/>
          <w:szCs w:val="20"/>
          <w:color w:val="auto"/>
        </w:rPr>
      </w:pPr>
    </w:p>
    <w:p>
      <w:pPr>
        <w:ind w:left="560" w:hanging="282"/>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Teejan Podoponics International LLC (“TPI”) (the Company has owned 50% of TPI since December 2018);</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Agrify-Valiant, LLC (“Agrify-Valiant”) (the Company owns 60% of Agrify-Valiant, which was formed in December 2019); and</w:t>
      </w:r>
    </w:p>
    <w:p>
      <w:pPr>
        <w:spacing w:after="0" w:line="194" w:lineRule="exact"/>
        <w:rPr>
          <w:rFonts w:ascii="Arial" w:cs="Arial" w:eastAsia="Arial" w:hAnsi="Arial"/>
          <w:sz w:val="16"/>
          <w:szCs w:val="16"/>
          <w:color w:val="auto"/>
        </w:rPr>
      </w:pPr>
    </w:p>
    <w:p>
      <w:pPr>
        <w:ind w:left="560" w:right="220" w:hanging="282"/>
        <w:spacing w:after="0" w:line="268"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Agrify Brands, LLC (“Agrify Brands”) (formerly TriGrow Brands, LLC) (the Company owns 75% of Agrify Brands, which ownership position was created as part of the January 2020 acquisition of TriGrow).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Reverse Stock Split</w:t>
      </w:r>
    </w:p>
    <w:p>
      <w:pPr>
        <w:spacing w:after="0" w:line="198" w:lineRule="exact"/>
        <w:rPr>
          <w:sz w:val="20"/>
          <w:szCs w:val="20"/>
          <w:color w:val="auto"/>
        </w:rPr>
      </w:pPr>
    </w:p>
    <w:p>
      <w:pPr>
        <w:ind w:right="520" w:firstLine="284"/>
        <w:spacing w:after="0" w:line="340" w:lineRule="auto"/>
        <w:rPr>
          <w:sz w:val="20"/>
          <w:szCs w:val="20"/>
          <w:color w:val="auto"/>
        </w:rPr>
      </w:pPr>
      <w:r>
        <w:rPr>
          <w:rFonts w:ascii="Arial" w:cs="Arial" w:eastAsia="Arial" w:hAnsi="Arial"/>
          <w:sz w:val="14"/>
          <w:szCs w:val="14"/>
          <w:color w:val="auto"/>
        </w:rPr>
        <w:t>On January 12, 2021, the Company effected a 1-for-1.581804 reverse stock split (“Reverse Stock Split”) of its Common Stock, $0.001 par value per share (“Common Stock”). All share and per share information has been retroactively adjusted to give effect to the Reverse Stock Split for all periods presented, unless otherwise indicated.</w:t>
      </w:r>
    </w:p>
    <w:p>
      <w:pPr>
        <w:spacing w:after="0" w:line="112" w:lineRule="exact"/>
        <w:rPr>
          <w:sz w:val="20"/>
          <w:szCs w:val="20"/>
          <w:color w:val="auto"/>
        </w:rPr>
      </w:pPr>
    </w:p>
    <w:p>
      <w:pPr>
        <w:ind w:right="180" w:firstLine="284"/>
        <w:spacing w:after="0" w:line="268" w:lineRule="auto"/>
        <w:rPr>
          <w:sz w:val="20"/>
          <w:szCs w:val="20"/>
          <w:color w:val="auto"/>
        </w:rPr>
      </w:pPr>
      <w:r>
        <w:rPr>
          <w:rFonts w:ascii="Arial" w:cs="Arial" w:eastAsia="Arial" w:hAnsi="Arial"/>
          <w:sz w:val="16"/>
          <w:szCs w:val="16"/>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157" w:lineRule="exact"/>
        <w:rPr>
          <w:sz w:val="20"/>
          <w:szCs w:val="20"/>
          <w:color w:val="auto"/>
        </w:rPr>
      </w:pPr>
    </w:p>
    <w:p>
      <w:pPr>
        <w:ind w:right="100" w:firstLine="284"/>
        <w:spacing w:after="0" w:line="268" w:lineRule="auto"/>
        <w:rPr>
          <w:sz w:val="20"/>
          <w:szCs w:val="20"/>
          <w:color w:val="auto"/>
        </w:rPr>
      </w:pPr>
      <w:r>
        <w:rPr>
          <w:rFonts w:ascii="Arial" w:cs="Arial" w:eastAsia="Arial" w:hAnsi="Arial"/>
          <w:sz w:val="16"/>
          <w:szCs w:val="16"/>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57" w:lineRule="exact"/>
        <w:rPr>
          <w:sz w:val="20"/>
          <w:szCs w:val="20"/>
          <w:color w:val="auto"/>
        </w:rPr>
      </w:pPr>
    </w:p>
    <w:p>
      <w:pPr>
        <w:ind w:firstLine="284"/>
        <w:spacing w:after="0" w:line="293" w:lineRule="auto"/>
        <w:rPr>
          <w:sz w:val="20"/>
          <w:szCs w:val="20"/>
          <w:color w:val="auto"/>
        </w:rPr>
      </w:pPr>
      <w:r>
        <w:rPr>
          <w:rFonts w:ascii="Arial" w:cs="Arial" w:eastAsia="Arial" w:hAnsi="Arial"/>
          <w:sz w:val="14"/>
          <w:szCs w:val="14"/>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Quarterly Report on Form 10-Q has been retroactively adjusted to reflect the impact of these reverse stock splits.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 and Secondary Public Offering</w:t>
      </w:r>
    </w:p>
    <w:p>
      <w:pPr>
        <w:spacing w:after="0" w:line="198" w:lineRule="exact"/>
        <w:rPr>
          <w:sz w:val="20"/>
          <w:szCs w:val="20"/>
          <w:color w:val="auto"/>
        </w:rPr>
      </w:pPr>
    </w:p>
    <w:p>
      <w:pPr>
        <w:ind w:right="40" w:firstLine="284"/>
        <w:spacing w:after="0" w:line="252" w:lineRule="auto"/>
        <w:rPr>
          <w:sz w:val="20"/>
          <w:szCs w:val="20"/>
          <w:color w:val="auto"/>
        </w:rPr>
      </w:pPr>
      <w:r>
        <w:rPr>
          <w:rFonts w:ascii="Arial" w:cs="Arial" w:eastAsia="Arial" w:hAnsi="Arial"/>
          <w:sz w:val="16"/>
          <w:szCs w:val="16"/>
          <w:color w:val="auto"/>
        </w:rPr>
        <w:t>On February 1, 2021, the Company closed its initial public offering, or (“IPO”), of 31,050 shares of its Common Stock (inclusive of 4,050 shares of Common Stock from the full exercise of the over-allotment option of shares granted to the underwriters). The offer and sale of all of the shares in the IPO were registered under the Securities Act of 1933, as amended, pursuant to a registration statement on Form S-1 (File Nos. 333- 251616 and 333-252490), which was declared effective by the SEC on January 27, 2021. In the IPO, Maxim Group LLC and Roth Capital Partners acted as the underwriters. The IPO price for shares of Common Stock was $2,000.00 per share. The total gross proceeds from the IPO were $62.1 million.</w:t>
      </w:r>
    </w:p>
    <w:p>
      <w:pPr>
        <w:spacing w:after="0" w:line="169" w:lineRule="exact"/>
        <w:rPr>
          <w:sz w:val="20"/>
          <w:szCs w:val="20"/>
          <w:color w:val="auto"/>
        </w:rPr>
      </w:pPr>
    </w:p>
    <w:p>
      <w:pPr>
        <w:ind w:right="80" w:firstLine="284"/>
        <w:spacing w:after="0" w:line="257" w:lineRule="auto"/>
        <w:rPr>
          <w:sz w:val="20"/>
          <w:szCs w:val="20"/>
          <w:color w:val="auto"/>
        </w:rPr>
      </w:pPr>
      <w:r>
        <w:rPr>
          <w:rFonts w:ascii="Arial" w:cs="Arial" w:eastAsia="Arial" w:hAnsi="Arial"/>
          <w:sz w:val="16"/>
          <w:szCs w:val="16"/>
          <w:color w:val="auto"/>
        </w:rPr>
        <w:t>After deducting underwriting discounts and commissions of $4 million and offering expenses paid or payable by us of approximately $1 million, the net proceeds from the IPO were approximately $57 million. The Company used the net proceeds from the IPO for its current working capital needs, to support revenue growth, to increase inventory to meet customer demand forecasts, and to support operational growth.</w:t>
      </w:r>
    </w:p>
    <w:p>
      <w:pPr>
        <w:spacing w:after="0" w:line="166" w:lineRule="exact"/>
        <w:rPr>
          <w:sz w:val="20"/>
          <w:szCs w:val="20"/>
          <w:color w:val="auto"/>
        </w:rPr>
      </w:pPr>
    </w:p>
    <w:p>
      <w:pPr>
        <w:ind w:right="40" w:firstLine="284"/>
        <w:spacing w:after="0" w:line="293" w:lineRule="auto"/>
        <w:rPr>
          <w:sz w:val="20"/>
          <w:szCs w:val="20"/>
          <w:color w:val="auto"/>
        </w:rPr>
      </w:pPr>
      <w:r>
        <w:rPr>
          <w:rFonts w:ascii="Arial" w:cs="Arial" w:eastAsia="Arial" w:hAnsi="Arial"/>
          <w:sz w:val="14"/>
          <w:szCs w:val="14"/>
          <w:color w:val="auto"/>
        </w:rPr>
        <w:t>On February 19, 2021, the Company consummated a secondary public offering (the “February Offering”) of 27,778 shares of its Common Stock for a price of $2,700.00 per share, less certain underwriting discounts and commissions. On March 22, 2021, the Company closed on the sale of an additional 4,167 shares of Common Stock on the same terms and conditions pursuant to the exercise of the underwriters’ over-allotment option. The exercise of the over-allotment option brought the total number of shares of Common Stock sold by the Company in connection with the February Offering to 31,944 shares and the total net proceeds received in connection with the February Offering to approximately $80 million, after deducting underwriting discounts and estimated offering expenses. The Company used the net proceeds from the IPO for its current working capital needs, to support revenue growth, to increase inventory, to meet customer demand forecasts, and to support operational growth.</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Coronavirus (“COVID-19”) Pandemic</w:t>
      </w:r>
    </w:p>
    <w:p>
      <w:pPr>
        <w:spacing w:after="0" w:line="198" w:lineRule="exact"/>
        <w:rPr>
          <w:sz w:val="20"/>
          <w:szCs w:val="20"/>
          <w:color w:val="auto"/>
        </w:rPr>
      </w:pPr>
    </w:p>
    <w:p>
      <w:pPr>
        <w:ind w:right="100" w:firstLine="284"/>
        <w:spacing w:after="0" w:line="276" w:lineRule="auto"/>
        <w:rPr>
          <w:sz w:val="20"/>
          <w:szCs w:val="20"/>
          <w:color w:val="auto"/>
        </w:rPr>
      </w:pPr>
      <w:r>
        <w:rPr>
          <w:rFonts w:ascii="Arial" w:cs="Arial" w:eastAsia="Arial" w:hAnsi="Arial"/>
          <w:sz w:val="15"/>
          <w:szCs w:val="15"/>
          <w:color w:val="auto"/>
        </w:rPr>
        <w:t>The spread of COVID-19 beginning in the first quarter of 2020 has caused significant volatility in U.S. markets. There is significant uncertainty around the breadth and duration of business disruptions related to COVID-19, as well as its impact on the U.S. economy. To date, there has not been a material impact on the Company’s business operations and financial performance. The extent of the impact of COVID-19 on the Company’s operational and financial performance, if any, will depend, in part, on the length and severity of these restrictions and on the Company’s ability to conduct business in the ordinary course.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The Paycheck Protection Program</w:t>
      </w:r>
    </w:p>
    <w:p>
      <w:pPr>
        <w:spacing w:after="0" w:line="198" w:lineRule="exact"/>
        <w:rPr>
          <w:sz w:val="20"/>
          <w:szCs w:val="20"/>
          <w:color w:val="auto"/>
        </w:rPr>
      </w:pPr>
    </w:p>
    <w:p>
      <w:pPr>
        <w:ind w:right="20" w:firstLine="284"/>
        <w:spacing w:after="0" w:line="253" w:lineRule="auto"/>
        <w:rPr>
          <w:sz w:val="20"/>
          <w:szCs w:val="20"/>
          <w:color w:val="auto"/>
        </w:rPr>
      </w:pPr>
      <w:r>
        <w:rPr>
          <w:rFonts w:ascii="Arial" w:cs="Arial" w:eastAsia="Arial" w:hAnsi="Arial"/>
          <w:sz w:val="16"/>
          <w:szCs w:val="16"/>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$779 thousand from the PPP Loan. The Company’s application for the forgiveness of the outstanding balance of PPP Loan is currently under review by the SBA.</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Restatement of Current Period</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financial statements as of and for the three months ended March 31, 2022 have been restated due to the following errors: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Pipe Warrants and SPA Warrants Classification and Measurement</w:t>
      </w:r>
    </w:p>
    <w:p>
      <w:pPr>
        <w:spacing w:after="0" w:line="194" w:lineRule="exact"/>
        <w:rPr>
          <w:sz w:val="20"/>
          <w:szCs w:val="20"/>
          <w:color w:val="auto"/>
        </w:rPr>
      </w:pPr>
    </w:p>
    <w:p>
      <w:pPr>
        <w:ind w:right="420" w:firstLine="284"/>
        <w:spacing w:after="0" w:line="257" w:lineRule="auto"/>
        <w:rPr>
          <w:sz w:val="20"/>
          <w:szCs w:val="20"/>
          <w:color w:val="auto"/>
        </w:rPr>
      </w:pPr>
      <w:r>
        <w:rPr>
          <w:rFonts w:ascii="Arial" w:cs="Arial" w:eastAsia="Arial" w:hAnsi="Arial"/>
          <w:sz w:val="16"/>
          <w:szCs w:val="16"/>
          <w:color w:val="auto"/>
        </w:rPr>
        <w:t>During the three months ended March 31, 2022 the Company entered into several debt and equity financing transactions including i) the issuance of common stock and warrants in a private placement on January 25, 2022 (the “PIPE Warrants”) and ii) the issuance of a note payable with associated warrants on March 14, 2022 (the “SPA Warrants”).</w:t>
      </w:r>
    </w:p>
    <w:p>
      <w:pPr>
        <w:spacing w:after="0" w:line="166" w:lineRule="exact"/>
        <w:rPr>
          <w:sz w:val="20"/>
          <w:szCs w:val="20"/>
          <w:color w:val="auto"/>
        </w:rPr>
      </w:pPr>
    </w:p>
    <w:p>
      <w:pPr>
        <w:ind w:right="360" w:firstLine="284"/>
        <w:spacing w:after="0" w:line="268" w:lineRule="auto"/>
        <w:rPr>
          <w:sz w:val="20"/>
          <w:szCs w:val="20"/>
          <w:color w:val="auto"/>
        </w:rPr>
      </w:pPr>
      <w:r>
        <w:rPr>
          <w:rFonts w:ascii="Arial" w:cs="Arial" w:eastAsia="Arial" w:hAnsi="Arial"/>
          <w:sz w:val="16"/>
          <w:szCs w:val="16"/>
          <w:color w:val="auto"/>
        </w:rPr>
        <w:t>The Company determined that the PIPE Warrants and the SPA Warrants were incorrectly classified as equity and must be reclassified to liabilities measured at fair value upon issuance and remeasured to fair value at each reporting date. As a result of these errors:</w:t>
      </w:r>
    </w:p>
    <w:p>
      <w:pPr>
        <w:spacing w:after="0" w:line="157" w:lineRule="exact"/>
        <w:rPr>
          <w:sz w:val="20"/>
          <w:szCs w:val="20"/>
          <w:color w:val="auto"/>
        </w:rPr>
      </w:pPr>
    </w:p>
    <w:p>
      <w:pPr>
        <w:ind w:left="560" w:hanging="282"/>
        <w:spacing w:after="0" w:line="268" w:lineRule="auto"/>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Additional paid-in capital was overstated by $24.2 million as of March 31, 2022 due to the incorrect classification of the SPA Warrants and the PIPE Warrants as equity rather than liabilities;</w:t>
      </w:r>
    </w:p>
    <w:p>
      <w:pPr>
        <w:spacing w:after="0" w:line="156" w:lineRule="exact"/>
        <w:rPr>
          <w:rFonts w:ascii="Arial" w:cs="Arial" w:eastAsia="Arial" w:hAnsi="Arial"/>
          <w:sz w:val="16"/>
          <w:szCs w:val="16"/>
          <w:color w:val="auto"/>
        </w:rPr>
      </w:pPr>
    </w:p>
    <w:p>
      <w:pPr>
        <w:ind w:left="560" w:hanging="282"/>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Warrant liabilities was understated by the fair value of the PIPE Warrants and the SPA Warrants of $29.7 million as of March 31, 2022;</w:t>
      </w:r>
    </w:p>
    <w:p>
      <w:pPr>
        <w:spacing w:after="0" w:line="194" w:lineRule="exact"/>
        <w:rPr>
          <w:rFonts w:ascii="Arial" w:cs="Arial" w:eastAsia="Arial" w:hAnsi="Arial"/>
          <w:sz w:val="16"/>
          <w:szCs w:val="16"/>
          <w:color w:val="auto"/>
        </w:rPr>
      </w:pPr>
    </w:p>
    <w:p>
      <w:pPr>
        <w:ind w:left="560" w:right="20" w:hanging="282"/>
        <w:spacing w:after="0" w:line="340" w:lineRule="auto"/>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Long-term debt and Long-term debt, current was overstated by $15.5 million and $0.7 million, respectively as of March 31, 2022 due to the incorrect allocation of the debt discount in connection with the issuance of debt and SPA Warrants, as a result of the improper classification of the SPA Warrants as equity rather than liabilities;</w:t>
      </w:r>
    </w:p>
    <w:p>
      <w:pPr>
        <w:spacing w:after="0" w:line="111" w:lineRule="exact"/>
        <w:rPr>
          <w:rFonts w:ascii="Arial" w:cs="Arial" w:eastAsia="Arial" w:hAnsi="Arial"/>
          <w:sz w:val="14"/>
          <w:szCs w:val="14"/>
          <w:color w:val="auto"/>
        </w:rPr>
      </w:pPr>
    </w:p>
    <w:p>
      <w:pPr>
        <w:ind w:left="560" w:hanging="282"/>
        <w:spacing w:after="0" w:line="268" w:lineRule="auto"/>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Accumulated deficit as of March 31, 2022 was overstated by $10.7 million as a result of the net impact of the following errors in the condensed consolidated statement of operations:</w:t>
      </w:r>
    </w:p>
    <w:p>
      <w:pPr>
        <w:spacing w:after="0" w:line="156" w:lineRule="exact"/>
        <w:rPr>
          <w:rFonts w:ascii="Arial" w:cs="Arial" w:eastAsia="Arial" w:hAnsi="Arial"/>
          <w:sz w:val="16"/>
          <w:szCs w:val="16"/>
          <w:color w:val="auto"/>
        </w:rPr>
      </w:pPr>
    </w:p>
    <w:p>
      <w:pPr>
        <w:ind w:left="840" w:right="160" w:hanging="278"/>
        <w:spacing w:after="0" w:line="268" w:lineRule="auto"/>
        <w:tabs>
          <w:tab w:leader="none" w:pos="84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change in fair value of warrant liabilities was understated by $10.8 million because the Company did not appropriately remeasure the fair value of the warrant liabilities as of March 31, 2022 through earnings;</w:t>
      </w:r>
    </w:p>
    <w:p>
      <w:pPr>
        <w:spacing w:after="0" w:line="156" w:lineRule="exact"/>
        <w:rPr>
          <w:rFonts w:ascii="Arial" w:cs="Arial" w:eastAsia="Arial" w:hAnsi="Arial"/>
          <w:sz w:val="16"/>
          <w:szCs w:val="16"/>
          <w:color w:val="auto"/>
        </w:rPr>
      </w:pPr>
    </w:p>
    <w:p>
      <w:pPr>
        <w:ind w:left="840" w:right="280" w:hanging="278"/>
        <w:spacing w:after="0" w:line="268" w:lineRule="auto"/>
        <w:tabs>
          <w:tab w:leader="none" w:pos="840" w:val="left"/>
        </w:tabs>
        <w:numPr>
          <w:ilvl w:val="1"/>
          <w:numId w:val="8"/>
        </w:numPr>
        <w:rPr>
          <w:rFonts w:ascii="Arial" w:cs="Arial" w:eastAsia="Arial" w:hAnsi="Arial"/>
          <w:sz w:val="16"/>
          <w:szCs w:val="16"/>
          <w:color w:val="auto"/>
        </w:rPr>
      </w:pPr>
      <w:r>
        <w:rPr>
          <w:rFonts w:ascii="Arial" w:cs="Arial" w:eastAsia="Arial" w:hAnsi="Arial"/>
          <w:sz w:val="16"/>
          <w:szCs w:val="16"/>
          <w:color w:val="auto"/>
        </w:rPr>
        <w:t>Interest income, net was overstated by $123 thousand due to incorrect debt discount amortization in connection with the issuance of debt and SPA Warrants, as a result of the improper classification of the SPA Warrants as equity rather than liabilities.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Issuance Costs Classification</w:t>
      </w:r>
    </w:p>
    <w:p>
      <w:pPr>
        <w:spacing w:after="0" w:line="194" w:lineRule="exact"/>
        <w:rPr>
          <w:sz w:val="20"/>
          <w:szCs w:val="20"/>
          <w:color w:val="auto"/>
        </w:rPr>
      </w:pPr>
    </w:p>
    <w:p>
      <w:pPr>
        <w:ind w:right="240" w:firstLine="284"/>
        <w:spacing w:after="0" w:line="268" w:lineRule="auto"/>
        <w:rPr>
          <w:sz w:val="20"/>
          <w:szCs w:val="20"/>
          <w:color w:val="auto"/>
        </w:rPr>
      </w:pPr>
      <w:r>
        <w:rPr>
          <w:rFonts w:ascii="Arial" w:cs="Arial" w:eastAsia="Arial" w:hAnsi="Arial"/>
          <w:sz w:val="16"/>
          <w:szCs w:val="16"/>
          <w:color w:val="auto"/>
        </w:rPr>
        <w:t>The Company incorrectly classified debt issuance costs as an asset rather than as a direct deduction from the carrying value of the associated debt liability as of March 31, 2022. As a result of this error:</w:t>
      </w:r>
    </w:p>
    <w:p>
      <w:pPr>
        <w:spacing w:after="0" w:line="157" w:lineRule="exact"/>
        <w:rPr>
          <w:sz w:val="20"/>
          <w:szCs w:val="20"/>
          <w:color w:val="auto"/>
        </w:rPr>
      </w:pPr>
    </w:p>
    <w:p>
      <w:pPr>
        <w:ind w:left="560" w:hanging="282"/>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Prepaid expenses and other current assets were understated by $0.8 million as of March 31, 2022;</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non-current assets were overstated by $0.8 million as of March 31, 2022;</w:t>
      </w:r>
    </w:p>
    <w:p>
      <w:pPr>
        <w:spacing w:after="0" w:line="194" w:lineRule="exact"/>
        <w:rPr>
          <w:sz w:val="20"/>
          <w:szCs w:val="20"/>
          <w:color w:val="auto"/>
        </w:rPr>
      </w:pPr>
    </w:p>
    <w:p>
      <w:pPr>
        <w:ind w:right="340" w:firstLine="284"/>
        <w:spacing w:after="0" w:line="437" w:lineRule="auto"/>
        <w:rPr>
          <w:sz w:val="20"/>
          <w:szCs w:val="20"/>
          <w:color w:val="auto"/>
        </w:rPr>
      </w:pPr>
      <w:r>
        <w:rPr>
          <w:rFonts w:ascii="Arial" w:cs="Arial" w:eastAsia="Arial" w:hAnsi="Arial"/>
          <w:sz w:val="12"/>
          <w:szCs w:val="12"/>
          <w:color w:val="auto"/>
        </w:rPr>
        <w:t>The impact of these adjustments are shown below in the restated and reclassified condensed consolidated balance sheet, condensed consolidated statement of operations, condensed consolidated statement of cash flows, and condensed consolidated statement of stockholders’ equity as of and for the three months ended March 31, 2022.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0" w:name="page11"/>
    <w:bookmarkEnd w:id="10"/>
    <w:p>
      <w:pPr>
        <w:ind w:left="280"/>
        <w:spacing w:after="0"/>
        <w:rPr>
          <w:sz w:val="20"/>
          <w:szCs w:val="20"/>
          <w:color w:val="auto"/>
        </w:rPr>
      </w:pPr>
      <w:r>
        <w:rPr>
          <w:rFonts w:ascii="Arial" w:cs="Arial" w:eastAsia="Arial" w:hAnsi="Arial"/>
          <w:sz w:val="16"/>
          <w:szCs w:val="16"/>
          <w:color w:val="auto"/>
        </w:rPr>
        <w:t>The following is a summary of the impact of the restatement and reclassifications on the Company’s condensed consolidated balance sheet: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w w:val="98"/>
              </w:rPr>
              <w:t>March 31, 2022</w:t>
            </w: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w w:val="99"/>
              </w:rPr>
              <w:t>Adjustments</w:t>
            </w:r>
          </w:p>
        </w:tc>
        <w:tc>
          <w:tcPr>
            <w:tcW w:w="1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89"/>
              </w:rPr>
              <w:t>Debt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Previously</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Reverse</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4"/>
              </w:rPr>
              <w:t>Issuance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Reported</w:t>
            </w:r>
          </w:p>
        </w:tc>
        <w:tc>
          <w:tcPr>
            <w:tcW w:w="12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Warrants</w:t>
            </w: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Stock Split</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Costs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Restated</w:t>
            </w:r>
          </w:p>
        </w:tc>
        <w:tc>
          <w:tcPr>
            <w:tcW w:w="0" w:type="dxa"/>
            <w:vAlign w:val="bottom"/>
          </w:tcPr>
          <w:p>
            <w:pPr>
              <w:spacing w:after="0"/>
              <w:rPr>
                <w:sz w:val="1"/>
                <w:szCs w:val="1"/>
                <w:color w:val="auto"/>
              </w:rPr>
            </w:pPr>
          </w:p>
        </w:tc>
      </w:tr>
      <w:tr>
        <w:trPr>
          <w:trHeight w:val="173"/>
        </w:trPr>
        <w:tc>
          <w:tcPr>
            <w:tcW w:w="462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2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25,205</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25,205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30,000</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Marketable securities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38,211</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38,211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w w:val="93"/>
              </w:rPr>
              <w:t>Accounts receivable, net of allowance for doubtful accounts of $1,415</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8,571</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Inventory, net of reserves of $942</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38,989</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38,989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Prepaid and refundable taxes</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194</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6,373</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6,448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Borders>
              <w:top w:val="single" w:sz="8" w:color="CCEEFF"/>
            </w:tcBorders>
          </w:tcPr>
          <w:p>
            <w:pPr>
              <w:spacing w:after="0" w:line="173" w:lineRule="exact"/>
              <w:rPr>
                <w:sz w:val="20"/>
                <w:szCs w:val="20"/>
                <w:color w:val="auto"/>
              </w:rPr>
            </w:pPr>
            <w:r>
              <w:rPr>
                <w:rFonts w:ascii="Arial" w:cs="Arial" w:eastAsia="Arial" w:hAnsi="Arial"/>
                <w:sz w:val="16"/>
                <w:szCs w:val="16"/>
                <w:b w:val="1"/>
                <w:bCs w:val="1"/>
                <w:color w:val="auto"/>
              </w:rPr>
              <w:t>Total current assets</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147,543</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147,618</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Loan receivable</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34,738</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34,738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7,055</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7,055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 net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1,554</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54,544</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54,544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15,861</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3,180</w:t>
            </w:r>
          </w:p>
        </w:tc>
        <w:tc>
          <w:tcPr>
            <w:tcW w:w="2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3,105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0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264,475</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264,475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restart"/>
          </w:tcPr>
          <w:p>
            <w:pPr>
              <w:spacing w:after="0"/>
              <w:rPr>
                <w:sz w:val="16"/>
                <w:szCs w:val="16"/>
                <w:color w:val="auto"/>
              </w:rPr>
            </w:pPr>
          </w:p>
        </w:tc>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3,683</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30,112</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30,112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current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911</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Long-term debt, current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2,970</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2,281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4,182</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4,182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Borders>
              <w:top w:val="single" w:sz="8" w:color="CCEEFF"/>
            </w:tcBorders>
          </w:tcPr>
          <w:p>
            <w:pPr>
              <w:spacing w:after="0" w:line="173" w:lineRule="exact"/>
              <w:rPr>
                <w:sz w:val="20"/>
                <w:szCs w:val="20"/>
                <w:color w:val="auto"/>
              </w:rPr>
            </w:pPr>
            <w:r>
              <w:rPr>
                <w:rFonts w:ascii="Arial" w:cs="Arial" w:eastAsia="Arial" w:hAnsi="Arial"/>
                <w:sz w:val="16"/>
                <w:szCs w:val="16"/>
                <w:b w:val="1"/>
                <w:bCs w:val="1"/>
                <w:color w:val="auto"/>
              </w:rPr>
              <w:t>Total current liabilities</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41,858</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41,169</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Warrant liabilities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29,711</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275</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non-current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689</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Deferred tax liabilities, net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62</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51,154</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(15,457)</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35,697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00" w:type="dxa"/>
            <w:vAlign w:val="bottom"/>
            <w:tcBorders>
              <w:top w:val="single" w:sz="8" w:color="CCEEFF"/>
              <w:bottom w:val="single" w:sz="8" w:color="CCEEFF"/>
            </w:tcBorders>
          </w:tcPr>
          <w:p>
            <w:pPr>
              <w:spacing w:after="0" w:line="173" w:lineRule="exact"/>
              <w:rPr>
                <w:sz w:val="20"/>
                <w:szCs w:val="20"/>
                <w:color w:val="auto"/>
              </w:rPr>
            </w:pPr>
            <w:r>
              <w:rPr>
                <w:rFonts w:ascii="Arial" w:cs="Arial" w:eastAsia="Arial" w:hAnsi="Arial"/>
                <w:sz w:val="16"/>
                <w:szCs w:val="16"/>
                <w:b w:val="1"/>
                <w:bCs w:val="1"/>
                <w:color w:val="auto"/>
              </w:rPr>
              <w:t>Total liabilities</w:t>
            </w: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94,038</w:t>
            </w:r>
          </w:p>
        </w:tc>
        <w:tc>
          <w:tcPr>
            <w:tcW w:w="24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107,603</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b w:val="1"/>
                <w:bCs w:val="1"/>
                <w:color w:val="auto"/>
              </w:rPr>
              <w:t>Commitments and contingencies (Note 22)</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w w:val="89"/>
              </w:rPr>
              <w:t>Common Stock, $0.001 par value per share, 250,000 shares authorized,</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132,714 shares issued and outstanding</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(25)</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00" w:type="dxa"/>
            <w:vAlign w:val="bottom"/>
          </w:tcPr>
          <w:p>
            <w:pPr>
              <w:spacing w:after="0" w:line="177" w:lineRule="exact"/>
              <w:rPr>
                <w:sz w:val="20"/>
                <w:szCs w:val="20"/>
                <w:color w:val="auto"/>
              </w:rPr>
            </w:pPr>
            <w:r>
              <w:rPr>
                <w:rFonts w:ascii="Arial" w:cs="Arial" w:eastAsia="Arial" w:hAnsi="Arial"/>
                <w:sz w:val="16"/>
                <w:szCs w:val="16"/>
                <w:color w:val="auto"/>
              </w:rPr>
              <w:t>Preferred Stock, $0.001 par value per share, 2,895,000 shares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tcPr>
          <w:p>
            <w:pPr>
              <w:ind w:left="120"/>
              <w:spacing w:after="0"/>
              <w:rPr>
                <w:sz w:val="20"/>
                <w:szCs w:val="20"/>
                <w:color w:val="auto"/>
              </w:rPr>
            </w:pPr>
            <w:r>
              <w:rPr>
                <w:rFonts w:ascii="Arial" w:cs="Arial" w:eastAsia="Arial" w:hAnsi="Arial"/>
                <w:sz w:val="16"/>
                <w:szCs w:val="16"/>
                <w:color w:val="auto"/>
              </w:rPr>
              <w:t>authorized, no shares issued or outstanding</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Preferred A Stock, $0.001 par value per share, 105,000 shares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authorized, no shares issued or outstanding</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237,903</w:t>
            </w:r>
          </w:p>
        </w:tc>
        <w:tc>
          <w:tcPr>
            <w:tcW w:w="1260" w:type="dxa"/>
            <w:vAlign w:val="bottom"/>
            <w:gridSpan w:val="2"/>
          </w:tcPr>
          <w:p>
            <w:pPr>
              <w:jc w:val="right"/>
              <w:ind w:right="80"/>
              <w:spacing w:after="0"/>
              <w:rPr>
                <w:sz w:val="20"/>
                <w:szCs w:val="20"/>
                <w:color w:val="auto"/>
              </w:rPr>
            </w:pPr>
            <w:r>
              <w:rPr>
                <w:rFonts w:ascii="Arial" w:cs="Arial" w:eastAsia="Arial" w:hAnsi="Arial"/>
                <w:sz w:val="16"/>
                <w:szCs w:val="16"/>
                <w:color w:val="auto"/>
              </w:rPr>
              <w:t>(24,227)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213,701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Accumulated deficit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6"/>
                <w:szCs w:val="16"/>
                <w:color w:val="auto"/>
              </w:rPr>
              <w:t>)</w:t>
            </w: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10,662</w:t>
            </w:r>
          </w:p>
        </w:tc>
        <w:tc>
          <w:tcPr>
            <w:tcW w:w="10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40" w:type="dxa"/>
            <w:vAlign w:val="bottom"/>
            <w:gridSpan w:val="2"/>
            <w:shd w:val="clear" w:color="auto" w:fill="CCEEFF"/>
          </w:tcPr>
          <w:p>
            <w:pPr>
              <w:jc w:val="right"/>
              <w:ind w:right="240"/>
              <w:spacing w:after="0" w:line="59" w:lineRule="exact"/>
              <w:rPr>
                <w:sz w:val="20"/>
                <w:szCs w:val="20"/>
                <w:color w:val="auto"/>
              </w:rPr>
            </w:pPr>
            <w:r>
              <w:rPr>
                <w:rFonts w:ascii="Arial" w:cs="Arial" w:eastAsia="Arial" w:hAnsi="Arial"/>
                <w:sz w:val="6"/>
                <w:szCs w:val="6"/>
                <w:color w:val="auto"/>
              </w:rPr>
              <w:t>(67,857</w:t>
            </w: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gridSpan w:val="2"/>
            <w:shd w:val="clear" w:color="auto" w:fill="CCEEFF"/>
          </w:tcPr>
          <w:p>
            <w:pPr>
              <w:jc w:val="right"/>
              <w:ind w:right="120"/>
              <w:spacing w:after="0" w:line="59" w:lineRule="exact"/>
              <w:rPr>
                <w:sz w:val="20"/>
                <w:szCs w:val="20"/>
                <w:color w:val="auto"/>
              </w:rPr>
            </w:pPr>
            <w:r>
              <w:rPr>
                <w:rFonts w:ascii="Arial" w:cs="Arial" w:eastAsia="Arial" w:hAnsi="Arial"/>
                <w:sz w:val="6"/>
                <w:szCs w:val="6"/>
                <w:color w:val="auto"/>
              </w:rPr>
              <w:t>(57,195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00" w:type="dxa"/>
            <w:vAlign w:val="bottom"/>
            <w:tcBorders>
              <w:top w:val="single" w:sz="8" w:color="CCEEFF"/>
              <w:bottom w:val="single" w:sz="8" w:color="CCEEFF"/>
            </w:tcBorders>
          </w:tcPr>
          <w:p>
            <w:pPr>
              <w:spacing w:after="0" w:line="173" w:lineRule="exact"/>
              <w:rPr>
                <w:sz w:val="20"/>
                <w:szCs w:val="20"/>
                <w:color w:val="auto"/>
              </w:rPr>
            </w:pPr>
            <w:r>
              <w:rPr>
                <w:rFonts w:ascii="Arial" w:cs="Arial" w:eastAsia="Arial" w:hAnsi="Arial"/>
                <w:sz w:val="16"/>
                <w:szCs w:val="16"/>
                <w:b w:val="1"/>
                <w:bCs w:val="1"/>
                <w:color w:val="auto"/>
              </w:rPr>
              <w:t>Total stockholders’ equity attributable to Agrify</w:t>
            </w: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170,071</w:t>
            </w:r>
          </w:p>
        </w:tc>
        <w:tc>
          <w:tcPr>
            <w:tcW w:w="24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CCEEFF"/>
              <w:bottom w:val="single" w:sz="8" w:color="CCEEFF"/>
            </w:tcBorders>
          </w:tcPr>
          <w:p>
            <w:pPr>
              <w:spacing w:after="0"/>
              <w:rPr>
                <w:sz w:val="15"/>
                <w:szCs w:val="15"/>
                <w:color w:val="auto"/>
              </w:rPr>
            </w:pP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156,506</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264,475</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264,475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9" w:right="319" w:bottom="1440" w:gutter="0" w:footer="0" w:header="0"/>
        </w:sectPr>
      </w:pPr>
    </w:p>
    <w:bookmarkStart w:id="11" w:name="page12"/>
    <w:bookmarkEnd w:id="11"/>
    <w:p>
      <w:pPr>
        <w:ind w:left="280"/>
        <w:spacing w:after="0"/>
        <w:rPr>
          <w:sz w:val="20"/>
          <w:szCs w:val="20"/>
          <w:color w:val="auto"/>
        </w:rPr>
      </w:pPr>
      <w:r>
        <w:rPr>
          <w:rFonts w:ascii="Arial" w:cs="Arial" w:eastAsia="Arial" w:hAnsi="Arial"/>
          <w:sz w:val="16"/>
          <w:szCs w:val="16"/>
          <w:color w:val="auto"/>
        </w:rPr>
        <w:t>The following is a summary of the impact of the restatement and reclassifications on the Company’s condensed consolidated statement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6"/>
                <w:szCs w:val="16"/>
                <w:b w:val="1"/>
                <w:bCs w:val="1"/>
                <w:color w:val="auto"/>
                <w:w w:val="92"/>
              </w:rPr>
              <w:t>Three Months ended March 31, 2022</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jc w:val="right"/>
              <w:ind w:right="940"/>
              <w:spacing w:after="0"/>
              <w:rPr>
                <w:sz w:val="20"/>
                <w:szCs w:val="20"/>
                <w:color w:val="auto"/>
              </w:rPr>
            </w:pPr>
            <w:r>
              <w:rPr>
                <w:rFonts w:ascii="Arial" w:cs="Arial" w:eastAsia="Arial" w:hAnsi="Arial"/>
                <w:sz w:val="16"/>
                <w:szCs w:val="16"/>
                <w:b w:val="1"/>
                <w:bCs w:val="1"/>
                <w:color w:val="auto"/>
              </w:rPr>
              <w:t>Adjustment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1"/>
              <w:spacing w:after="0" w:line="173" w:lineRule="exact"/>
              <w:rPr>
                <w:sz w:val="20"/>
                <w:szCs w:val="20"/>
                <w:color w:val="auto"/>
              </w:rPr>
            </w:pPr>
            <w:r>
              <w:rPr>
                <w:rFonts w:ascii="Arial" w:cs="Arial" w:eastAsia="Arial" w:hAnsi="Arial"/>
                <w:sz w:val="16"/>
                <w:szCs w:val="16"/>
                <w:b w:val="1"/>
                <w:bCs w:val="1"/>
                <w:color w:val="auto"/>
                <w:w w:val="93"/>
              </w:rPr>
              <w:t>Previously</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01"/>
              <w:spacing w:after="0" w:line="173" w:lineRule="exact"/>
              <w:rPr>
                <w:sz w:val="20"/>
                <w:szCs w:val="20"/>
                <w:color w:val="auto"/>
              </w:rPr>
            </w:pPr>
            <w:r>
              <w:rPr>
                <w:rFonts w:ascii="Arial" w:cs="Arial" w:eastAsia="Arial" w:hAnsi="Arial"/>
                <w:sz w:val="16"/>
                <w:szCs w:val="16"/>
                <w:b w:val="1"/>
                <w:bCs w:val="1"/>
                <w:color w:val="auto"/>
              </w:rPr>
              <w:t>Reverse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1"/>
              <w:spacing w:after="0"/>
              <w:rPr>
                <w:sz w:val="20"/>
                <w:szCs w:val="20"/>
                <w:color w:val="auto"/>
              </w:rPr>
            </w:pPr>
            <w:r>
              <w:rPr>
                <w:rFonts w:ascii="Arial" w:cs="Arial" w:eastAsia="Arial" w:hAnsi="Arial"/>
                <w:sz w:val="16"/>
                <w:szCs w:val="16"/>
                <w:b w:val="1"/>
                <w:bCs w:val="1"/>
                <w:color w:val="auto"/>
              </w:rPr>
              <w:t>Reported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Warrants</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4"/>
              </w:rPr>
              <w:t>Stock Split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Arial" w:cs="Arial" w:eastAsia="Arial" w:hAnsi="Arial"/>
                <w:sz w:val="16"/>
                <w:szCs w:val="16"/>
                <w:b w:val="1"/>
                <w:bCs w:val="1"/>
                <w:color w:val="auto"/>
                <w:w w:val="97"/>
              </w:rPr>
              <w:t>Restated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 (including $1,271 from related parties)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Cost of goods sold</w:t>
            </w:r>
          </w:p>
        </w:tc>
        <w:tc>
          <w:tcPr>
            <w:tcW w:w="140" w:type="dxa"/>
            <w:vAlign w:val="bottom"/>
          </w:tcPr>
          <w:p>
            <w:pPr>
              <w:spacing w:after="0"/>
              <w:rPr>
                <w:sz w:val="17"/>
                <w:szCs w:val="17"/>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21,851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21,851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9,759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9,759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16"/>
                <w:szCs w:val="16"/>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2,084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Selling and marketing</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2,090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60" w:type="dxa"/>
            <w:vAlign w:val="bottom"/>
            <w:tcBorders>
              <w:top w:val="single" w:sz="8" w:color="CCEEFF"/>
              <w:bottom w:val="single" w:sz="8" w:color="CCEEFF"/>
            </w:tcBorders>
          </w:tcPr>
          <w:p>
            <w:pPr>
              <w:ind w:left="120"/>
              <w:spacing w:after="0" w:line="173" w:lineRule="exact"/>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13,933</w:t>
            </w:r>
          </w:p>
        </w:tc>
        <w:tc>
          <w:tcPr>
            <w:tcW w:w="1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13,933</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from operations</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(9,763</w:t>
            </w:r>
          </w:p>
        </w:tc>
        <w:tc>
          <w:tcPr>
            <w:tcW w:w="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line="173" w:lineRule="exact"/>
              <w:rPr>
                <w:sz w:val="20"/>
                <w:szCs w:val="20"/>
                <w:color w:val="auto"/>
              </w:rPr>
            </w:pPr>
            <w:r>
              <w:rPr>
                <w:rFonts w:ascii="Arial" w:cs="Arial" w:eastAsia="Arial" w:hAnsi="Arial"/>
                <w:sz w:val="16"/>
                <w:szCs w:val="16"/>
                <w:color w:val="auto"/>
              </w:rPr>
              <w:t>Interest income, net</w:t>
            </w:r>
          </w:p>
        </w:tc>
        <w:tc>
          <w:tcPr>
            <w:tcW w:w="14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682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(123)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559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warrant liabilities</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10,785</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10,785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6"/>
                <w:szCs w:val="16"/>
                <w:color w:val="auto"/>
              </w:rPr>
              <w:t>Gain on extinguishment of notes payable</w:t>
            </w:r>
          </w:p>
        </w:tc>
        <w:tc>
          <w:tcPr>
            <w:tcW w:w="140" w:type="dxa"/>
            <w:vAlign w:val="bottom"/>
          </w:tcPr>
          <w:p>
            <w:pPr>
              <w:spacing w:after="0"/>
              <w:rPr>
                <w:sz w:val="17"/>
                <w:szCs w:val="17"/>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ind w:left="120"/>
              <w:spacing w:after="0" w:line="173" w:lineRule="exact"/>
              <w:rPr>
                <w:sz w:val="20"/>
                <w:szCs w:val="20"/>
                <w:color w:val="auto"/>
              </w:rPr>
            </w:pPr>
            <w:r>
              <w:rPr>
                <w:rFonts w:ascii="Arial" w:cs="Arial" w:eastAsia="Arial" w:hAnsi="Arial"/>
                <w:sz w:val="16"/>
                <w:szCs w:val="16"/>
                <w:color w:val="auto"/>
              </w:rPr>
              <w:t>Net (loss) income before income taxes</w:t>
            </w:r>
          </w:p>
        </w:tc>
        <w:tc>
          <w:tcPr>
            <w:tcW w:w="140" w:type="dxa"/>
            <w:vAlign w:val="bottom"/>
          </w:tcPr>
          <w:p>
            <w:pPr>
              <w:spacing w:after="0"/>
              <w:rPr>
                <w:sz w:val="15"/>
                <w:szCs w:val="15"/>
                <w:color w:val="auto"/>
              </w:rPr>
            </w:pP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(9,081)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Arial" w:cs="Arial" w:eastAsia="Arial" w:hAnsi="Arial"/>
                <w:sz w:val="16"/>
                <w:szCs w:val="16"/>
                <w:color w:val="auto"/>
              </w:rPr>
              <w:t>10,662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1,581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60" w:type="dxa"/>
            <w:vAlign w:val="bottom"/>
            <w:tcBorders>
              <w:top w:val="single" w:sz="8" w:color="CCEEFF"/>
              <w:bottom w:val="single" w:sz="8" w:color="CCEEFF"/>
            </w:tcBorders>
          </w:tcPr>
          <w:p>
            <w:pPr>
              <w:ind w:left="120"/>
              <w:spacing w:after="0" w:line="173" w:lineRule="exact"/>
              <w:rPr>
                <w:sz w:val="20"/>
                <w:szCs w:val="20"/>
                <w:color w:val="auto"/>
              </w:rPr>
            </w:pPr>
            <w:r>
              <w:rPr>
                <w:rFonts w:ascii="Arial" w:cs="Arial" w:eastAsia="Arial" w:hAnsi="Arial"/>
                <w:sz w:val="16"/>
                <w:szCs w:val="16"/>
                <w:color w:val="auto"/>
              </w:rPr>
              <w:t>Net (loss) income</w:t>
            </w: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(8,881</w:t>
            </w:r>
          </w:p>
        </w:tc>
        <w:tc>
          <w:tcPr>
            <w:tcW w:w="12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10,662</w:t>
            </w:r>
          </w:p>
        </w:tc>
        <w:tc>
          <w:tcPr>
            <w:tcW w:w="2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1,781</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5960" w:type="dxa"/>
            <w:vAlign w:val="bottom"/>
          </w:tcPr>
          <w:p>
            <w:pPr>
              <w:ind w:left="120"/>
              <w:spacing w:after="0" w:line="181" w:lineRule="exact"/>
              <w:rPr>
                <w:sz w:val="20"/>
                <w:szCs w:val="20"/>
                <w:color w:val="auto"/>
              </w:rPr>
            </w:pPr>
            <w:r>
              <w:rPr>
                <w:rFonts w:ascii="Arial" w:cs="Arial" w:eastAsia="Arial" w:hAnsi="Arial"/>
                <w:sz w:val="16"/>
                <w:szCs w:val="16"/>
                <w:color w:val="auto"/>
              </w:rPr>
              <w:t>Net (loss) income attributable to Agrify Corporation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(8,882</w:t>
            </w:r>
          </w:p>
        </w:tc>
        <w:tc>
          <w:tcPr>
            <w:tcW w:w="120" w:type="dxa"/>
            <w:vAlign w:val="bottom"/>
          </w:tcPr>
          <w:p>
            <w:pPr>
              <w:jc w:val="right"/>
              <w:ind w:right="41"/>
              <w:spacing w:after="0"/>
              <w:rPr>
                <w:sz w:val="20"/>
                <w:szCs w:val="20"/>
                <w:color w:val="auto"/>
              </w:rPr>
            </w:pPr>
            <w:r>
              <w:rPr>
                <w:rFonts w:ascii="Arial" w:cs="Arial" w:eastAsia="Arial" w:hAnsi="Arial"/>
                <w:sz w:val="8"/>
                <w:szCs w:val="8"/>
                <w:color w:val="auto"/>
                <w:w w:val="73"/>
              </w:rPr>
              <w:t>)</w:t>
            </w:r>
          </w:p>
        </w:tc>
        <w:tc>
          <w:tcPr>
            <w:tcW w:w="280" w:type="dxa"/>
            <w:vAlign w:val="bottom"/>
            <w:gridSpan w:val="2"/>
          </w:tcPr>
          <w:p>
            <w:pPr>
              <w:jc w:val="right"/>
              <w:ind w:right="4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10,662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Net (loss) income per share attributable to Common Stockholders – basic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spacing w:after="0"/>
              <w:rPr>
                <w:sz w:val="20"/>
                <w:szCs w:val="20"/>
                <w:color w:val="auto"/>
              </w:rPr>
            </w:pPr>
            <w:r>
              <w:rPr>
                <w:rFonts w:ascii="Arial" w:cs="Arial" w:eastAsia="Arial" w:hAnsi="Arial"/>
                <w:sz w:val="16"/>
                <w:szCs w:val="16"/>
                <w:color w:val="auto"/>
              </w:rPr>
              <w:t>Net (loss) income per share attributable to Common Stockholders -- diluted</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vMerge w:val="restart"/>
          </w:tcPr>
          <w:p>
            <w:pPr>
              <w:jc w:val="right"/>
              <w:ind w:right="41"/>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5960" w:type="dxa"/>
            <w:vAlign w:val="bottom"/>
            <w:vMerge w:val="continue"/>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240" w:type="dxa"/>
            <w:vAlign w:val="bottom"/>
          </w:tcPr>
          <w:p>
            <w:pPr>
              <w:spacing w:after="0"/>
              <w:rPr>
                <w:sz w:val="16"/>
                <w:szCs w:val="16"/>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Weighted-average common shares outstanding – basic</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24,589,113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w w:val="87"/>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(24,466,167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6"/>
                <w:szCs w:val="16"/>
                <w:color w:val="auto"/>
              </w:rPr>
              <w:t>Weighted-average common shares outstanding – diluted</w:t>
            </w:r>
          </w:p>
        </w:tc>
        <w:tc>
          <w:tcPr>
            <w:tcW w:w="28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6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24,589,113</w:t>
            </w:r>
          </w:p>
        </w:tc>
        <w:tc>
          <w:tcPr>
            <w:tcW w:w="240" w:type="dxa"/>
            <w:vAlign w:val="bottom"/>
          </w:tcPr>
          <w:p>
            <w:pPr>
              <w:spacing w:after="0"/>
              <w:rPr>
                <w:sz w:val="16"/>
                <w:szCs w:val="16"/>
                <w:color w:val="auto"/>
              </w:rPr>
            </w:pPr>
          </w:p>
        </w:tc>
        <w:tc>
          <w:tcPr>
            <w:tcW w:w="11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(24,460,068</w:t>
            </w:r>
          </w:p>
        </w:tc>
        <w:tc>
          <w:tcPr>
            <w:tcW w:w="220" w:type="dxa"/>
            <w:vAlign w:val="bottom"/>
            <w:vMerge w:val="continue"/>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129,045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20" w:type="dxa"/>
            <w:vAlign w:val="bottom"/>
            <w:vMerge w:val="restart"/>
          </w:tcPr>
          <w:p>
            <w:pPr>
              <w:jc w:val="right"/>
              <w:ind w:right="241"/>
              <w:spacing w:after="0"/>
              <w:rPr>
                <w:sz w:val="20"/>
                <w:szCs w:val="20"/>
                <w:color w:val="auto"/>
              </w:rPr>
            </w:pPr>
            <w:r>
              <w:rPr>
                <w:rFonts w:ascii="Arial" w:cs="Arial" w:eastAsia="Arial" w:hAnsi="Arial"/>
                <w:sz w:val="16"/>
                <w:szCs w:val="16"/>
                <w:color w:val="auto"/>
              </w:rPr>
              <w:t>9</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4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9" w:right="319" w:bottom="1440" w:gutter="0" w:footer="0" w:header="0"/>
        </w:sectPr>
      </w:pPr>
    </w:p>
    <w:bookmarkStart w:id="12" w:name="page13"/>
    <w:bookmarkEnd w:id="12"/>
    <w:p>
      <w:pPr>
        <w:ind w:left="280"/>
        <w:spacing w:after="0"/>
        <w:rPr>
          <w:sz w:val="20"/>
          <w:szCs w:val="20"/>
          <w:color w:val="auto"/>
        </w:rPr>
      </w:pPr>
      <w:r>
        <w:rPr>
          <w:rFonts w:ascii="Arial" w:cs="Arial" w:eastAsia="Arial" w:hAnsi="Arial"/>
          <w:sz w:val="16"/>
          <w:szCs w:val="16"/>
          <w:color w:val="auto"/>
        </w:rPr>
        <w:t>The following is a summary of the impact of the restatement and reclassifications on the Company’s condensed consolidated statement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80" w:type="dxa"/>
            <w:vAlign w:val="bottom"/>
            <w:gridSpan w:val="8"/>
          </w:tcPr>
          <w:p>
            <w:pPr>
              <w:jc w:val="right"/>
              <w:ind w:right="701"/>
              <w:spacing w:after="0"/>
              <w:rPr>
                <w:sz w:val="20"/>
                <w:szCs w:val="20"/>
                <w:color w:val="auto"/>
              </w:rPr>
            </w:pPr>
            <w:r>
              <w:rPr>
                <w:rFonts w:ascii="Arial" w:cs="Arial" w:eastAsia="Arial" w:hAnsi="Arial"/>
                <w:sz w:val="16"/>
                <w:szCs w:val="16"/>
                <w:b w:val="1"/>
                <w:bCs w:val="1"/>
                <w:color w:val="auto"/>
              </w:rPr>
              <w:t>Three Months ended March 31, 2022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81"/>
              <w:spacing w:after="0"/>
              <w:rPr>
                <w:sz w:val="20"/>
                <w:szCs w:val="20"/>
                <w:color w:val="auto"/>
              </w:rPr>
            </w:pPr>
            <w:r>
              <w:rPr>
                <w:rFonts w:ascii="Arial" w:cs="Arial" w:eastAsia="Arial" w:hAnsi="Arial"/>
                <w:sz w:val="16"/>
                <w:szCs w:val="16"/>
                <w:b w:val="1"/>
                <w:bCs w:val="1"/>
                <w:color w:val="auto"/>
                <w:w w:val="91"/>
              </w:rPr>
              <w:t>Previously</w:t>
            </w:r>
          </w:p>
        </w:tc>
        <w:tc>
          <w:tcPr>
            <w:tcW w:w="1260" w:type="dxa"/>
            <w:vAlign w:val="bottom"/>
            <w:tcBorders>
              <w:top w:val="single" w:sz="8" w:color="auto"/>
            </w:tcBorders>
            <w:gridSpan w:val="2"/>
          </w:tcPr>
          <w:p>
            <w:pPr>
              <w:jc w:val="right"/>
              <w:ind w:right="221"/>
              <w:spacing w:after="0"/>
              <w:rPr>
                <w:sz w:val="20"/>
                <w:szCs w:val="20"/>
                <w:color w:val="auto"/>
              </w:rPr>
            </w:pPr>
            <w:r>
              <w:rPr>
                <w:rFonts w:ascii="Arial" w:cs="Arial" w:eastAsia="Arial" w:hAnsi="Arial"/>
                <w:sz w:val="16"/>
                <w:szCs w:val="16"/>
                <w:b w:val="1"/>
                <w:bCs w:val="1"/>
                <w:color w:val="auto"/>
              </w:rPr>
              <w:t>Adjustment</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200" w:type="dxa"/>
            <w:vAlign w:val="bottom"/>
            <w:gridSpan w:val="2"/>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1"/>
              <w:spacing w:after="0"/>
              <w:rPr>
                <w:sz w:val="20"/>
                <w:szCs w:val="20"/>
                <w:color w:val="auto"/>
              </w:rPr>
            </w:pPr>
            <w:r>
              <w:rPr>
                <w:rFonts w:ascii="Arial" w:cs="Arial" w:eastAsia="Arial" w:hAnsi="Arial"/>
                <w:sz w:val="16"/>
                <w:szCs w:val="16"/>
                <w:b w:val="1"/>
                <w:bCs w:val="1"/>
                <w:color w:val="auto"/>
                <w:w w:val="99"/>
              </w:rPr>
              <w:t>Reported</w:t>
            </w:r>
          </w:p>
        </w:tc>
        <w:tc>
          <w:tcPr>
            <w:tcW w:w="1260" w:type="dxa"/>
            <w:vAlign w:val="bottom"/>
            <w:gridSpan w:val="2"/>
          </w:tcPr>
          <w:p>
            <w:pPr>
              <w:jc w:val="right"/>
              <w:ind w:right="301"/>
              <w:spacing w:after="0"/>
              <w:rPr>
                <w:sz w:val="20"/>
                <w:szCs w:val="20"/>
                <w:color w:val="auto"/>
              </w:rPr>
            </w:pPr>
            <w:r>
              <w:rPr>
                <w:rFonts w:ascii="Arial" w:cs="Arial" w:eastAsia="Arial" w:hAnsi="Arial"/>
                <w:sz w:val="16"/>
                <w:szCs w:val="16"/>
                <w:b w:val="1"/>
                <w:bCs w:val="1"/>
                <w:color w:val="auto"/>
              </w:rPr>
              <w:t>Warrants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01"/>
              <w:spacing w:after="0"/>
              <w:rPr>
                <w:sz w:val="20"/>
                <w:szCs w:val="20"/>
                <w:color w:val="auto"/>
              </w:rPr>
            </w:pPr>
            <w:r>
              <w:rPr>
                <w:rFonts w:ascii="Arial" w:cs="Arial" w:eastAsia="Arial" w:hAnsi="Arial"/>
                <w:sz w:val="16"/>
                <w:szCs w:val="16"/>
                <w:b w:val="1"/>
                <w:bCs w:val="1"/>
                <w:color w:val="auto"/>
                <w:w w:val="97"/>
              </w:rPr>
              <w:t>Restated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income (loss) attributable to Agrify Corporation</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(8,882)</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10,662</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180" w:type="dxa"/>
            <w:vAlign w:val="bottom"/>
          </w:tcPr>
          <w:p>
            <w:pPr>
              <w:spacing w:after="0" w:line="177" w:lineRule="exact"/>
              <w:rPr>
                <w:sz w:val="20"/>
                <w:szCs w:val="20"/>
                <w:color w:val="auto"/>
              </w:rPr>
            </w:pPr>
            <w:r>
              <w:rPr>
                <w:rFonts w:ascii="Arial" w:cs="Arial" w:eastAsia="Arial" w:hAnsi="Arial"/>
                <w:sz w:val="16"/>
                <w:szCs w:val="16"/>
                <w:color w:val="auto"/>
                <w:w w:val="96"/>
              </w:rPr>
              <w:t>Adjustments to reconcile net loss (income) attributable to Agrify Corporation to net cash used in operating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activities: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1,052</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Amortization of premium on investment securities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224</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debt discount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20</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203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Amortization of issuance costs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on investment securities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(248)</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2,700</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(2,700)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(200)</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Compensation in connection with the issuance of stock options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953</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interest (income)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(406)</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Change in fair value of warrant liabilities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(10,785)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(10,785)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extinguishment of notes payable, net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Early termination of lease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26</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attributable to non-controlling interests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spacing w:after="0"/>
              <w:rPr>
                <w:sz w:val="20"/>
                <w:szCs w:val="20"/>
                <w:color w:val="auto"/>
              </w:rPr>
            </w:pPr>
            <w:r>
              <w:rPr>
                <w:rFonts w:ascii="Arial" w:cs="Arial" w:eastAsia="Arial" w:hAnsi="Arial"/>
                <w:sz w:val="16"/>
                <w:szCs w:val="16"/>
                <w:color w:val="auto"/>
              </w:rPr>
              <w:t>Changes in operating assets and liabilities, net of acquisitions: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(838)</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6"/>
                <w:szCs w:val="16"/>
                <w:color w:val="auto"/>
              </w:rPr>
              <w:t>(16,361)</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(16,361)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(3,033)</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2,143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Right of use assets, net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6"/>
                <w:szCs w:val="16"/>
                <w:color w:val="auto"/>
              </w:rPr>
              <w:t>(20)</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non-current assets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(1,867)</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1,867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6"/>
                <w:szCs w:val="16"/>
                <w:color w:val="auto"/>
              </w:rPr>
              <w:t>(2,765)</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(2,838)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and other current liabilities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(2,120)</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Deferred (expense), net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6"/>
                <w:szCs w:val="16"/>
                <w:color w:val="auto"/>
              </w:rPr>
              <w:t>(2,407)</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1,836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cash used in operating activities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(34,171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(30,875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Purchases of property and equipment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6"/>
                <w:szCs w:val="16"/>
                <w:color w:val="auto"/>
              </w:rPr>
              <w:t>(3,728)</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securities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(76,097)</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(76,097)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Proceeds from the sale of securities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82,460</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82,460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loan receivable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(12,487)</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(12,487)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Cash paid for business combinations, net of cash acquired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6"/>
                <w:szCs w:val="16"/>
                <w:color w:val="auto"/>
              </w:rPr>
              <w:t>(3,513)</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(3,513)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Proceeds from issuance of debt and warrants in private placement, net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65,000</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(2,595)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62,405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Common Stock and warrants in private placement, net of fees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25,797</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25,797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Proceeds from IPO, net of fees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Secondary public offering, net of fees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Proceeds from exercise of options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10</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exercise of warrants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Payments on other financing loans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(273)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on insurance financing loan</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(428)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Payments of financing leases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6"/>
                <w:szCs w:val="16"/>
                <w:color w:val="auto"/>
              </w:rPr>
              <w:t>(81)</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cash provided by financing activities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90,727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80" w:type="dxa"/>
            <w:vAlign w:val="bottom"/>
          </w:tcPr>
          <w:p>
            <w:pPr>
              <w:spacing w:after="0" w:line="173" w:lineRule="exact"/>
              <w:rPr>
                <w:sz w:val="20"/>
                <w:szCs w:val="20"/>
                <w:color w:val="auto"/>
              </w:rPr>
            </w:pPr>
            <w:r>
              <w:rPr>
                <w:rFonts w:ascii="Arial" w:cs="Arial" w:eastAsia="Arial" w:hAnsi="Arial"/>
                <w:sz w:val="16"/>
                <w:szCs w:val="16"/>
                <w:color w:val="auto"/>
              </w:rPr>
              <w:t>Net increase in cash, cash equivalents, and restricted cash</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Arial" w:cs="Arial" w:eastAsia="Arial" w:hAnsi="Arial"/>
                <w:sz w:val="16"/>
                <w:szCs w:val="16"/>
                <w:color w:val="auto"/>
              </w:rPr>
              <w:t>43,191</w:t>
            </w:r>
          </w:p>
        </w:tc>
        <w:tc>
          <w:tcPr>
            <w:tcW w:w="24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43,191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cash equivalents, and restricted cash at the beginning of period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12,014</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vMerge w:val="restart"/>
          </w:tcPr>
          <w:p>
            <w:pPr>
              <w:ind w:left="260"/>
              <w:spacing w:after="0"/>
              <w:rPr>
                <w:sz w:val="20"/>
                <w:szCs w:val="20"/>
                <w:color w:val="auto"/>
              </w:rPr>
            </w:pPr>
            <w:r>
              <w:rPr>
                <w:rFonts w:ascii="Arial" w:cs="Arial" w:eastAsia="Arial" w:hAnsi="Arial"/>
                <w:sz w:val="16"/>
                <w:szCs w:val="16"/>
                <w:color w:val="auto"/>
              </w:rPr>
              <w:t>Cash, cash equivalents, and restricted cash at the end of period</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7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55,205</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55,205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25,205</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25,205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Restricted cash</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30,000</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180" w:type="dxa"/>
            <w:vAlign w:val="bottom"/>
            <w:tcBorders>
              <w:top w:val="single" w:sz="8" w:color="CCEEFF"/>
              <w:bottom w:val="single" w:sz="8" w:color="CCEEFF"/>
            </w:tcBorders>
          </w:tcPr>
          <w:p>
            <w:pPr>
              <w:ind w:left="400"/>
              <w:spacing w:after="0" w:line="173" w:lineRule="exact"/>
              <w:rPr>
                <w:sz w:val="20"/>
                <w:szCs w:val="20"/>
                <w:color w:val="auto"/>
              </w:rPr>
            </w:pPr>
            <w:r>
              <w:rPr>
                <w:rFonts w:ascii="Arial" w:cs="Arial" w:eastAsia="Arial" w:hAnsi="Arial"/>
                <w:sz w:val="16"/>
                <w:szCs w:val="16"/>
                <w:color w:val="auto"/>
              </w:rPr>
              <w:t>Total cash, cash equivalents, and restricted cash at the end of period</w:t>
            </w:r>
          </w:p>
        </w:tc>
        <w:tc>
          <w:tcPr>
            <w:tcW w:w="12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55,205</w:t>
            </w:r>
          </w:p>
        </w:tc>
        <w:tc>
          <w:tcPr>
            <w:tcW w:w="24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55,205</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Supplemental disclosures of non-cash flow information</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ind w:left="400"/>
              <w:spacing w:after="0"/>
              <w:rPr>
                <w:sz w:val="20"/>
                <w:szCs w:val="20"/>
                <w:color w:val="auto"/>
              </w:rPr>
            </w:pPr>
            <w:r>
              <w:rPr>
                <w:rFonts w:ascii="Arial" w:cs="Arial" w:eastAsia="Arial" w:hAnsi="Arial"/>
                <w:sz w:val="16"/>
                <w:szCs w:val="16"/>
                <w:color w:val="auto"/>
              </w:rPr>
              <w:t>Initial fair value of warrants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1"/>
              <w:spacing w:after="0"/>
              <w:rPr>
                <w:sz w:val="20"/>
                <w:szCs w:val="20"/>
                <w:color w:val="auto"/>
              </w:rPr>
            </w:pPr>
            <w:r>
              <w:rPr>
                <w:rFonts w:ascii="Arial" w:cs="Arial" w:eastAsia="Arial" w:hAnsi="Arial"/>
                <w:sz w:val="16"/>
                <w:szCs w:val="16"/>
                <w:color w:val="auto"/>
              </w:rPr>
              <w:t>40,496</w:t>
            </w:r>
          </w:p>
        </w:tc>
        <w:tc>
          <w:tcPr>
            <w:tcW w:w="24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1"/>
              <w:spacing w:after="0"/>
              <w:rPr>
                <w:sz w:val="20"/>
                <w:szCs w:val="20"/>
                <w:color w:val="auto"/>
              </w:rPr>
            </w:pPr>
            <w:r>
              <w:rPr>
                <w:rFonts w:ascii="Arial" w:cs="Arial" w:eastAsia="Arial" w:hAnsi="Arial"/>
                <w:sz w:val="16"/>
                <w:szCs w:val="16"/>
                <w:color w:val="auto"/>
              </w:rPr>
              <w:t>40,496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Financing of prepaid insurance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1,928</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7180" w:type="dxa"/>
            <w:vAlign w:val="bottom"/>
            <w:tcBorders>
              <w:bottom w:val="single" w:sz="8" w:color="auto"/>
            </w:tcBorders>
          </w:tcPr>
          <w:p>
            <w:pPr>
              <w:ind w:left="55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9" w:right="319" w:bottom="1440" w:gutter="0" w:footer="0" w:header="0"/>
        </w:sectPr>
      </w:pPr>
    </w:p>
    <w:bookmarkStart w:id="13" w:name="page14"/>
    <w:bookmarkEnd w:id="13"/>
    <w:p>
      <w:pPr>
        <w:ind w:right="280" w:firstLine="284"/>
        <w:spacing w:after="0" w:line="268" w:lineRule="auto"/>
        <w:rPr>
          <w:sz w:val="20"/>
          <w:szCs w:val="20"/>
          <w:color w:val="auto"/>
        </w:rPr>
      </w:pPr>
      <w:r>
        <w:rPr>
          <w:rFonts w:ascii="Arial" w:cs="Arial" w:eastAsia="Arial" w:hAnsi="Arial"/>
          <w:sz w:val="16"/>
          <w:szCs w:val="16"/>
          <w:color w:val="auto"/>
        </w:rPr>
        <w:t>The following is a summary of the impact of the restatement and reclassifications on the Company’s condensed consolidated statement of stockholders’ equity as of March 31, 2022: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3"/>
              </w:rPr>
              <w:t>Total</w:t>
            </w:r>
          </w:p>
        </w:tc>
        <w:tc>
          <w:tcPr>
            <w:tcW w:w="80" w:type="dxa"/>
            <w:vAlign w:val="bottom"/>
          </w:tcPr>
          <w:p>
            <w:pPr>
              <w:spacing w:after="0"/>
              <w:rPr>
                <w:sz w:val="13"/>
                <w:szCs w:val="13"/>
                <w:color w:val="auto"/>
              </w:rPr>
            </w:pPr>
          </w:p>
        </w:tc>
        <w:tc>
          <w:tcPr>
            <w:tcW w:w="80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center"/>
              <w:ind w:right="37"/>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7"/>
              <w:spacing w:after="0" w:line="130" w:lineRule="exact"/>
              <w:rPr>
                <w:sz w:val="20"/>
                <w:szCs w:val="20"/>
                <w:color w:val="auto"/>
              </w:rPr>
            </w:pPr>
            <w:r>
              <w:rPr>
                <w:rFonts w:ascii="Arial" w:cs="Arial" w:eastAsia="Arial" w:hAnsi="Arial"/>
                <w:sz w:val="13"/>
                <w:szCs w:val="13"/>
                <w:b w:val="1"/>
                <w:bCs w:val="1"/>
                <w:color w:val="auto"/>
                <w:w w:val="86"/>
              </w:rPr>
              <w:t>Stockholders’</w:t>
            </w: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87"/>
              </w:rPr>
              <w:t>Non-</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vMerge w:val="restart"/>
          </w:tcPr>
          <w:p>
            <w:pPr>
              <w:jc w:val="center"/>
              <w:ind w:right="17"/>
              <w:spacing w:after="0"/>
              <w:rPr>
                <w:sz w:val="20"/>
                <w:szCs w:val="20"/>
                <w:color w:val="auto"/>
              </w:rPr>
            </w:pPr>
            <w:r>
              <w:rPr>
                <w:rFonts w:ascii="Arial" w:cs="Arial" w:eastAsia="Arial" w:hAnsi="Arial"/>
                <w:sz w:val="13"/>
                <w:szCs w:val="13"/>
                <w:b w:val="1"/>
                <w:bCs w:val="1"/>
                <w:color w:val="auto"/>
                <w:w w:val="91"/>
              </w:rPr>
              <w:t>Additional</w:t>
            </w:r>
          </w:p>
        </w:tc>
        <w:tc>
          <w:tcPr>
            <w:tcW w:w="86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77"/>
              <w:spacing w:after="0" w:line="130" w:lineRule="exact"/>
              <w:rPr>
                <w:sz w:val="20"/>
                <w:szCs w:val="20"/>
                <w:color w:val="auto"/>
              </w:rPr>
            </w:pPr>
            <w:r>
              <w:rPr>
                <w:rFonts w:ascii="Arial" w:cs="Arial" w:eastAsia="Arial" w:hAnsi="Arial"/>
                <w:sz w:val="13"/>
                <w:szCs w:val="13"/>
                <w:b w:val="1"/>
                <w:bCs w:val="1"/>
                <w:color w:val="auto"/>
                <w:w w:val="95"/>
              </w:rPr>
              <w:t>Equity</w:t>
            </w:r>
          </w:p>
        </w:tc>
        <w:tc>
          <w:tcPr>
            <w:tcW w:w="88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6"/>
              </w:rPr>
              <w:t>Stockholders’</w:t>
            </w: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87"/>
              </w:rPr>
              <w:t>Non-</w:t>
            </w: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1040" w:type="dxa"/>
            <w:vAlign w:val="bottom"/>
            <w:gridSpan w:val="3"/>
            <w:vMerge w:val="restart"/>
          </w:tcPr>
          <w:p>
            <w:pPr>
              <w:jc w:val="center"/>
              <w:ind w:left="77"/>
              <w:spacing w:after="0"/>
              <w:rPr>
                <w:sz w:val="20"/>
                <w:szCs w:val="20"/>
                <w:color w:val="auto"/>
              </w:rPr>
            </w:pPr>
            <w:r>
              <w:rPr>
                <w:rFonts w:ascii="Arial" w:cs="Arial" w:eastAsia="Arial" w:hAnsi="Arial"/>
                <w:sz w:val="13"/>
                <w:szCs w:val="13"/>
                <w:b w:val="1"/>
                <w:bCs w:val="1"/>
                <w:color w:val="auto"/>
                <w:w w:val="85"/>
              </w:rPr>
              <w:t>Common Stock</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77"/>
              <w:spacing w:after="0" w:line="130" w:lineRule="exact"/>
              <w:rPr>
                <w:sz w:val="20"/>
                <w:szCs w:val="20"/>
                <w:color w:val="auto"/>
              </w:rPr>
            </w:pPr>
            <w:r>
              <w:rPr>
                <w:rFonts w:ascii="Arial" w:cs="Arial" w:eastAsia="Arial" w:hAnsi="Arial"/>
                <w:sz w:val="13"/>
                <w:szCs w:val="13"/>
                <w:b w:val="1"/>
                <w:bCs w:val="1"/>
                <w:color w:val="auto"/>
                <w:w w:val="92"/>
              </w:rPr>
              <w:t>Paid-In</w:t>
            </w:r>
          </w:p>
        </w:tc>
        <w:tc>
          <w:tcPr>
            <w:tcW w:w="70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1"/>
                <w:szCs w:val="11"/>
                <w:color w:val="auto"/>
              </w:rPr>
            </w:pPr>
          </w:p>
        </w:tc>
        <w:tc>
          <w:tcPr>
            <w:tcW w:w="800" w:type="dxa"/>
            <w:vAlign w:val="bottom"/>
          </w:tcPr>
          <w:p>
            <w:pPr>
              <w:jc w:val="center"/>
              <w:ind w:right="77"/>
              <w:spacing w:after="0" w:line="130" w:lineRule="exact"/>
              <w:rPr>
                <w:sz w:val="20"/>
                <w:szCs w:val="20"/>
                <w:color w:val="auto"/>
              </w:rPr>
            </w:pPr>
            <w:r>
              <w:rPr>
                <w:rFonts w:ascii="Arial" w:cs="Arial" w:eastAsia="Arial" w:hAnsi="Arial"/>
                <w:sz w:val="13"/>
                <w:szCs w:val="13"/>
                <w:b w:val="1"/>
                <w:bCs w:val="1"/>
                <w:color w:val="auto"/>
                <w:w w:val="93"/>
              </w:rPr>
              <w:t>attributable</w:t>
            </w:r>
          </w:p>
        </w:tc>
        <w:tc>
          <w:tcPr>
            <w:tcW w:w="80" w:type="dxa"/>
            <w:vAlign w:val="bottom"/>
          </w:tcPr>
          <w:p>
            <w:pPr>
              <w:spacing w:after="0"/>
              <w:rPr>
                <w:sz w:val="11"/>
                <w:szCs w:val="11"/>
                <w:color w:val="auto"/>
              </w:rPr>
            </w:pPr>
          </w:p>
        </w:tc>
        <w:tc>
          <w:tcPr>
            <w:tcW w:w="800" w:type="dxa"/>
            <w:vAlign w:val="bottom"/>
          </w:tcPr>
          <w:p>
            <w:pPr>
              <w:jc w:val="center"/>
              <w:ind w:right="97"/>
              <w:spacing w:after="0" w:line="130" w:lineRule="exact"/>
              <w:rPr>
                <w:sz w:val="20"/>
                <w:szCs w:val="20"/>
                <w:color w:val="auto"/>
              </w:rPr>
            </w:pPr>
            <w:r>
              <w:rPr>
                <w:rFonts w:ascii="Arial" w:cs="Arial" w:eastAsia="Arial" w:hAnsi="Arial"/>
                <w:sz w:val="13"/>
                <w:szCs w:val="13"/>
                <w:b w:val="1"/>
                <w:bCs w:val="1"/>
                <w:color w:val="auto"/>
                <w:w w:val="90"/>
              </w:rPr>
              <w:t>Equity</w:t>
            </w:r>
          </w:p>
        </w:tc>
        <w:tc>
          <w:tcPr>
            <w:tcW w:w="740" w:type="dxa"/>
            <w:vAlign w:val="bottom"/>
            <w:gridSpan w:val="2"/>
          </w:tcPr>
          <w:p>
            <w:pPr>
              <w:jc w:val="center"/>
              <w:ind w:right="17"/>
              <w:spacing w:after="0" w:line="130" w:lineRule="exact"/>
              <w:rPr>
                <w:sz w:val="20"/>
                <w:szCs w:val="20"/>
                <w:color w:val="auto"/>
              </w:rPr>
            </w:pPr>
            <w:r>
              <w:rPr>
                <w:rFonts w:ascii="Arial" w:cs="Arial" w:eastAsia="Arial" w:hAnsi="Arial"/>
                <w:sz w:val="13"/>
                <w:szCs w:val="13"/>
                <w:b w:val="1"/>
                <w:bCs w:val="1"/>
                <w:color w:val="auto"/>
                <w:w w:val="89"/>
              </w:rPr>
              <w:t>Controlling</w:t>
            </w: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80" w:type="dxa"/>
            <w:vAlign w:val="bottom"/>
            <w:gridSpan w:val="3"/>
          </w:tcPr>
          <w:p>
            <w:pPr>
              <w:jc w:val="center"/>
              <w:ind w:right="60"/>
              <w:spacing w:after="0" w:line="130" w:lineRule="exact"/>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5"/>
              </w:rPr>
              <w:t>Common Stock</w:t>
            </w:r>
          </w:p>
        </w:tc>
        <w:tc>
          <w:tcPr>
            <w:tcW w:w="60" w:type="dxa"/>
            <w:vAlign w:val="bottom"/>
          </w:tcPr>
          <w:p>
            <w:pPr>
              <w:spacing w:after="0"/>
              <w:rPr>
                <w:sz w:val="11"/>
                <w:szCs w:val="11"/>
                <w:color w:val="auto"/>
              </w:rPr>
            </w:pPr>
          </w:p>
        </w:tc>
        <w:tc>
          <w:tcPr>
            <w:tcW w:w="700" w:type="dxa"/>
            <w:vAlign w:val="bottom"/>
          </w:tcPr>
          <w:p>
            <w:pPr>
              <w:jc w:val="center"/>
              <w:ind w:right="77"/>
              <w:spacing w:after="0" w:line="130"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1"/>
                <w:szCs w:val="11"/>
                <w:color w:val="auto"/>
              </w:rPr>
            </w:pPr>
          </w:p>
        </w:tc>
        <w:tc>
          <w:tcPr>
            <w:tcW w:w="620" w:type="dxa"/>
            <w:vAlign w:val="bottom"/>
          </w:tcPr>
          <w:p>
            <w:pPr>
              <w:jc w:val="center"/>
              <w:ind w:right="77"/>
              <w:spacing w:after="0" w:line="130"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90"/>
              </w:rPr>
              <w:t>Deficit</w:t>
            </w:r>
          </w:p>
        </w:tc>
        <w:tc>
          <w:tcPr>
            <w:tcW w:w="8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77"/>
              <w:spacing w:after="0" w:line="130" w:lineRule="exact"/>
              <w:rPr>
                <w:sz w:val="20"/>
                <w:szCs w:val="20"/>
                <w:color w:val="auto"/>
              </w:rPr>
            </w:pPr>
            <w:r>
              <w:rPr>
                <w:rFonts w:ascii="Arial" w:cs="Arial" w:eastAsia="Arial" w:hAnsi="Arial"/>
                <w:sz w:val="13"/>
                <w:szCs w:val="13"/>
                <w:b w:val="1"/>
                <w:bCs w:val="1"/>
                <w:color w:val="auto"/>
                <w:w w:val="93"/>
              </w:rPr>
              <w:t>to Agrify</w:t>
            </w:r>
          </w:p>
        </w:tc>
        <w:tc>
          <w:tcPr>
            <w:tcW w:w="80" w:type="dxa"/>
            <w:vAlign w:val="bottom"/>
          </w:tcPr>
          <w:p>
            <w:pPr>
              <w:spacing w:after="0"/>
              <w:rPr>
                <w:sz w:val="11"/>
                <w:szCs w:val="11"/>
                <w:color w:val="auto"/>
              </w:rPr>
            </w:pPr>
          </w:p>
        </w:tc>
        <w:tc>
          <w:tcPr>
            <w:tcW w:w="800" w:type="dxa"/>
            <w:vAlign w:val="bottom"/>
          </w:tcPr>
          <w:p>
            <w:pPr>
              <w:jc w:val="center"/>
              <w:ind w:right="97"/>
              <w:spacing w:after="0" w:line="130" w:lineRule="exact"/>
              <w:rPr>
                <w:sz w:val="20"/>
                <w:szCs w:val="20"/>
                <w:color w:val="auto"/>
              </w:rPr>
            </w:pPr>
            <w:r>
              <w:rPr>
                <w:rFonts w:ascii="Arial" w:cs="Arial" w:eastAsia="Arial" w:hAnsi="Arial"/>
                <w:sz w:val="13"/>
                <w:szCs w:val="13"/>
                <w:b w:val="1"/>
                <w:bCs w:val="1"/>
                <w:color w:val="auto"/>
                <w:w w:val="90"/>
              </w:rPr>
              <w:t>attributable</w:t>
            </w:r>
          </w:p>
        </w:tc>
        <w:tc>
          <w:tcPr>
            <w:tcW w:w="60" w:type="dxa"/>
            <w:vAlign w:val="bottom"/>
          </w:tcPr>
          <w:p>
            <w:pPr>
              <w:spacing w:after="0"/>
              <w:rPr>
                <w:sz w:val="11"/>
                <w:szCs w:val="11"/>
                <w:color w:val="auto"/>
              </w:rPr>
            </w:pPr>
          </w:p>
        </w:tc>
        <w:tc>
          <w:tcPr>
            <w:tcW w:w="680" w:type="dxa"/>
            <w:vAlign w:val="bottom"/>
          </w:tcPr>
          <w:p>
            <w:pPr>
              <w:jc w:val="center"/>
              <w:ind w:right="77"/>
              <w:spacing w:after="0" w:line="130" w:lineRule="exact"/>
              <w:rPr>
                <w:sz w:val="20"/>
                <w:szCs w:val="20"/>
                <w:color w:val="auto"/>
              </w:rPr>
            </w:pPr>
            <w:r>
              <w:rPr>
                <w:rFonts w:ascii="Arial" w:cs="Arial" w:eastAsia="Arial" w:hAnsi="Arial"/>
                <w:sz w:val="13"/>
                <w:szCs w:val="13"/>
                <w:b w:val="1"/>
                <w:bCs w:val="1"/>
                <w:color w:val="auto"/>
                <w:w w:val="84"/>
              </w:rPr>
              <w:t>Interests</w:t>
            </w:r>
          </w:p>
        </w:tc>
        <w:tc>
          <w:tcPr>
            <w:tcW w:w="76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9"/>
              </w:rPr>
              <w:t>Controlling</w:t>
            </w: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90"/>
              </w:rPr>
              <w:t>Equity</w:t>
            </w:r>
          </w:p>
        </w:tc>
        <w:tc>
          <w:tcPr>
            <w:tcW w:w="82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30"/>
        </w:trPr>
        <w:tc>
          <w:tcPr>
            <w:tcW w:w="880" w:type="dxa"/>
            <w:vAlign w:val="bottom"/>
          </w:tcPr>
          <w:p>
            <w:pPr>
              <w:spacing w:after="0"/>
              <w:rPr>
                <w:sz w:val="11"/>
                <w:szCs w:val="11"/>
                <w:color w:val="auto"/>
              </w:rPr>
            </w:pPr>
          </w:p>
        </w:tc>
        <w:tc>
          <w:tcPr>
            <w:tcW w:w="1040" w:type="dxa"/>
            <w:vAlign w:val="bottom"/>
            <w:gridSpan w:val="3"/>
          </w:tcPr>
          <w:p>
            <w:pPr>
              <w:jc w:val="center"/>
              <w:ind w:left="77"/>
              <w:spacing w:after="0" w:line="130" w:lineRule="exact"/>
              <w:rPr>
                <w:sz w:val="20"/>
                <w:szCs w:val="20"/>
                <w:color w:val="auto"/>
              </w:rPr>
            </w:pPr>
            <w:r>
              <w:rPr>
                <w:rFonts w:ascii="Arial" w:cs="Arial" w:eastAsia="Arial" w:hAnsi="Arial"/>
                <w:sz w:val="13"/>
                <w:szCs w:val="13"/>
                <w:b w:val="1"/>
                <w:bCs w:val="1"/>
                <w:color w:val="auto"/>
                <w:w w:val="88"/>
              </w:rPr>
              <w:t>(Previously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vMerge w:val="continue"/>
          </w:tcPr>
          <w:p>
            <w:pPr>
              <w:spacing w:after="0"/>
              <w:rPr>
                <w:sz w:val="11"/>
                <w:szCs w:val="11"/>
                <w:color w:val="auto"/>
              </w:rPr>
            </w:pPr>
          </w:p>
        </w:tc>
        <w:tc>
          <w:tcPr>
            <w:tcW w:w="760" w:type="dxa"/>
            <w:vAlign w:val="bottom"/>
            <w:gridSpan w:val="2"/>
          </w:tcPr>
          <w:p>
            <w:pPr>
              <w:jc w:val="center"/>
              <w:ind w:right="17"/>
              <w:spacing w:after="0" w:line="130" w:lineRule="exact"/>
              <w:rPr>
                <w:sz w:val="20"/>
                <w:szCs w:val="20"/>
                <w:color w:val="auto"/>
              </w:rPr>
            </w:pPr>
            <w:r>
              <w:rPr>
                <w:rFonts w:ascii="Arial" w:cs="Arial" w:eastAsia="Arial" w:hAnsi="Arial"/>
                <w:sz w:val="13"/>
                <w:szCs w:val="13"/>
                <w:b w:val="1"/>
                <w:bCs w:val="1"/>
                <w:color w:val="auto"/>
                <w:w w:val="85"/>
              </w:rPr>
              <w:t>(Previously</w:t>
            </w:r>
          </w:p>
        </w:tc>
        <w:tc>
          <w:tcPr>
            <w:tcW w:w="80" w:type="dxa"/>
            <w:vAlign w:val="bottom"/>
          </w:tcPr>
          <w:p>
            <w:pPr>
              <w:spacing w:after="0"/>
              <w:rPr>
                <w:sz w:val="11"/>
                <w:szCs w:val="11"/>
                <w:color w:val="auto"/>
              </w:rPr>
            </w:pPr>
          </w:p>
        </w:tc>
        <w:tc>
          <w:tcPr>
            <w:tcW w:w="620" w:type="dxa"/>
            <w:vAlign w:val="bottom"/>
          </w:tcPr>
          <w:p>
            <w:pPr>
              <w:jc w:val="center"/>
              <w:ind w:right="77"/>
              <w:spacing w:after="0" w:line="130"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85"/>
              </w:rPr>
              <w:t>(Previously</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0" w:lineRule="exact"/>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1"/>
                <w:szCs w:val="11"/>
                <w:color w:val="auto"/>
              </w:rPr>
            </w:pPr>
          </w:p>
        </w:tc>
        <w:tc>
          <w:tcPr>
            <w:tcW w:w="800" w:type="dxa"/>
            <w:vAlign w:val="bottom"/>
          </w:tcPr>
          <w:p>
            <w:pPr>
              <w:jc w:val="center"/>
              <w:ind w:right="77"/>
              <w:spacing w:after="0" w:line="130" w:lineRule="exact"/>
              <w:rPr>
                <w:sz w:val="20"/>
                <w:szCs w:val="20"/>
                <w:color w:val="auto"/>
              </w:rPr>
            </w:pPr>
            <w:r>
              <w:rPr>
                <w:rFonts w:ascii="Arial" w:cs="Arial" w:eastAsia="Arial" w:hAnsi="Arial"/>
                <w:sz w:val="13"/>
                <w:szCs w:val="13"/>
                <w:b w:val="1"/>
                <w:bCs w:val="1"/>
                <w:color w:val="auto"/>
                <w:w w:val="88"/>
              </w:rPr>
              <w:t>(Previously</w:t>
            </w:r>
          </w:p>
        </w:tc>
        <w:tc>
          <w:tcPr>
            <w:tcW w:w="80" w:type="dxa"/>
            <w:vAlign w:val="bottom"/>
          </w:tcPr>
          <w:p>
            <w:pPr>
              <w:spacing w:after="0"/>
              <w:rPr>
                <w:sz w:val="11"/>
                <w:szCs w:val="11"/>
                <w:color w:val="auto"/>
              </w:rPr>
            </w:pPr>
          </w:p>
        </w:tc>
        <w:tc>
          <w:tcPr>
            <w:tcW w:w="800" w:type="dxa"/>
            <w:vAlign w:val="bottom"/>
          </w:tcPr>
          <w:p>
            <w:pPr>
              <w:jc w:val="center"/>
              <w:ind w:right="97"/>
              <w:spacing w:after="0" w:line="130" w:lineRule="exact"/>
              <w:rPr>
                <w:sz w:val="20"/>
                <w:szCs w:val="20"/>
                <w:color w:val="auto"/>
              </w:rPr>
            </w:pPr>
            <w:r>
              <w:rPr>
                <w:rFonts w:ascii="Arial" w:cs="Arial" w:eastAsia="Arial" w:hAnsi="Arial"/>
                <w:sz w:val="13"/>
                <w:szCs w:val="13"/>
                <w:b w:val="1"/>
                <w:bCs w:val="1"/>
                <w:color w:val="auto"/>
                <w:w w:val="89"/>
              </w:rPr>
              <w:t>to Agrify</w:t>
            </w:r>
          </w:p>
        </w:tc>
        <w:tc>
          <w:tcPr>
            <w:tcW w:w="74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5"/>
              </w:rPr>
              <w:t>(Previously</w:t>
            </w:r>
          </w:p>
        </w:tc>
        <w:tc>
          <w:tcPr>
            <w:tcW w:w="80" w:type="dxa"/>
            <w:vAlign w:val="bottom"/>
          </w:tcPr>
          <w:p>
            <w:pPr>
              <w:spacing w:after="0"/>
              <w:rPr>
                <w:sz w:val="11"/>
                <w:szCs w:val="11"/>
                <w:color w:val="auto"/>
              </w:rPr>
            </w:pPr>
          </w:p>
        </w:tc>
        <w:tc>
          <w:tcPr>
            <w:tcW w:w="680" w:type="dxa"/>
            <w:vAlign w:val="bottom"/>
          </w:tcPr>
          <w:p>
            <w:pPr>
              <w:jc w:val="center"/>
              <w:ind w:right="77"/>
              <w:spacing w:after="0" w:line="130" w:lineRule="exact"/>
              <w:rPr>
                <w:sz w:val="20"/>
                <w:szCs w:val="20"/>
                <w:color w:val="auto"/>
              </w:rPr>
            </w:pPr>
            <w:r>
              <w:rPr>
                <w:rFonts w:ascii="Arial" w:cs="Arial" w:eastAsia="Arial" w:hAnsi="Arial"/>
                <w:sz w:val="13"/>
                <w:szCs w:val="13"/>
                <w:b w:val="1"/>
                <w:bCs w:val="1"/>
                <w:color w:val="auto"/>
                <w:w w:val="84"/>
              </w:rPr>
              <w:t>Interests</w:t>
            </w: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85"/>
              </w:rPr>
              <w:t>(Previously</w:t>
            </w:r>
          </w:p>
        </w:tc>
        <w:tc>
          <w:tcPr>
            <w:tcW w:w="100" w:type="dxa"/>
            <w:vAlign w:val="bottom"/>
          </w:tcPr>
          <w:p>
            <w:pPr>
              <w:spacing w:after="0"/>
              <w:rPr>
                <w:sz w:val="11"/>
                <w:szCs w:val="11"/>
                <w:color w:val="auto"/>
              </w:rPr>
            </w:pPr>
          </w:p>
        </w:tc>
        <w:tc>
          <w:tcPr>
            <w:tcW w:w="720" w:type="dxa"/>
            <w:vAlign w:val="bottom"/>
          </w:tcPr>
          <w:p>
            <w:pPr>
              <w:jc w:val="center"/>
              <w:ind w:right="57"/>
              <w:spacing w:after="0" w:line="130"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13"/>
                <w:szCs w:val="13"/>
                <w:color w:val="auto"/>
              </w:rPr>
            </w:pPr>
          </w:p>
        </w:tc>
        <w:tc>
          <w:tcPr>
            <w:tcW w:w="1040" w:type="dxa"/>
            <w:vAlign w:val="bottom"/>
            <w:gridSpan w:val="3"/>
          </w:tcPr>
          <w:p>
            <w:pPr>
              <w:jc w:val="center"/>
              <w:ind w:left="77"/>
              <w:spacing w:after="0"/>
              <w:rPr>
                <w:sz w:val="20"/>
                <w:szCs w:val="20"/>
                <w:color w:val="auto"/>
              </w:rPr>
            </w:pPr>
            <w:r>
              <w:rPr>
                <w:rFonts w:ascii="Arial" w:cs="Arial" w:eastAsia="Arial" w:hAnsi="Arial"/>
                <w:sz w:val="13"/>
                <w:szCs w:val="13"/>
                <w:b w:val="1"/>
                <w:bCs w:val="1"/>
                <w:color w:val="auto"/>
                <w:w w:val="87"/>
              </w:rPr>
              <w:t>Reported)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4"/>
              </w:rPr>
              <w:t>(Restated)</w:t>
            </w:r>
          </w:p>
        </w:tc>
        <w:tc>
          <w:tcPr>
            <w:tcW w:w="60" w:type="dxa"/>
            <w:vAlign w:val="bottom"/>
          </w:tcPr>
          <w:p>
            <w:pPr>
              <w:spacing w:after="0"/>
              <w:rPr>
                <w:sz w:val="13"/>
                <w:szCs w:val="13"/>
                <w:color w:val="auto"/>
              </w:rPr>
            </w:pPr>
          </w:p>
        </w:tc>
        <w:tc>
          <w:tcPr>
            <w:tcW w:w="700" w:type="dxa"/>
            <w:vAlign w:val="bottom"/>
          </w:tcPr>
          <w:p>
            <w:pPr>
              <w:jc w:val="center"/>
              <w:ind w:right="97"/>
              <w:spacing w:after="0"/>
              <w:rPr>
                <w:sz w:val="20"/>
                <w:szCs w:val="20"/>
                <w:color w:val="auto"/>
              </w:rPr>
            </w:pPr>
            <w:r>
              <w:rPr>
                <w:rFonts w:ascii="Arial" w:cs="Arial" w:eastAsia="Arial" w:hAnsi="Arial"/>
                <w:sz w:val="13"/>
                <w:szCs w:val="13"/>
                <w:b w:val="1"/>
                <w:bCs w:val="1"/>
                <w:color w:val="auto"/>
                <w:w w:val="87"/>
              </w:rPr>
              <w:t>Reported)</w:t>
            </w: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(Restated)</w:t>
            </w: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Reported)</w:t>
            </w: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(Restated)</w:t>
            </w:r>
          </w:p>
        </w:tc>
        <w:tc>
          <w:tcPr>
            <w:tcW w:w="60" w:type="dxa"/>
            <w:vAlign w:val="bottom"/>
          </w:tcPr>
          <w:p>
            <w:pPr>
              <w:spacing w:after="0"/>
              <w:rPr>
                <w:sz w:val="13"/>
                <w:szCs w:val="13"/>
                <w:color w:val="auto"/>
              </w:rPr>
            </w:pPr>
          </w:p>
        </w:tc>
        <w:tc>
          <w:tcPr>
            <w:tcW w:w="80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Reported)</w:t>
            </w:r>
          </w:p>
        </w:tc>
        <w:tc>
          <w:tcPr>
            <w:tcW w:w="80" w:type="dxa"/>
            <w:vAlign w:val="bottom"/>
          </w:tcPr>
          <w:p>
            <w:pPr>
              <w:spacing w:after="0"/>
              <w:rPr>
                <w:sz w:val="13"/>
                <w:szCs w:val="13"/>
                <w:color w:val="auto"/>
              </w:rPr>
            </w:pPr>
          </w:p>
        </w:tc>
        <w:tc>
          <w:tcPr>
            <w:tcW w:w="800" w:type="dxa"/>
            <w:vAlign w:val="bottom"/>
          </w:tcPr>
          <w:p>
            <w:pPr>
              <w:jc w:val="center"/>
              <w:ind w:right="97"/>
              <w:spacing w:after="0"/>
              <w:rPr>
                <w:sz w:val="20"/>
                <w:szCs w:val="20"/>
                <w:color w:val="auto"/>
              </w:rPr>
            </w:pPr>
            <w:r>
              <w:rPr>
                <w:rFonts w:ascii="Arial" w:cs="Arial" w:eastAsia="Arial" w:hAnsi="Arial"/>
                <w:sz w:val="13"/>
                <w:szCs w:val="13"/>
                <w:b w:val="1"/>
                <w:bCs w:val="1"/>
                <w:color w:val="auto"/>
                <w:w w:val="88"/>
              </w:rPr>
              <w:t>(Restated)</w:t>
            </w:r>
          </w:p>
        </w:tc>
        <w:tc>
          <w:tcPr>
            <w:tcW w:w="60" w:type="dxa"/>
            <w:vAlign w:val="bottom"/>
          </w:tcPr>
          <w:p>
            <w:pPr>
              <w:spacing w:after="0"/>
              <w:rPr>
                <w:sz w:val="13"/>
                <w:szCs w:val="13"/>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Reported)</w:t>
            </w:r>
          </w:p>
        </w:tc>
        <w:tc>
          <w:tcPr>
            <w:tcW w:w="80" w:type="dxa"/>
            <w:vAlign w:val="bottom"/>
          </w:tcPr>
          <w:p>
            <w:pPr>
              <w:spacing w:after="0"/>
              <w:rPr>
                <w:sz w:val="13"/>
                <w:szCs w:val="13"/>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84"/>
              </w:rPr>
              <w:t>(Restated)</w:t>
            </w: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Reported)</w:t>
            </w:r>
          </w:p>
        </w:tc>
        <w:tc>
          <w:tcPr>
            <w:tcW w:w="100" w:type="dxa"/>
            <w:vAlign w:val="bottom"/>
          </w:tcPr>
          <w:p>
            <w:pPr>
              <w:spacing w:after="0"/>
              <w:rPr>
                <w:sz w:val="13"/>
                <w:szCs w:val="13"/>
                <w:color w:val="auto"/>
              </w:rPr>
            </w:pPr>
          </w:p>
        </w:tc>
        <w:tc>
          <w:tcPr>
            <w:tcW w:w="720" w:type="dxa"/>
            <w:vAlign w:val="bottom"/>
          </w:tcPr>
          <w:p>
            <w:pPr>
              <w:jc w:val="center"/>
              <w:ind w:right="57"/>
              <w:spacing w:after="0"/>
              <w:rPr>
                <w:sz w:val="20"/>
                <w:szCs w:val="20"/>
                <w:color w:val="auto"/>
              </w:rPr>
            </w:pPr>
            <w:r>
              <w:rPr>
                <w:rFonts w:ascii="Arial" w:cs="Arial" w:eastAsia="Arial" w:hAnsi="Arial"/>
                <w:sz w:val="13"/>
                <w:szCs w:val="13"/>
                <w:b w:val="1"/>
                <w:bCs w:val="1"/>
                <w:color w:val="auto"/>
                <w:w w:val="88"/>
              </w:rPr>
              <w:t>(Restated)</w:t>
            </w:r>
          </w:p>
        </w:tc>
        <w:tc>
          <w:tcPr>
            <w:tcW w:w="0" w:type="dxa"/>
            <w:vAlign w:val="bottom"/>
          </w:tcPr>
          <w:p>
            <w:pPr>
              <w:spacing w:after="0"/>
              <w:rPr>
                <w:sz w:val="1"/>
                <w:szCs w:val="1"/>
                <w:color w:val="auto"/>
              </w:rPr>
            </w:pPr>
          </w:p>
        </w:tc>
      </w:tr>
      <w:tr>
        <w:trPr>
          <w:trHeight w:val="146"/>
        </w:trPr>
        <w:tc>
          <w:tcPr>
            <w:tcW w:w="88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b w:val="1"/>
                <w:bCs w:val="1"/>
                <w:color w:val="auto"/>
              </w:rPr>
              <w:t>Shares</w:t>
            </w: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5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3"/>
                <w:szCs w:val="13"/>
                <w:b w:val="1"/>
                <w:bCs w:val="1"/>
                <w:color w:val="auto"/>
                <w:w w:val="87"/>
              </w:rPr>
              <w:t>Shares</w:t>
            </w:r>
          </w:p>
        </w:tc>
        <w:tc>
          <w:tcPr>
            <w:tcW w:w="4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w w:val="85"/>
              </w:rPr>
              <w:t>Amount</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880" w:type="dxa"/>
            <w:vAlign w:val="bottom"/>
            <w:tcBorders>
              <w:top w:val="single" w:sz="8" w:color="CCEEFF"/>
            </w:tcBorders>
            <w:shd w:val="clear" w:color="auto" w:fill="CCEEFF"/>
          </w:tcPr>
          <w:p>
            <w:pPr>
              <w:spacing w:after="0" w:line="99" w:lineRule="exact"/>
              <w:rPr>
                <w:sz w:val="20"/>
                <w:szCs w:val="20"/>
                <w:color w:val="auto"/>
              </w:rPr>
            </w:pPr>
            <w:r>
              <w:rPr>
                <w:rFonts w:ascii="Arial" w:cs="Arial" w:eastAsia="Arial" w:hAnsi="Arial"/>
                <w:sz w:val="11"/>
                <w:szCs w:val="11"/>
                <w:b w:val="1"/>
                <w:bCs w:val="1"/>
                <w:color w:val="auto"/>
              </w:rPr>
              <w:t>Balance at</w:t>
            </w: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880" w:type="dxa"/>
            <w:vAlign w:val="bottom"/>
            <w:shd w:val="clear" w:color="auto" w:fill="CCEEFF"/>
          </w:tcPr>
          <w:p>
            <w:pPr>
              <w:ind w:left="140"/>
              <w:spacing w:after="0" w:line="130" w:lineRule="exact"/>
              <w:rPr>
                <w:sz w:val="20"/>
                <w:szCs w:val="20"/>
                <w:color w:val="auto"/>
              </w:rPr>
            </w:pPr>
            <w:r>
              <w:rPr>
                <w:rFonts w:ascii="Arial" w:cs="Arial" w:eastAsia="Arial" w:hAnsi="Arial"/>
                <w:sz w:val="13"/>
                <w:szCs w:val="13"/>
                <w:b w:val="1"/>
                <w:bCs w:val="1"/>
                <w:color w:val="auto"/>
              </w:rPr>
              <w:t>January 1,</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8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2022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22,207,103</w:t>
            </w:r>
          </w:p>
        </w:tc>
        <w:tc>
          <w:tcPr>
            <w:tcW w:w="360" w:type="dxa"/>
            <w:vAlign w:val="bottom"/>
            <w:shd w:val="clear" w:color="auto" w:fill="CCEEFF"/>
          </w:tcPr>
          <w:p>
            <w:pPr>
              <w:jc w:val="right"/>
              <w:ind w:right="247"/>
              <w:spacing w:after="0"/>
              <w:rPr>
                <w:sz w:val="20"/>
                <w:szCs w:val="20"/>
                <w:color w:val="auto"/>
              </w:rPr>
            </w:pPr>
            <w:r>
              <w:rPr>
                <w:rFonts w:ascii="Arial" w:cs="Arial" w:eastAsia="Arial" w:hAnsi="Arial"/>
                <w:sz w:val="9"/>
                <w:szCs w:val="9"/>
                <w:color w:val="auto"/>
                <w:w w:val="78"/>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9"/>
              </w:rPr>
              <w:t>111,035</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196,013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196,034</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(58,975)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(58,975)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137,059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right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137,059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137,424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137,424</w:t>
            </w:r>
          </w:p>
        </w:tc>
        <w:tc>
          <w:tcPr>
            <w:tcW w:w="0" w:type="dxa"/>
            <w:vAlign w:val="bottom"/>
          </w:tcPr>
          <w:p>
            <w:pPr>
              <w:spacing w:after="0"/>
              <w:rPr>
                <w:sz w:val="1"/>
                <w:szCs w:val="1"/>
                <w:color w:val="auto"/>
              </w:rPr>
            </w:pPr>
          </w:p>
        </w:tc>
      </w:tr>
      <w:tr>
        <w:trPr>
          <w:trHeight w:val="114"/>
        </w:trPr>
        <w:tc>
          <w:tcPr>
            <w:tcW w:w="880" w:type="dxa"/>
            <w:vAlign w:val="bottom"/>
          </w:tcPr>
          <w:p>
            <w:pPr>
              <w:spacing w:after="0" w:line="114" w:lineRule="exact"/>
              <w:rPr>
                <w:sz w:val="20"/>
                <w:szCs w:val="20"/>
                <w:color w:val="auto"/>
              </w:rPr>
            </w:pPr>
            <w:r>
              <w:rPr>
                <w:rFonts w:ascii="Arial" w:cs="Arial" w:eastAsia="Arial" w:hAnsi="Arial"/>
                <w:sz w:val="13"/>
                <w:szCs w:val="13"/>
                <w:color w:val="auto"/>
              </w:rPr>
              <w:t>Stock-based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880" w:type="dxa"/>
            <w:vAlign w:val="bottom"/>
          </w:tcPr>
          <w:p>
            <w:pPr>
              <w:ind w:left="140"/>
              <w:spacing w:after="0" w:line="146" w:lineRule="exact"/>
              <w:rPr>
                <w:sz w:val="20"/>
                <w:szCs w:val="20"/>
                <w:color w:val="auto"/>
              </w:rPr>
            </w:pPr>
            <w:r>
              <w:rPr>
                <w:rFonts w:ascii="Arial" w:cs="Arial" w:eastAsia="Arial" w:hAnsi="Arial"/>
                <w:sz w:val="13"/>
                <w:szCs w:val="13"/>
                <w:color w:val="auto"/>
                <w:w w:val="88"/>
              </w:rPr>
              <w:t>compensation</w:t>
            </w:r>
          </w:p>
        </w:tc>
        <w:tc>
          <w:tcPr>
            <w:tcW w:w="6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2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w w:val="91"/>
              </w:rPr>
              <w:t>—</w:t>
            </w:r>
          </w:p>
        </w:tc>
        <w:tc>
          <w:tcPr>
            <w:tcW w:w="5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tcPr>
          <w:p>
            <w:pPr>
              <w:ind w:left="34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Pr>
          <w:p>
            <w:pPr>
              <w:jc w:val="right"/>
              <w:ind w:right="17"/>
              <w:spacing w:after="0" w:line="146" w:lineRule="exact"/>
              <w:rPr>
                <w:sz w:val="20"/>
                <w:szCs w:val="20"/>
                <w:color w:val="auto"/>
              </w:rPr>
            </w:pPr>
            <w:r>
              <w:rPr>
                <w:rFonts w:ascii="Arial" w:cs="Arial" w:eastAsia="Arial" w:hAnsi="Arial"/>
                <w:sz w:val="13"/>
                <w:szCs w:val="13"/>
                <w:color w:val="auto"/>
              </w:rPr>
              <w:t>953</w:t>
            </w:r>
          </w:p>
        </w:tc>
        <w:tc>
          <w:tcPr>
            <w:tcW w:w="8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953</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tcPr>
          <w:p>
            <w:pPr>
              <w:jc w:val="right"/>
              <w:ind w:right="17"/>
              <w:spacing w:after="0" w:line="146" w:lineRule="exact"/>
              <w:rPr>
                <w:sz w:val="20"/>
                <w:szCs w:val="20"/>
                <w:color w:val="auto"/>
              </w:rPr>
            </w:pPr>
            <w:r>
              <w:rPr>
                <w:rFonts w:ascii="Arial" w:cs="Arial" w:eastAsia="Arial" w:hAnsi="Arial"/>
                <w:sz w:val="13"/>
                <w:szCs w:val="13"/>
                <w:color w:val="auto"/>
              </w:rPr>
              <w:t>953</w:t>
            </w:r>
          </w:p>
        </w:tc>
        <w:tc>
          <w:tcPr>
            <w:tcW w:w="80" w:type="dxa"/>
            <w:vAlign w:val="bottom"/>
          </w:tcPr>
          <w:p>
            <w:pPr>
              <w:spacing w:after="0"/>
              <w:rPr>
                <w:sz w:val="12"/>
                <w:szCs w:val="12"/>
                <w:color w:val="auto"/>
              </w:rPr>
            </w:pPr>
          </w:p>
        </w:tc>
        <w:tc>
          <w:tcPr>
            <w:tcW w:w="800" w:type="dxa"/>
            <w:vAlign w:val="bottom"/>
          </w:tcPr>
          <w:p>
            <w:pPr>
              <w:jc w:val="right"/>
              <w:ind w:right="17"/>
              <w:spacing w:after="0" w:line="146" w:lineRule="exact"/>
              <w:rPr>
                <w:sz w:val="20"/>
                <w:szCs w:val="20"/>
                <w:color w:val="auto"/>
              </w:rPr>
            </w:pPr>
            <w:r>
              <w:rPr>
                <w:rFonts w:ascii="Arial" w:cs="Arial" w:eastAsia="Arial" w:hAnsi="Arial"/>
                <w:sz w:val="13"/>
                <w:szCs w:val="13"/>
                <w:color w:val="auto"/>
              </w:rPr>
              <w:t>953</w:t>
            </w:r>
          </w:p>
        </w:tc>
        <w:tc>
          <w:tcPr>
            <w:tcW w:w="6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953</w:t>
            </w:r>
          </w:p>
        </w:tc>
        <w:tc>
          <w:tcPr>
            <w:tcW w:w="10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953</w:t>
            </w:r>
          </w:p>
        </w:tc>
        <w:tc>
          <w:tcPr>
            <w:tcW w:w="0" w:type="dxa"/>
            <w:vAlign w:val="bottom"/>
          </w:tcPr>
          <w:p>
            <w:pPr>
              <w:spacing w:after="0"/>
              <w:rPr>
                <w:sz w:val="1"/>
                <w:szCs w:val="1"/>
                <w:color w:val="auto"/>
              </w:rPr>
            </w:pPr>
          </w:p>
        </w:tc>
      </w:tr>
      <w:tr>
        <w:trPr>
          <w:trHeight w:val="114"/>
        </w:trPr>
        <w:tc>
          <w:tcPr>
            <w:tcW w:w="8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Issuance of</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880" w:type="dxa"/>
            <w:vAlign w:val="bottom"/>
            <w:shd w:val="clear" w:color="auto" w:fill="CCEEFF"/>
          </w:tcPr>
          <w:p>
            <w:pPr>
              <w:ind w:left="140"/>
              <w:spacing w:after="0" w:line="130" w:lineRule="exact"/>
              <w:rPr>
                <w:sz w:val="20"/>
                <w:szCs w:val="20"/>
                <w:color w:val="auto"/>
              </w:rPr>
            </w:pPr>
            <w:r>
              <w:rPr>
                <w:rFonts w:ascii="Arial" w:cs="Arial" w:eastAsia="Arial" w:hAnsi="Arial"/>
                <w:sz w:val="13"/>
                <w:szCs w:val="13"/>
                <w:color w:val="auto"/>
              </w:rPr>
              <w:t>Common</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80" w:type="dxa"/>
            <w:vAlign w:val="bottom"/>
            <w:shd w:val="clear" w:color="auto" w:fill="CCEEFF"/>
          </w:tcPr>
          <w:p>
            <w:pPr>
              <w:ind w:left="140"/>
              <w:spacing w:after="0" w:line="130" w:lineRule="exact"/>
              <w:rPr>
                <w:sz w:val="20"/>
                <w:szCs w:val="20"/>
                <w:color w:val="auto"/>
              </w:rPr>
            </w:pPr>
            <w:r>
              <w:rPr>
                <w:rFonts w:ascii="Arial" w:cs="Arial" w:eastAsia="Arial" w:hAnsi="Arial"/>
                <w:sz w:val="13"/>
                <w:szCs w:val="13"/>
                <w:color w:val="auto"/>
              </w:rPr>
              <w:t>Stock and</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80" w:type="dxa"/>
            <w:vAlign w:val="bottom"/>
            <w:shd w:val="clear" w:color="auto" w:fill="CCEEFF"/>
          </w:tcPr>
          <w:p>
            <w:pPr>
              <w:ind w:left="140"/>
              <w:spacing w:after="0" w:line="130" w:lineRule="exact"/>
              <w:rPr>
                <w:sz w:val="20"/>
                <w:szCs w:val="20"/>
                <w:color w:val="auto"/>
              </w:rPr>
            </w:pPr>
            <w:r>
              <w:rPr>
                <w:rFonts w:ascii="Arial" w:cs="Arial" w:eastAsia="Arial" w:hAnsi="Arial"/>
                <w:sz w:val="13"/>
                <w:szCs w:val="13"/>
                <w:color w:val="auto"/>
              </w:rPr>
              <w:t>warrants in</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80" w:type="dxa"/>
            <w:vAlign w:val="bottom"/>
            <w:shd w:val="clear" w:color="auto" w:fill="CCEEFF"/>
          </w:tcPr>
          <w:p>
            <w:pPr>
              <w:ind w:left="140"/>
              <w:spacing w:after="0" w:line="130" w:lineRule="exact"/>
              <w:rPr>
                <w:sz w:val="20"/>
                <w:szCs w:val="20"/>
                <w:color w:val="auto"/>
              </w:rPr>
            </w:pPr>
            <w:r>
              <w:rPr>
                <w:rFonts w:ascii="Arial" w:cs="Arial" w:eastAsia="Arial" w:hAnsi="Arial"/>
                <w:sz w:val="13"/>
                <w:szCs w:val="13"/>
                <w:color w:val="auto"/>
              </w:rPr>
              <w:t>private</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8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rPr>
              <w:t>placement</w:t>
            </w:r>
          </w:p>
        </w:tc>
        <w:tc>
          <w:tcPr>
            <w:tcW w:w="6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2,450,350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12,252</w:t>
            </w:r>
          </w:p>
        </w:tc>
        <w:tc>
          <w:tcPr>
            <w:tcW w:w="540" w:type="dxa"/>
            <w:vAlign w:val="bottom"/>
            <w:gridSpan w:val="2"/>
            <w:shd w:val="clear" w:color="auto" w:fill="CCEEFF"/>
          </w:tcPr>
          <w:p>
            <w:pPr>
              <w:ind w:left="34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17"/>
              <w:spacing w:after="0" w:line="146" w:lineRule="exact"/>
              <w:rPr>
                <w:sz w:val="20"/>
                <w:szCs w:val="20"/>
                <w:color w:val="auto"/>
              </w:rPr>
            </w:pPr>
            <w:r>
              <w:rPr>
                <w:rFonts w:ascii="Arial" w:cs="Arial" w:eastAsia="Arial" w:hAnsi="Arial"/>
                <w:sz w:val="13"/>
                <w:szCs w:val="13"/>
                <w:color w:val="auto"/>
              </w:rPr>
              <w:t>25,795</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14,800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7"/>
              <w:spacing w:after="0" w:line="146" w:lineRule="exact"/>
              <w:rPr>
                <w:sz w:val="20"/>
                <w:szCs w:val="20"/>
                <w:color w:val="auto"/>
              </w:rPr>
            </w:pPr>
            <w:r>
              <w:rPr>
                <w:rFonts w:ascii="Arial" w:cs="Arial" w:eastAsia="Arial" w:hAnsi="Arial"/>
                <w:sz w:val="13"/>
                <w:szCs w:val="13"/>
                <w:color w:val="auto"/>
              </w:rPr>
              <w:t>25,797</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7"/>
              <w:spacing w:after="0" w:line="146" w:lineRule="exact"/>
              <w:rPr>
                <w:sz w:val="20"/>
                <w:szCs w:val="20"/>
                <w:color w:val="auto"/>
              </w:rPr>
            </w:pPr>
            <w:r>
              <w:rPr>
                <w:rFonts w:ascii="Arial" w:cs="Arial" w:eastAsia="Arial" w:hAnsi="Arial"/>
                <w:sz w:val="13"/>
                <w:szCs w:val="13"/>
                <w:color w:val="auto"/>
              </w:rPr>
              <w:t>14,800</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25,797</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14,800</w:t>
            </w:r>
          </w:p>
        </w:tc>
        <w:tc>
          <w:tcPr>
            <w:tcW w:w="0" w:type="dxa"/>
            <w:vAlign w:val="bottom"/>
          </w:tcPr>
          <w:p>
            <w:pPr>
              <w:spacing w:after="0"/>
              <w:rPr>
                <w:sz w:val="1"/>
                <w:szCs w:val="1"/>
                <w:color w:val="auto"/>
              </w:rPr>
            </w:pPr>
          </w:p>
        </w:tc>
      </w:tr>
      <w:tr>
        <w:trPr>
          <w:trHeight w:val="114"/>
        </w:trPr>
        <w:tc>
          <w:tcPr>
            <w:tcW w:w="880" w:type="dxa"/>
            <w:vAlign w:val="bottom"/>
          </w:tcPr>
          <w:p>
            <w:pPr>
              <w:spacing w:after="0" w:line="114" w:lineRule="exact"/>
              <w:rPr>
                <w:sz w:val="20"/>
                <w:szCs w:val="20"/>
                <w:color w:val="auto"/>
              </w:rPr>
            </w:pPr>
            <w:r>
              <w:rPr>
                <w:rFonts w:ascii="Arial" w:cs="Arial" w:eastAsia="Arial" w:hAnsi="Arial"/>
                <w:sz w:val="13"/>
                <w:szCs w:val="13"/>
                <w:color w:val="auto"/>
                <w:w w:val="90"/>
              </w:rPr>
              <w:t>Issuance of debt</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880" w:type="dxa"/>
            <w:vAlign w:val="bottom"/>
          </w:tcPr>
          <w:p>
            <w:pPr>
              <w:ind w:left="140"/>
              <w:spacing w:after="0" w:line="130" w:lineRule="exact"/>
              <w:rPr>
                <w:sz w:val="20"/>
                <w:szCs w:val="20"/>
                <w:color w:val="auto"/>
              </w:rPr>
            </w:pPr>
            <w:r>
              <w:rPr>
                <w:rFonts w:ascii="Arial" w:cs="Arial" w:eastAsia="Arial" w:hAnsi="Arial"/>
                <w:sz w:val="13"/>
                <w:szCs w:val="13"/>
                <w:color w:val="auto"/>
                <w:w w:val="95"/>
              </w:rPr>
              <w:t>and warrants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80" w:type="dxa"/>
            <w:vAlign w:val="bottom"/>
          </w:tcPr>
          <w:p>
            <w:pPr>
              <w:ind w:left="140"/>
              <w:spacing w:after="0" w:line="130" w:lineRule="exact"/>
              <w:rPr>
                <w:sz w:val="20"/>
                <w:szCs w:val="20"/>
                <w:color w:val="auto"/>
              </w:rPr>
            </w:pPr>
            <w:r>
              <w:rPr>
                <w:rFonts w:ascii="Arial" w:cs="Arial" w:eastAsia="Arial" w:hAnsi="Arial"/>
                <w:sz w:val="13"/>
                <w:szCs w:val="13"/>
                <w:color w:val="auto"/>
              </w:rPr>
              <w:t>in private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80" w:type="dxa"/>
            <w:vAlign w:val="bottom"/>
          </w:tcPr>
          <w:p>
            <w:pPr>
              <w:ind w:left="140"/>
              <w:spacing w:after="0" w:line="146" w:lineRule="exact"/>
              <w:rPr>
                <w:sz w:val="20"/>
                <w:szCs w:val="20"/>
                <w:color w:val="auto"/>
              </w:rPr>
            </w:pPr>
            <w:r>
              <w:rPr>
                <w:rFonts w:ascii="Arial" w:cs="Arial" w:eastAsia="Arial" w:hAnsi="Arial"/>
                <w:sz w:val="13"/>
                <w:szCs w:val="13"/>
                <w:color w:val="auto"/>
              </w:rPr>
              <w:t>placement</w:t>
            </w:r>
          </w:p>
        </w:tc>
        <w:tc>
          <w:tcPr>
            <w:tcW w:w="6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2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w w:val="91"/>
              </w:rPr>
              <w:t>—</w:t>
            </w:r>
          </w:p>
        </w:tc>
        <w:tc>
          <w:tcPr>
            <w:tcW w:w="5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540" w:type="dxa"/>
            <w:vAlign w:val="bottom"/>
            <w:gridSpan w:val="2"/>
          </w:tcPr>
          <w:p>
            <w:pPr>
              <w:ind w:left="34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Pr>
          <w:p>
            <w:pPr>
              <w:jc w:val="right"/>
              <w:ind w:right="17"/>
              <w:spacing w:after="0" w:line="146" w:lineRule="exact"/>
              <w:rPr>
                <w:sz w:val="20"/>
                <w:szCs w:val="20"/>
                <w:color w:val="auto"/>
              </w:rPr>
            </w:pPr>
            <w:r>
              <w:rPr>
                <w:rFonts w:ascii="Arial" w:cs="Arial" w:eastAsia="Arial" w:hAnsi="Arial"/>
                <w:sz w:val="13"/>
                <w:szCs w:val="13"/>
                <w:color w:val="auto"/>
              </w:rPr>
              <w:t>13,230</w:t>
            </w:r>
          </w:p>
        </w:tc>
        <w:tc>
          <w:tcPr>
            <w:tcW w:w="8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tcPr>
          <w:p>
            <w:pPr>
              <w:jc w:val="right"/>
              <w:ind w:right="17"/>
              <w:spacing w:after="0" w:line="146" w:lineRule="exact"/>
              <w:rPr>
                <w:sz w:val="20"/>
                <w:szCs w:val="20"/>
                <w:color w:val="auto"/>
              </w:rPr>
            </w:pPr>
            <w:r>
              <w:rPr>
                <w:rFonts w:ascii="Arial" w:cs="Arial" w:eastAsia="Arial" w:hAnsi="Arial"/>
                <w:sz w:val="13"/>
                <w:szCs w:val="13"/>
                <w:color w:val="auto"/>
              </w:rPr>
              <w:t>13,230</w:t>
            </w:r>
          </w:p>
        </w:tc>
        <w:tc>
          <w:tcPr>
            <w:tcW w:w="80" w:type="dxa"/>
            <w:vAlign w:val="bottom"/>
          </w:tcPr>
          <w:p>
            <w:pPr>
              <w:spacing w:after="0"/>
              <w:rPr>
                <w:sz w:val="12"/>
                <w:szCs w:val="12"/>
                <w:color w:val="auto"/>
              </w:rPr>
            </w:pPr>
          </w:p>
        </w:tc>
        <w:tc>
          <w:tcPr>
            <w:tcW w:w="800" w:type="dxa"/>
            <w:vAlign w:val="bottom"/>
          </w:tcPr>
          <w:p>
            <w:pPr>
              <w:jc w:val="right"/>
              <w:ind w:right="17"/>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13,230</w:t>
            </w:r>
          </w:p>
        </w:tc>
        <w:tc>
          <w:tcPr>
            <w:tcW w:w="10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8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Acquisition of</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88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rPr>
              <w:t>Lab Society</w:t>
            </w:r>
          </w:p>
        </w:tc>
        <w:tc>
          <w:tcPr>
            <w:tcW w:w="6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297,929</w:t>
            </w:r>
          </w:p>
        </w:tc>
        <w:tc>
          <w:tcPr>
            <w:tcW w:w="3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w w:val="91"/>
              </w:rPr>
              <w:t>—</w:t>
            </w:r>
          </w:p>
        </w:tc>
        <w:tc>
          <w:tcPr>
            <w:tcW w:w="5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1,490</w:t>
            </w:r>
          </w:p>
        </w:tc>
        <w:tc>
          <w:tcPr>
            <w:tcW w:w="540" w:type="dxa"/>
            <w:vAlign w:val="bottom"/>
            <w:gridSpan w:val="2"/>
            <w:shd w:val="clear" w:color="auto" w:fill="CCEEFF"/>
          </w:tcPr>
          <w:p>
            <w:pPr>
              <w:ind w:left="34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17"/>
              <w:spacing w:after="0" w:line="146" w:lineRule="exact"/>
              <w:rPr>
                <w:sz w:val="20"/>
                <w:szCs w:val="20"/>
                <w:color w:val="auto"/>
              </w:rPr>
            </w:pPr>
            <w:r>
              <w:rPr>
                <w:rFonts w:ascii="Arial" w:cs="Arial" w:eastAsia="Arial" w:hAnsi="Arial"/>
                <w:sz w:val="13"/>
                <w:szCs w:val="13"/>
                <w:color w:val="auto"/>
              </w:rPr>
              <w:t>1,903</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1,903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7"/>
              <w:spacing w:after="0" w:line="146" w:lineRule="exact"/>
              <w:rPr>
                <w:sz w:val="20"/>
                <w:szCs w:val="20"/>
                <w:color w:val="auto"/>
              </w:rPr>
            </w:pPr>
            <w:r>
              <w:rPr>
                <w:rFonts w:ascii="Arial" w:cs="Arial" w:eastAsia="Arial" w:hAnsi="Arial"/>
                <w:sz w:val="13"/>
                <w:szCs w:val="13"/>
                <w:color w:val="auto"/>
              </w:rPr>
              <w:t>1,903</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7"/>
              <w:spacing w:after="0" w:line="146" w:lineRule="exact"/>
              <w:rPr>
                <w:sz w:val="20"/>
                <w:szCs w:val="20"/>
                <w:color w:val="auto"/>
              </w:rPr>
            </w:pPr>
            <w:r>
              <w:rPr>
                <w:rFonts w:ascii="Arial" w:cs="Arial" w:eastAsia="Arial" w:hAnsi="Arial"/>
                <w:sz w:val="13"/>
                <w:szCs w:val="13"/>
                <w:color w:val="auto"/>
              </w:rPr>
              <w:t>1,903</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1,903</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1,903</w:t>
            </w:r>
          </w:p>
        </w:tc>
        <w:tc>
          <w:tcPr>
            <w:tcW w:w="0" w:type="dxa"/>
            <w:vAlign w:val="bottom"/>
          </w:tcPr>
          <w:p>
            <w:pPr>
              <w:spacing w:after="0"/>
              <w:rPr>
                <w:sz w:val="1"/>
                <w:szCs w:val="1"/>
                <w:color w:val="auto"/>
              </w:rPr>
            </w:pPr>
          </w:p>
        </w:tc>
      </w:tr>
      <w:tr>
        <w:trPr>
          <w:trHeight w:val="114"/>
        </w:trPr>
        <w:tc>
          <w:tcPr>
            <w:tcW w:w="880" w:type="dxa"/>
            <w:vAlign w:val="bottom"/>
          </w:tcPr>
          <w:p>
            <w:pPr>
              <w:spacing w:after="0" w:line="114" w:lineRule="exact"/>
              <w:rPr>
                <w:sz w:val="20"/>
                <w:szCs w:val="20"/>
                <w:color w:val="auto"/>
              </w:rPr>
            </w:pPr>
            <w:r>
              <w:rPr>
                <w:rFonts w:ascii="Arial" w:cs="Arial" w:eastAsia="Arial" w:hAnsi="Arial"/>
                <w:sz w:val="13"/>
                <w:szCs w:val="13"/>
                <w:color w:val="auto"/>
              </w:rPr>
              <w:t>Exercise of</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880" w:type="dxa"/>
            <w:vAlign w:val="bottom"/>
          </w:tcPr>
          <w:p>
            <w:pPr>
              <w:ind w:left="140"/>
              <w:spacing w:after="0" w:line="146" w:lineRule="exact"/>
              <w:rPr>
                <w:sz w:val="20"/>
                <w:szCs w:val="20"/>
                <w:color w:val="auto"/>
              </w:rPr>
            </w:pPr>
            <w:r>
              <w:rPr>
                <w:rFonts w:ascii="Arial" w:cs="Arial" w:eastAsia="Arial" w:hAnsi="Arial"/>
                <w:sz w:val="13"/>
                <w:szCs w:val="13"/>
                <w:color w:val="auto"/>
              </w:rPr>
              <w:t>options</w:t>
            </w:r>
          </w:p>
        </w:tc>
        <w:tc>
          <w:tcPr>
            <w:tcW w:w="6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4,220</w:t>
            </w:r>
          </w:p>
        </w:tc>
        <w:tc>
          <w:tcPr>
            <w:tcW w:w="360" w:type="dxa"/>
            <w:vAlign w:val="bottom"/>
          </w:tcPr>
          <w:p>
            <w:pPr>
              <w:spacing w:after="0"/>
              <w:rPr>
                <w:sz w:val="12"/>
                <w:szCs w:val="12"/>
                <w:color w:val="auto"/>
              </w:rPr>
            </w:pPr>
          </w:p>
        </w:tc>
        <w:tc>
          <w:tcPr>
            <w:tcW w:w="2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w w:val="91"/>
              </w:rPr>
              <w:t>—</w:t>
            </w: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21</w:t>
            </w:r>
          </w:p>
        </w:tc>
        <w:tc>
          <w:tcPr>
            <w:tcW w:w="80" w:type="dxa"/>
            <w:vAlign w:val="bottom"/>
          </w:tcPr>
          <w:p>
            <w:pPr>
              <w:spacing w:after="0"/>
              <w:rPr>
                <w:sz w:val="12"/>
                <w:szCs w:val="12"/>
                <w:color w:val="auto"/>
              </w:rPr>
            </w:pPr>
          </w:p>
        </w:tc>
        <w:tc>
          <w:tcPr>
            <w:tcW w:w="540" w:type="dxa"/>
            <w:vAlign w:val="bottom"/>
            <w:gridSpan w:val="2"/>
          </w:tcPr>
          <w:p>
            <w:pPr>
              <w:ind w:left="34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Pr>
          <w:p>
            <w:pPr>
              <w:jc w:val="right"/>
              <w:ind w:right="17"/>
              <w:spacing w:after="0" w:line="146"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tcPr>
          <w:p>
            <w:pPr>
              <w:jc w:val="right"/>
              <w:ind w:right="17"/>
              <w:spacing w:after="0" w:line="146"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2"/>
                <w:szCs w:val="12"/>
                <w:color w:val="auto"/>
              </w:rPr>
            </w:pPr>
          </w:p>
        </w:tc>
        <w:tc>
          <w:tcPr>
            <w:tcW w:w="800" w:type="dxa"/>
            <w:vAlign w:val="bottom"/>
          </w:tcPr>
          <w:p>
            <w:pPr>
              <w:jc w:val="right"/>
              <w:ind w:right="17"/>
              <w:spacing w:after="0" w:line="146" w:lineRule="exact"/>
              <w:rPr>
                <w:sz w:val="20"/>
                <w:szCs w:val="20"/>
                <w:color w:val="auto"/>
              </w:rPr>
            </w:pPr>
            <w:r>
              <w:rPr>
                <w:rFonts w:ascii="Arial" w:cs="Arial" w:eastAsia="Arial" w:hAnsi="Arial"/>
                <w:sz w:val="13"/>
                <w:szCs w:val="13"/>
                <w:color w:val="auto"/>
              </w:rPr>
              <w:t>10</w:t>
            </w:r>
          </w:p>
        </w:tc>
        <w:tc>
          <w:tcPr>
            <w:tcW w:w="6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14"/>
        </w:trPr>
        <w:tc>
          <w:tcPr>
            <w:tcW w:w="8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Exercise of</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88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rPr>
              <w:t>warrants</w:t>
            </w:r>
          </w:p>
        </w:tc>
        <w:tc>
          <w:tcPr>
            <w:tcW w:w="6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1,583,288</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7,916</w:t>
            </w:r>
          </w:p>
        </w:tc>
        <w:tc>
          <w:tcPr>
            <w:tcW w:w="540" w:type="dxa"/>
            <w:vAlign w:val="bottom"/>
            <w:gridSpan w:val="2"/>
            <w:shd w:val="clear" w:color="auto" w:fill="CCEEFF"/>
          </w:tcPr>
          <w:p>
            <w:pPr>
              <w:ind w:left="34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7"/>
              <w:spacing w:after="0" w:line="146"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ind w:right="17"/>
              <w:spacing w:after="0" w:line="146"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6"/>
        </w:trPr>
        <w:tc>
          <w:tcPr>
            <w:tcW w:w="880" w:type="dxa"/>
            <w:vAlign w:val="bottom"/>
          </w:tcPr>
          <w:p>
            <w:pPr>
              <w:spacing w:after="0" w:line="142" w:lineRule="exact"/>
              <w:rPr>
                <w:sz w:val="20"/>
                <w:szCs w:val="20"/>
                <w:color w:val="auto"/>
              </w:rPr>
            </w:pPr>
            <w:r>
              <w:rPr>
                <w:rFonts w:ascii="Arial" w:cs="Arial" w:eastAsia="Arial" w:hAnsi="Arial"/>
                <w:sz w:val="13"/>
                <w:szCs w:val="13"/>
                <w:color w:val="auto"/>
              </w:rPr>
              <w:t>Net income</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2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w w:val="91"/>
              </w:rPr>
              <w:t>—</w:t>
            </w:r>
          </w:p>
        </w:tc>
        <w:tc>
          <w:tcPr>
            <w:tcW w:w="5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540" w:type="dxa"/>
            <w:vAlign w:val="bottom"/>
            <w:gridSpan w:val="2"/>
          </w:tcPr>
          <w:p>
            <w:pPr>
              <w:ind w:left="340"/>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(8,882)</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1,780</w:t>
            </w:r>
          </w:p>
        </w:tc>
        <w:tc>
          <w:tcPr>
            <w:tcW w:w="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(8,882)</w:t>
            </w:r>
          </w:p>
        </w:tc>
        <w:tc>
          <w:tcPr>
            <w:tcW w:w="80" w:type="dxa"/>
            <w:vAlign w:val="bottom"/>
          </w:tcPr>
          <w:p>
            <w:pPr>
              <w:spacing w:after="0"/>
              <w:rPr>
                <w:sz w:val="12"/>
                <w:szCs w:val="12"/>
                <w:color w:val="auto"/>
              </w:rPr>
            </w:pPr>
          </w:p>
        </w:tc>
        <w:tc>
          <w:tcPr>
            <w:tcW w:w="800" w:type="dxa"/>
            <w:vAlign w:val="bottom"/>
          </w:tcPr>
          <w:p>
            <w:pPr>
              <w:jc w:val="right"/>
              <w:ind w:right="17"/>
              <w:spacing w:after="0" w:line="142" w:lineRule="exact"/>
              <w:rPr>
                <w:sz w:val="20"/>
                <w:szCs w:val="20"/>
                <w:color w:val="auto"/>
              </w:rPr>
            </w:pPr>
            <w:r>
              <w:rPr>
                <w:rFonts w:ascii="Arial" w:cs="Arial" w:eastAsia="Arial" w:hAnsi="Arial"/>
                <w:sz w:val="13"/>
                <w:szCs w:val="13"/>
                <w:color w:val="auto"/>
              </w:rPr>
              <w:t>1,780</w:t>
            </w:r>
          </w:p>
        </w:tc>
        <w:tc>
          <w:tcPr>
            <w:tcW w:w="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(8,881)</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1,781</w:t>
            </w:r>
          </w:p>
        </w:tc>
        <w:tc>
          <w:tcPr>
            <w:tcW w:w="0" w:type="dxa"/>
            <w:vAlign w:val="bottom"/>
          </w:tcPr>
          <w:p>
            <w:pPr>
              <w:spacing w:after="0"/>
              <w:rPr>
                <w:sz w:val="1"/>
                <w:szCs w:val="1"/>
                <w:color w:val="auto"/>
              </w:rPr>
            </w:pPr>
          </w:p>
        </w:tc>
      </w:tr>
      <w:tr>
        <w:trPr>
          <w:trHeight w:val="98"/>
        </w:trPr>
        <w:tc>
          <w:tcPr>
            <w:tcW w:w="880" w:type="dxa"/>
            <w:vAlign w:val="bottom"/>
            <w:tcBorders>
              <w:top w:val="single" w:sz="8" w:color="CCEEFF"/>
            </w:tcBorders>
            <w:shd w:val="clear" w:color="auto" w:fill="CCEEFF"/>
          </w:tcPr>
          <w:p>
            <w:pPr>
              <w:spacing w:after="0" w:line="99" w:lineRule="exact"/>
              <w:rPr>
                <w:sz w:val="20"/>
                <w:szCs w:val="20"/>
                <w:color w:val="auto"/>
              </w:rPr>
            </w:pPr>
            <w:r>
              <w:rPr>
                <w:rFonts w:ascii="Arial" w:cs="Arial" w:eastAsia="Arial" w:hAnsi="Arial"/>
                <w:sz w:val="11"/>
                <w:szCs w:val="11"/>
                <w:b w:val="1"/>
                <w:bCs w:val="1"/>
                <w:color w:val="auto"/>
              </w:rPr>
              <w:t>Balance at</w:t>
            </w: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880" w:type="dxa"/>
            <w:vAlign w:val="bottom"/>
            <w:shd w:val="clear" w:color="auto" w:fill="CCEEFF"/>
          </w:tcPr>
          <w:p>
            <w:pPr>
              <w:ind w:left="140"/>
              <w:spacing w:after="0" w:line="130" w:lineRule="exact"/>
              <w:rPr>
                <w:sz w:val="20"/>
                <w:szCs w:val="20"/>
                <w:color w:val="auto"/>
              </w:rPr>
            </w:pPr>
            <w:r>
              <w:rPr>
                <w:rFonts w:ascii="Arial" w:cs="Arial" w:eastAsia="Arial" w:hAnsi="Arial"/>
                <w:sz w:val="13"/>
                <w:szCs w:val="13"/>
                <w:b w:val="1"/>
                <w:bCs w:val="1"/>
                <w:color w:val="auto"/>
              </w:rPr>
              <w:t>March 31,</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w w:val="89"/>
              </w:rPr>
              <w:t>26,542,890</w:t>
            </w:r>
          </w:p>
        </w:tc>
        <w:tc>
          <w:tcPr>
            <w:tcW w:w="360" w:type="dxa"/>
            <w:vAlign w:val="bottom"/>
            <w:vMerge w:val="restart"/>
            <w:shd w:val="clear" w:color="auto" w:fill="CCEEFF"/>
          </w:tcPr>
          <w:p>
            <w:pPr>
              <w:jc w:val="right"/>
              <w:ind w:right="247"/>
              <w:spacing w:after="0"/>
              <w:rPr>
                <w:sz w:val="20"/>
                <w:szCs w:val="20"/>
                <w:color w:val="auto"/>
              </w:rPr>
            </w:pPr>
            <w:r>
              <w:rPr>
                <w:rFonts w:ascii="Arial" w:cs="Arial" w:eastAsia="Arial" w:hAnsi="Arial"/>
                <w:sz w:val="9"/>
                <w:szCs w:val="9"/>
                <w:color w:val="auto"/>
                <w:w w:val="78"/>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25</w:t>
            </w:r>
          </w:p>
        </w:tc>
        <w:tc>
          <w:tcPr>
            <w:tcW w:w="8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w w:val="89"/>
              </w:rPr>
              <w:t>132,714</w:t>
            </w:r>
          </w:p>
        </w:tc>
        <w:tc>
          <w:tcPr>
            <w:tcW w:w="54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237,903</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213,701</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(67,857) $</w:t>
            </w:r>
          </w:p>
        </w:tc>
        <w:tc>
          <w:tcPr>
            <w:tcW w:w="84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(57,195) $</w:t>
            </w:r>
          </w:p>
        </w:tc>
        <w:tc>
          <w:tcPr>
            <w:tcW w:w="80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170,071</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156,506</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170,437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156,872</w:t>
            </w:r>
          </w:p>
        </w:tc>
        <w:tc>
          <w:tcPr>
            <w:tcW w:w="0" w:type="dxa"/>
            <w:vAlign w:val="bottom"/>
          </w:tcPr>
          <w:p>
            <w:pPr>
              <w:spacing w:after="0"/>
              <w:rPr>
                <w:sz w:val="1"/>
                <w:szCs w:val="1"/>
                <w:color w:val="auto"/>
              </w:rPr>
            </w:pPr>
          </w:p>
        </w:tc>
      </w:tr>
      <w:tr>
        <w:trPr>
          <w:trHeight w:val="138"/>
        </w:trPr>
        <w:tc>
          <w:tcPr>
            <w:tcW w:w="88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b w:val="1"/>
                <w:bCs w:val="1"/>
                <w:color w:val="auto"/>
              </w:rPr>
              <w:t>2022</w:t>
            </w:r>
          </w:p>
        </w:tc>
        <w:tc>
          <w:tcPr>
            <w:tcW w:w="680" w:type="dxa"/>
            <w:vAlign w:val="bottom"/>
            <w:gridSpan w:val="2"/>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700" w:type="dxa"/>
            <w:vAlign w:val="bottom"/>
            <w:tcBorders>
              <w:right w:val="single" w:sz="8" w:color="CCEEFF"/>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20" w:type="dxa"/>
            <w:vAlign w:val="bottom"/>
            <w:tcBorders>
              <w:right w:val="single" w:sz="8" w:color="CCEEFF"/>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80" w:type="dxa"/>
            <w:vAlign w:val="bottom"/>
            <w:gridSpan w:val="3"/>
            <w:vMerge w:val="continue"/>
            <w:shd w:val="clear" w:color="auto" w:fill="CCEEFF"/>
          </w:tcPr>
          <w:p>
            <w:pPr>
              <w:spacing w:after="0"/>
              <w:rPr>
                <w:sz w:val="12"/>
                <w:szCs w:val="12"/>
                <w:color w:val="auto"/>
              </w:rPr>
            </w:pPr>
          </w:p>
        </w:tc>
        <w:tc>
          <w:tcPr>
            <w:tcW w:w="840" w:type="dxa"/>
            <w:vAlign w:val="bottom"/>
            <w:gridSpan w:val="3"/>
            <w:vMerge w:val="continue"/>
            <w:shd w:val="clear" w:color="auto" w:fill="CCEEFF"/>
          </w:tcPr>
          <w:p>
            <w:pPr>
              <w:spacing w:after="0"/>
              <w:rPr>
                <w:sz w:val="12"/>
                <w:szCs w:val="12"/>
                <w:color w:val="auto"/>
              </w:rPr>
            </w:pPr>
          </w:p>
        </w:tc>
        <w:tc>
          <w:tcPr>
            <w:tcW w:w="800" w:type="dxa"/>
            <w:vAlign w:val="bottom"/>
            <w:tcBorders>
              <w:right w:val="single" w:sz="8" w:color="CCEEFF"/>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00" w:type="dxa"/>
            <w:vAlign w:val="bottom"/>
            <w:tcBorders>
              <w:right w:val="single" w:sz="8" w:color="CCEEFF"/>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80" w:type="dxa"/>
            <w:vAlign w:val="bottom"/>
            <w:tcBorders>
              <w:right w:val="single" w:sz="8" w:color="CCEEFF"/>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80" w:type="dxa"/>
            <w:vAlign w:val="bottom"/>
            <w:tcBorders>
              <w:right w:val="single" w:sz="8" w:color="CCEEFF"/>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00" w:type="dxa"/>
            <w:vAlign w:val="bottom"/>
            <w:gridSpan w:val="2"/>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8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related notes to the condensed and consolidated financial statements have also been restated to reflect the error corrections described above.</w:t>
      </w:r>
    </w:p>
    <w:p>
      <w:pPr>
        <w:spacing w:after="0" w:line="38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340"/>
          </w:cols>
          <w:pgMar w:left="320" w:top="789"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Note 3 — Summary of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Preparation of Condensed Consolidated Financial Statements</w:t>
      </w:r>
    </w:p>
    <w:p>
      <w:pPr>
        <w:spacing w:after="0" w:line="198" w:lineRule="exact"/>
        <w:rPr>
          <w:sz w:val="20"/>
          <w:szCs w:val="20"/>
          <w:color w:val="auto"/>
        </w:rPr>
      </w:pPr>
    </w:p>
    <w:p>
      <w:pPr>
        <w:ind w:right="320" w:firstLine="284"/>
        <w:spacing w:after="0" w:line="282" w:lineRule="auto"/>
        <w:rPr>
          <w:sz w:val="20"/>
          <w:szCs w:val="20"/>
          <w:color w:val="auto"/>
        </w:rPr>
      </w:pPr>
      <w:r>
        <w:rPr>
          <w:rFonts w:ascii="Arial" w:cs="Arial" w:eastAsia="Arial" w:hAnsi="Arial"/>
          <w:sz w:val="15"/>
          <w:szCs w:val="15"/>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the Company’s Annual Report on Form 10-K for the year ended December 31, 2021 and filed with the SEC (“Form 10-K”), except for the recently adopted accounting pronouncements described below.</w:t>
      </w:r>
    </w:p>
    <w:p>
      <w:pPr>
        <w:spacing w:after="0" w:line="149" w:lineRule="exact"/>
        <w:rPr>
          <w:sz w:val="20"/>
          <w:szCs w:val="20"/>
          <w:color w:val="auto"/>
        </w:rPr>
      </w:pPr>
    </w:p>
    <w:p>
      <w:pPr>
        <w:ind w:right="160" w:firstLine="284"/>
        <w:spacing w:after="0" w:line="311" w:lineRule="auto"/>
        <w:rPr>
          <w:sz w:val="20"/>
          <w:szCs w:val="20"/>
          <w:color w:val="auto"/>
        </w:rPr>
      </w:pPr>
      <w:r>
        <w:rPr>
          <w:rFonts w:ascii="Arial" w:cs="Arial" w:eastAsia="Arial" w:hAnsi="Arial"/>
          <w:sz w:val="14"/>
          <w:szCs w:val="14"/>
          <w:color w:val="auto"/>
        </w:rPr>
        <w:t>The condensed consolidated financial statements included herein reflect all normal and recurring adjustments which, in the opinion of management, are necessary for a fair presentation of the Company’s condensed consolidated statements of operations for the three months ended March 31, 2022 and 2021, condensed consolidated statements of stockholders’ equity for the three months ended March 31, 2022 and 2021, and the condensed consolidated cash flows for the three months ended March 31, 2022 and 2021.</w:t>
      </w:r>
    </w:p>
    <w:p>
      <w:pPr>
        <w:spacing w:after="0" w:line="131" w:lineRule="exact"/>
        <w:rPr>
          <w:sz w:val="20"/>
          <w:szCs w:val="20"/>
          <w:color w:val="auto"/>
        </w:rPr>
      </w:pPr>
    </w:p>
    <w:p>
      <w:pPr>
        <w:ind w:right="40" w:firstLine="284"/>
        <w:spacing w:after="0" w:line="251" w:lineRule="auto"/>
        <w:rPr>
          <w:sz w:val="20"/>
          <w:szCs w:val="20"/>
          <w:color w:val="auto"/>
        </w:rPr>
      </w:pPr>
      <w:r>
        <w:rPr>
          <w:rFonts w:ascii="Arial" w:cs="Arial" w:eastAsia="Arial" w:hAnsi="Arial"/>
          <w:sz w:val="16"/>
          <w:szCs w:val="16"/>
          <w:color w:val="auto"/>
        </w:rPr>
        <w:t>The condensed consolidated balance sheet as of December 31, 2021 is derived from the audited consolidated financial statements presented in the Company’s Annual Report on Form 10-K for the year ended December 31, 2021. Certain information and disclosures normally included in annual consolidated financial statements have been omitted 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the Company’s Annual Report on Form 10-K for the year ended December 31, 2021 filed with the SEC on March 31, 2022. The results for interim periods are not necessarily indicative of a full year’s results.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Principles of Consolidation</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Accounting for Wholly-Owned Subsidiaries</w:t>
      </w:r>
    </w:p>
    <w:p>
      <w:pPr>
        <w:spacing w:after="0" w:line="194" w:lineRule="exact"/>
        <w:rPr>
          <w:sz w:val="20"/>
          <w:szCs w:val="20"/>
          <w:color w:val="auto"/>
        </w:rPr>
      </w:pPr>
    </w:p>
    <w:p>
      <w:pPr>
        <w:ind w:right="160" w:firstLine="284"/>
        <w:spacing w:after="0" w:line="276" w:lineRule="auto"/>
        <w:rPr>
          <w:sz w:val="20"/>
          <w:szCs w:val="20"/>
          <w:color w:val="auto"/>
        </w:rPr>
      </w:pPr>
      <w:r>
        <w:rPr>
          <w:rFonts w:ascii="Arial" w:cs="Arial" w:eastAsia="Arial" w:hAnsi="Arial"/>
          <w:sz w:val="15"/>
          <w:szCs w:val="15"/>
          <w:color w:val="auto"/>
        </w:rPr>
        <w:t>The accompanying condensed consolidated financial statements have been prepared in accordance with GAAP and include the accounts of Agrify Corporation and its wholly-owned subsidiaries, as described above in Note 1 – Nature of Business and Basis of Presentation,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Accounting for Less Than Wholly-Owned Subsidiaries</w:t>
      </w:r>
    </w:p>
    <w:p>
      <w:pPr>
        <w:spacing w:after="0" w:line="194" w:lineRule="exact"/>
        <w:rPr>
          <w:sz w:val="20"/>
          <w:szCs w:val="20"/>
          <w:color w:val="auto"/>
        </w:rPr>
      </w:pPr>
    </w:p>
    <w:p>
      <w:pPr>
        <w:ind w:firstLine="284"/>
        <w:spacing w:after="0" w:line="268" w:lineRule="auto"/>
        <w:rPr>
          <w:sz w:val="20"/>
          <w:szCs w:val="20"/>
          <w:color w:val="auto"/>
        </w:rPr>
      </w:pPr>
      <w:r>
        <w:rPr>
          <w:rFonts w:ascii="Arial" w:cs="Arial" w:eastAsia="Arial" w:hAnsi="Arial"/>
          <w:sz w:val="15"/>
          <w:szCs w:val="15"/>
          <w:color w:val="auto"/>
        </w:rPr>
        <w:t>For the Company’s less than wholly-owned subsidiaries, which include TPI, Agrify-Valiant, and Agrify Brands, the Company first analyzes whether these entities are a variable interest entity (a “VIE”) in accordance with ASC Topic 810 Consolidation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the Company’s financial interest in the VIE is consolidated.</w:t>
      </w:r>
    </w:p>
    <w:p>
      <w:pPr>
        <w:spacing w:after="0" w:line="162" w:lineRule="exact"/>
        <w:rPr>
          <w:sz w:val="20"/>
          <w:szCs w:val="20"/>
          <w:color w:val="auto"/>
        </w:rPr>
      </w:pPr>
    </w:p>
    <w:p>
      <w:pPr>
        <w:ind w:firstLine="284"/>
        <w:spacing w:after="0" w:line="290" w:lineRule="auto"/>
        <w:rPr>
          <w:sz w:val="20"/>
          <w:szCs w:val="20"/>
          <w:color w:val="auto"/>
        </w:rPr>
      </w:pPr>
      <w:r>
        <w:rPr>
          <w:rFonts w:ascii="Arial" w:cs="Arial" w:eastAsia="Arial" w:hAnsi="Arial"/>
          <w:sz w:val="14"/>
          <w:szCs w:val="14"/>
          <w:color w:val="auto"/>
        </w:rPr>
        <w:t>Based on the Company’s analysis for these entities, the Company has determined that Agrify-Valiant, LLC and Agrify Brands, LLC are each a VIE, and that the Company is the primary beneficiary. While the Company owns 60% of Agrify-Valiant, LLC’s equity interests and 75% of Agrify Brands, LLC’s equity interests, the remaining equity interests in Agrify-Valiant, LLC and Agrify Brands, LLC are owned by unrelated third parties, and the agreement with these third parties provides the Company with greater voting rights. Accordingly, the Company consolidates its interest in the financial statements of Agrify-Valiant, LLC and Agrify Brands, LLC under the VIE rules, and reflects the third parties’ interests in the condensed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Use of Estimates</w:t>
      </w:r>
    </w:p>
    <w:p>
      <w:pPr>
        <w:spacing w:after="0" w:line="198" w:lineRule="exact"/>
        <w:rPr>
          <w:sz w:val="20"/>
          <w:szCs w:val="20"/>
          <w:color w:val="auto"/>
        </w:rPr>
      </w:pPr>
    </w:p>
    <w:p>
      <w:pPr>
        <w:ind w:right="20" w:firstLine="284"/>
        <w:spacing w:after="0" w:line="293" w:lineRule="auto"/>
        <w:rPr>
          <w:sz w:val="20"/>
          <w:szCs w:val="20"/>
          <w:color w:val="auto"/>
        </w:rPr>
      </w:pPr>
      <w:r>
        <w:rPr>
          <w:rFonts w:ascii="Arial" w:cs="Arial" w:eastAsia="Arial" w:hAnsi="Arial"/>
          <w:sz w:val="14"/>
          <w:szCs w:val="14"/>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the accrual of expenses. The Company bases its estimates on historical experience, known trends and other market-specific,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and its Subsidiaries, fiscal year ends on December 31, each year.</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Emerging Growth Company</w:t>
      </w:r>
    </w:p>
    <w:p>
      <w:pPr>
        <w:spacing w:after="0" w:line="198" w:lineRule="exact"/>
        <w:rPr>
          <w:sz w:val="20"/>
          <w:szCs w:val="20"/>
          <w:color w:val="auto"/>
        </w:rPr>
      </w:pPr>
    </w:p>
    <w:p>
      <w:pPr>
        <w:ind w:firstLine="284"/>
        <w:spacing w:after="0" w:line="340" w:lineRule="auto"/>
        <w:rPr>
          <w:sz w:val="20"/>
          <w:szCs w:val="20"/>
          <w:color w:val="auto"/>
        </w:rPr>
      </w:pPr>
      <w:r>
        <w:rPr>
          <w:rFonts w:ascii="Arial" w:cs="Arial" w:eastAsia="Arial" w:hAnsi="Arial"/>
          <w:sz w:val="14"/>
          <w:szCs w:val="14"/>
          <w:color w:val="auto"/>
        </w:rPr>
        <w:t>The Company qualifies as an “emerging growth company” as defined in the Jumpstart Our Business Startups Act of 2012, which we refer to as the JOBS Act. As a result, the Company is permitted to, and intends to, rely on exemptions from certain disclosure requirements that are applicable to companies that are not emerging growth companies.</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addition, the JOBS Act provides that an “emerging growth company” can use the extended transition period for complying with new or revised accounting standards.</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will remain an “emerging growth company” until the earliest to occur of:</w:t>
      </w:r>
    </w:p>
    <w:p>
      <w:pPr>
        <w:spacing w:after="0" w:line="194" w:lineRule="exact"/>
        <w:rPr>
          <w:sz w:val="20"/>
          <w:szCs w:val="20"/>
          <w:color w:val="auto"/>
        </w:rPr>
      </w:pPr>
    </w:p>
    <w:p>
      <w:pPr>
        <w:ind w:left="560" w:hanging="282"/>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reporting $1.0 billion or more in annual gross revenues;</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issuance, in a three-year period, of more than $1.0 billion in non-convertible debt;</w:t>
      </w:r>
    </w:p>
    <w:p>
      <w:pPr>
        <w:spacing w:after="0" w:line="194" w:lineRule="exact"/>
        <w:rPr>
          <w:rFonts w:ascii="Arial" w:cs="Arial" w:eastAsia="Arial" w:hAnsi="Arial"/>
          <w:sz w:val="16"/>
          <w:szCs w:val="16"/>
          <w:color w:val="auto"/>
        </w:rPr>
      </w:pPr>
    </w:p>
    <w:p>
      <w:pPr>
        <w:ind w:left="560" w:right="140" w:hanging="282"/>
        <w:spacing w:after="0" w:line="268" w:lineRule="auto"/>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end of the fiscal year in which the market value of Common Stock held by non-affiliates exceeds $700 million on the last business day of our second fiscal quarter; or</w:t>
      </w:r>
    </w:p>
    <w:p>
      <w:pPr>
        <w:spacing w:after="0" w:line="156" w:lineRule="exact"/>
        <w:rPr>
          <w:rFonts w:ascii="Arial" w:cs="Arial" w:eastAsia="Arial" w:hAnsi="Arial"/>
          <w:sz w:val="16"/>
          <w:szCs w:val="16"/>
          <w:color w:val="auto"/>
        </w:rPr>
      </w:pPr>
    </w:p>
    <w:p>
      <w:pPr>
        <w:ind w:left="560" w:hanging="282"/>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December 31, 2026.</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Reclassifications</w:t>
      </w:r>
    </w:p>
    <w:p>
      <w:pPr>
        <w:spacing w:after="0" w:line="198" w:lineRule="exact"/>
        <w:rPr>
          <w:sz w:val="20"/>
          <w:szCs w:val="20"/>
          <w:color w:val="auto"/>
        </w:rPr>
      </w:pPr>
    </w:p>
    <w:p>
      <w:pPr>
        <w:ind w:right="220" w:firstLine="284"/>
        <w:spacing w:after="0" w:line="311" w:lineRule="auto"/>
        <w:rPr>
          <w:sz w:val="20"/>
          <w:szCs w:val="20"/>
          <w:color w:val="auto"/>
        </w:rPr>
      </w:pPr>
      <w:r>
        <w:rPr>
          <w:rFonts w:ascii="Arial" w:cs="Arial" w:eastAsia="Arial" w:hAnsi="Arial"/>
          <w:sz w:val="14"/>
          <w:szCs w:val="14"/>
          <w:color w:val="auto"/>
        </w:rPr>
        <w:t>Certain amounts in the Company’s prior period financial statements have been reclassified to conform to the presentation of the current period financial statements. In this Form 10-Q, the Company has reclassified selling, general and administrative expenses to two separate line items in the accompanying condensed consolidated statement of operations as general and administrative expenses and selling and marketing expenses for the three months ended March 31, 2022 and 2021.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198" w:lineRule="exact"/>
        <w:rPr>
          <w:sz w:val="20"/>
          <w:szCs w:val="20"/>
          <w:color w:val="auto"/>
        </w:rPr>
      </w:pPr>
    </w:p>
    <w:p>
      <w:pPr>
        <w:ind w:right="60" w:firstLine="284"/>
        <w:spacing w:after="0" w:line="276" w:lineRule="auto"/>
        <w:rPr>
          <w:sz w:val="20"/>
          <w:szCs w:val="20"/>
          <w:color w:val="auto"/>
        </w:rPr>
      </w:pPr>
      <w:r>
        <w:rPr>
          <w:rFonts w:ascii="Arial" w:cs="Arial" w:eastAsia="Arial" w:hAnsi="Arial"/>
          <w:sz w:val="15"/>
          <w:szCs w:val="15"/>
          <w:color w:val="auto"/>
        </w:rPr>
        <w:t>Cash and cash equivalents consist principally of cash and deposits with maturities of three months or less as of March 31, 2022 and December 31, 2021. All cash equivalents are carried at cost, which approximates fair value. Restricted cash represents cash required to be held as collateral for the Company’s senior secured promissory note (the “SPA Note”). Accordingly, these balances contain restrictions as to their availability and usage and are classified as restricted cash in the condensed consolidated balance sheets. Refer to Note 16 – Debt, included elsewhere in the notes to the condensed consolidated financial statements.</w:t>
      </w:r>
    </w:p>
    <w:p>
      <w:pPr>
        <w:spacing w:after="0" w:line="153" w:lineRule="exact"/>
        <w:rPr>
          <w:sz w:val="20"/>
          <w:szCs w:val="20"/>
          <w:color w:val="auto"/>
        </w:rPr>
      </w:pPr>
    </w:p>
    <w:p>
      <w:pPr>
        <w:ind w:right="120" w:firstLine="284"/>
        <w:spacing w:after="0" w:line="257" w:lineRule="auto"/>
        <w:rPr>
          <w:sz w:val="20"/>
          <w:szCs w:val="20"/>
          <w:color w:val="auto"/>
        </w:rPr>
      </w:pPr>
      <w:r>
        <w:rPr>
          <w:rFonts w:ascii="Arial" w:cs="Arial" w:eastAsia="Arial" w:hAnsi="Arial"/>
          <w:sz w:val="16"/>
          <w:szCs w:val="16"/>
          <w:color w:val="auto"/>
        </w:rPr>
        <w:t>Cash deposits with financial institutions, including restricted cash and restricted marketable securities, generally exceed federally insured limits. Management believes minimal credit risk exists with respect to these financial institutions and the Company has not experienced any losses on such amounts. Balances held in a brokerage account are disclosed on the balance sheet as restricted cash.</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Marketable Securities</w:t>
      </w:r>
    </w:p>
    <w:p>
      <w:pPr>
        <w:spacing w:after="0" w:line="198" w:lineRule="exact"/>
        <w:rPr>
          <w:sz w:val="20"/>
          <w:szCs w:val="20"/>
          <w:color w:val="auto"/>
        </w:rPr>
      </w:pPr>
    </w:p>
    <w:p>
      <w:pPr>
        <w:ind w:firstLine="284"/>
        <w:spacing w:after="0" w:line="252" w:lineRule="auto"/>
        <w:rPr>
          <w:sz w:val="20"/>
          <w:szCs w:val="20"/>
          <w:color w:val="auto"/>
        </w:rPr>
      </w:pPr>
      <w:r>
        <w:rPr>
          <w:rFonts w:ascii="Arial" w:cs="Arial" w:eastAsia="Arial" w:hAnsi="Arial"/>
          <w:sz w:val="16"/>
          <w:szCs w:val="16"/>
          <w:color w:val="auto"/>
        </w:rPr>
        <w:t>The Company’s marketable security investments primarily include investments held in mutual funds, municipal bonds, and corporate bonds. The mutual funds are recorded at fair value in the accompanying condensed consolidated balance sheets as part of cash and cash equivalents. The municipal and corporate bonds are considered to be held-to-maturity securities and are recorded at amortized cost in the accompanying condensed consolidated balance sheets. The fair value of these investments were estimated using recently executed transactions and market price quotations. The Company considers current assets to be those investments which will mature within the next 12 months, including interest receivable on the long-term bonds.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Net</w:t>
      </w:r>
    </w:p>
    <w:p>
      <w:pPr>
        <w:spacing w:after="0" w:line="198" w:lineRule="exact"/>
        <w:rPr>
          <w:sz w:val="20"/>
          <w:szCs w:val="20"/>
          <w:color w:val="auto"/>
        </w:rPr>
      </w:pPr>
    </w:p>
    <w:p>
      <w:pPr>
        <w:ind w:right="40" w:firstLine="284"/>
        <w:spacing w:after="0" w:line="251" w:lineRule="auto"/>
        <w:rPr>
          <w:sz w:val="20"/>
          <w:szCs w:val="20"/>
          <w:color w:val="auto"/>
        </w:rPr>
      </w:pPr>
      <w:r>
        <w:rPr>
          <w:rFonts w:ascii="Arial" w:cs="Arial" w:eastAsia="Arial" w:hAnsi="Arial"/>
          <w:sz w:val="16"/>
          <w:szCs w:val="16"/>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 and Significant Customer</w:t>
      </w:r>
    </w:p>
    <w:p>
      <w:pPr>
        <w:spacing w:after="0" w:line="198" w:lineRule="exact"/>
        <w:rPr>
          <w:sz w:val="20"/>
          <w:szCs w:val="20"/>
          <w:color w:val="auto"/>
        </w:rPr>
      </w:pPr>
    </w:p>
    <w:p>
      <w:pPr>
        <w:jc w:val="both"/>
        <w:ind w:right="200" w:firstLine="284"/>
        <w:spacing w:after="0" w:line="282" w:lineRule="auto"/>
        <w:rPr>
          <w:sz w:val="20"/>
          <w:szCs w:val="20"/>
          <w:color w:val="auto"/>
        </w:rPr>
      </w:pPr>
      <w:r>
        <w:rPr>
          <w:rFonts w:ascii="Arial" w:cs="Arial" w:eastAsia="Arial" w:hAnsi="Arial"/>
          <w:sz w:val="15"/>
          <w:szCs w:val="15"/>
          <w:color w:val="auto"/>
        </w:rPr>
        <w:t>Financial instruments that potentially subject the Company to a concentration of credit risk primarily consist of cash and accounts receivable. The Company places its cash with financial institutions in the United States. The cash balances are insured by the FDIC up to $250 thousand per depositor with unlimited insurance for funds in noninterest-bearing transaction accounts through March 31, 2022. At times, the amounts in these accounts may exceed the federally insured limits.</w:t>
      </w:r>
    </w:p>
    <w:p>
      <w:pPr>
        <w:spacing w:after="0" w:line="149" w:lineRule="exact"/>
        <w:rPr>
          <w:sz w:val="20"/>
          <w:szCs w:val="20"/>
          <w:color w:val="auto"/>
        </w:rPr>
      </w:pPr>
    </w:p>
    <w:p>
      <w:pPr>
        <w:ind w:right="420" w:firstLine="284"/>
        <w:spacing w:after="0" w:line="268" w:lineRule="auto"/>
        <w:rPr>
          <w:sz w:val="20"/>
          <w:szCs w:val="20"/>
          <w:color w:val="auto"/>
        </w:rPr>
      </w:pPr>
      <w:r>
        <w:rPr>
          <w:rFonts w:ascii="Arial" w:cs="Arial" w:eastAsia="Arial" w:hAnsi="Arial"/>
          <w:sz w:val="16"/>
          <w:szCs w:val="16"/>
          <w:color w:val="auto"/>
        </w:rPr>
        <w:t>The Company has certain customers from whom revenue individually represented 10% or more of the Company’s total revenue, or whose accounts receivable balances individually represent 10% or more of the Company’s total accounts receivable.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7" w:name="page18"/>
    <w:bookmarkEnd w:id="17"/>
    <w:p>
      <w:pPr>
        <w:ind w:left="285"/>
        <w:spacing w:after="0"/>
        <w:rPr>
          <w:sz w:val="20"/>
          <w:szCs w:val="20"/>
          <w:color w:val="auto"/>
        </w:rPr>
      </w:pPr>
      <w:r>
        <w:rPr>
          <w:rFonts w:ascii="Arial" w:cs="Arial" w:eastAsia="Arial" w:hAnsi="Arial"/>
          <w:sz w:val="16"/>
          <w:szCs w:val="16"/>
          <w:color w:val="auto"/>
        </w:rPr>
        <w:t>Refer to the following tables below.</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b w:val="1"/>
          <w:bCs w:val="1"/>
          <w:i w:val="1"/>
          <w:iCs w:val="1"/>
          <w:color w:val="auto"/>
        </w:rPr>
        <w:t>Revenue</w:t>
      </w:r>
    </w:p>
    <w:p>
      <w:pPr>
        <w:spacing w:after="0" w:line="194" w:lineRule="exact"/>
        <w:rPr>
          <w:sz w:val="20"/>
          <w:szCs w:val="20"/>
          <w:color w:val="auto"/>
        </w:rPr>
      </w:pPr>
    </w:p>
    <w:p>
      <w:pPr>
        <w:ind w:left="285"/>
        <w:spacing w:after="0"/>
        <w:rPr>
          <w:sz w:val="20"/>
          <w:szCs w:val="20"/>
          <w:color w:val="auto"/>
        </w:rPr>
      </w:pPr>
      <w:r>
        <w:rPr>
          <w:rFonts w:ascii="Arial" w:cs="Arial" w:eastAsia="Arial" w:hAnsi="Arial"/>
          <w:sz w:val="16"/>
          <w:szCs w:val="16"/>
          <w:color w:val="auto"/>
        </w:rPr>
        <w:t>For the three months ended March 31, 2022 and 2021, the Company’s customers that accounted for 10% or more of the total revenue were as follows:</w:t>
      </w:r>
    </w:p>
    <w:p>
      <w:pPr>
        <w:spacing w:after="0" w:line="190"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5"/>
          </w:tcPr>
          <w:p>
            <w:pPr>
              <w:jc w:val="center"/>
              <w:ind w:right="567"/>
              <w:spacing w:after="0"/>
              <w:rPr>
                <w:sz w:val="20"/>
                <w:szCs w:val="20"/>
                <w:color w:val="auto"/>
              </w:rPr>
            </w:pPr>
            <w:r>
              <w:rPr>
                <w:rFonts w:ascii="Arial" w:cs="Arial" w:eastAsia="Arial" w:hAnsi="Arial"/>
                <w:sz w:val="16"/>
                <w:szCs w:val="16"/>
                <w:b w:val="1"/>
                <w:bCs w:val="1"/>
                <w:color w:val="auto"/>
                <w:w w:val="89"/>
              </w:rPr>
              <w:t>Three Months ended</w:t>
            </w:r>
          </w:p>
        </w:tc>
        <w:tc>
          <w:tcPr>
            <w:tcW w:w="240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gridSpan w:val="5"/>
          </w:tcPr>
          <w:p>
            <w:pPr>
              <w:jc w:val="center"/>
              <w:ind w:right="567"/>
              <w:spacing w:after="0"/>
              <w:rPr>
                <w:sz w:val="20"/>
                <w:szCs w:val="20"/>
                <w:color w:val="auto"/>
              </w:rPr>
            </w:pPr>
            <w:r>
              <w:rPr>
                <w:rFonts w:ascii="Arial" w:cs="Arial" w:eastAsia="Arial" w:hAnsi="Arial"/>
                <w:sz w:val="16"/>
                <w:szCs w:val="16"/>
                <w:b w:val="1"/>
                <w:bCs w:val="1"/>
                <w:color w:val="auto"/>
                <w:w w:val="91"/>
              </w:rPr>
              <w:t>March 31, 2022</w:t>
            </w:r>
          </w:p>
        </w:tc>
        <w:tc>
          <w:tcPr>
            <w:tcW w:w="240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March 31, 2021</w:t>
            </w:r>
          </w:p>
        </w:tc>
      </w:tr>
      <w:tr>
        <w:trPr>
          <w:trHeight w:val="173"/>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121"/>
              <w:spacing w:after="0" w:line="173" w:lineRule="exact"/>
              <w:rPr>
                <w:sz w:val="20"/>
                <w:szCs w:val="20"/>
                <w:color w:val="auto"/>
              </w:rPr>
            </w:pPr>
            <w:r>
              <w:rPr>
                <w:rFonts w:ascii="Arial" w:cs="Arial" w:eastAsia="Arial" w:hAnsi="Arial"/>
                <w:sz w:val="16"/>
                <w:szCs w:val="16"/>
                <w:b w:val="1"/>
                <w:bCs w:val="1"/>
                <w:color w:val="auto"/>
              </w:rPr>
              <w:t>% of Total</w:t>
            </w: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21"/>
              <w:spacing w:after="0" w:line="173" w:lineRule="exact"/>
              <w:rPr>
                <w:sz w:val="20"/>
                <w:szCs w:val="20"/>
                <w:color w:val="auto"/>
              </w:rPr>
            </w:pPr>
            <w:r>
              <w:rPr>
                <w:rFonts w:ascii="Arial" w:cs="Arial" w:eastAsia="Arial" w:hAnsi="Arial"/>
                <w:sz w:val="16"/>
                <w:szCs w:val="16"/>
                <w:b w:val="1"/>
                <w:bCs w:val="1"/>
                <w:color w:val="auto"/>
              </w:rPr>
              <w:t>% of Total</w:t>
            </w:r>
          </w:p>
        </w:tc>
        <w:tc>
          <w:tcPr>
            <w:tcW w:w="140" w:type="dxa"/>
            <w:vAlign w:val="bottom"/>
          </w:tcPr>
          <w:p>
            <w:pPr>
              <w:spacing w:after="0"/>
              <w:rPr>
                <w:sz w:val="15"/>
                <w:szCs w:val="15"/>
                <w:color w:val="auto"/>
              </w:rPr>
            </w:pPr>
          </w:p>
        </w:tc>
      </w:tr>
      <w:tr>
        <w:trPr>
          <w:trHeight w:val="209"/>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Revenue</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Revenue</w:t>
            </w:r>
          </w:p>
        </w:tc>
        <w:tc>
          <w:tcPr>
            <w:tcW w:w="140" w:type="dxa"/>
            <w:vAlign w:val="bottom"/>
            <w:tcBorders>
              <w:bottom w:val="single" w:sz="8" w:color="CCEEFF"/>
            </w:tcBorders>
          </w:tcPr>
          <w:p>
            <w:pPr>
              <w:spacing w:after="0"/>
              <w:rPr>
                <w:sz w:val="18"/>
                <w:szCs w:val="18"/>
                <w:color w:val="auto"/>
              </w:rPr>
            </w:pPr>
          </w:p>
        </w:tc>
      </w:tr>
      <w:tr>
        <w:trPr>
          <w:trHeight w:val="189"/>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New England Innovation Academy (“NEIA”) – Related Party</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5,460</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77.9%</w:t>
            </w:r>
          </w:p>
        </w:tc>
      </w:tr>
      <w:tr>
        <w:trPr>
          <w:trHeight w:val="189"/>
        </w:trPr>
        <w:tc>
          <w:tcPr>
            <w:tcW w:w="5960" w:type="dxa"/>
            <w:vAlign w:val="bottom"/>
            <w:gridSpan w:val="2"/>
          </w:tcPr>
          <w:p>
            <w:pPr>
              <w:spacing w:after="0"/>
              <w:rPr>
                <w:sz w:val="20"/>
                <w:szCs w:val="20"/>
                <w:color w:val="auto"/>
              </w:rPr>
            </w:pPr>
            <w:r>
              <w:rPr>
                <w:rFonts w:ascii="Arial" w:cs="Arial" w:eastAsia="Arial" w:hAnsi="Arial"/>
                <w:sz w:val="16"/>
                <w:szCs w:val="16"/>
                <w:color w:val="auto"/>
              </w:rPr>
              <w:t>Customer 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3,793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14.6%</w:t>
            </w: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r>
      <w:tr>
        <w:trPr>
          <w:trHeight w:val="189"/>
        </w:trPr>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Customer 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4,697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r>
    </w:tbl>
    <w:p>
      <w:pPr>
        <w:spacing w:after="0" w:line="177" w:lineRule="exact"/>
        <w:rPr>
          <w:sz w:val="20"/>
          <w:szCs w:val="20"/>
          <w:color w:val="auto"/>
        </w:rPr>
      </w:pPr>
    </w:p>
    <w:p>
      <w:pPr>
        <w:ind w:left="285" w:hanging="285"/>
        <w:spacing w:after="0"/>
        <w:tabs>
          <w:tab w:leader="none" w:pos="2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Customer revenue, as a percentage of total revenue was less than 10%</w:t>
      </w:r>
    </w:p>
    <w:p>
      <w:pPr>
        <w:spacing w:after="0" w:line="194" w:lineRule="exact"/>
        <w:rPr>
          <w:rFonts w:ascii="Arial" w:cs="Arial" w:eastAsia="Arial" w:hAnsi="Arial"/>
          <w:sz w:val="16"/>
          <w:szCs w:val="16"/>
          <w:color w:val="auto"/>
        </w:rPr>
      </w:pPr>
    </w:p>
    <w:p>
      <w:pPr>
        <w:ind w:left="285"/>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Accounts Receivable, Net</w:t>
      </w:r>
    </w:p>
    <w:p>
      <w:pPr>
        <w:spacing w:after="0" w:line="194" w:lineRule="exact"/>
        <w:rPr>
          <w:rFonts w:ascii="Arial" w:cs="Arial" w:eastAsia="Arial" w:hAnsi="Arial"/>
          <w:sz w:val="16"/>
          <w:szCs w:val="16"/>
          <w:color w:val="auto"/>
        </w:rPr>
      </w:pPr>
    </w:p>
    <w:p>
      <w:pPr>
        <w:ind w:left="285"/>
        <w:spacing w:after="0"/>
        <w:rPr>
          <w:rFonts w:ascii="Arial" w:cs="Arial" w:eastAsia="Arial" w:hAnsi="Arial"/>
          <w:sz w:val="16"/>
          <w:szCs w:val="16"/>
          <w:color w:val="auto"/>
        </w:rPr>
      </w:pPr>
      <w:r>
        <w:rPr>
          <w:rFonts w:ascii="Arial" w:cs="Arial" w:eastAsia="Arial" w:hAnsi="Arial"/>
          <w:sz w:val="15"/>
          <w:szCs w:val="15"/>
          <w:color w:val="auto"/>
        </w:rPr>
        <w:t>As of March 31, 2022 and December 31, 2021, the Company’s customers that accounted for 10% or more of the total accounts receivable, net, were as follows:</w:t>
      </w:r>
    </w:p>
    <w:p>
      <w:pPr>
        <w:spacing w:after="0" w:line="20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ind w:left="860"/>
              <w:spacing w:after="0"/>
              <w:rPr>
                <w:sz w:val="20"/>
                <w:szCs w:val="20"/>
                <w:color w:val="auto"/>
              </w:rPr>
            </w:pPr>
            <w:r>
              <w:rPr>
                <w:rFonts w:ascii="Arial" w:cs="Arial" w:eastAsia="Arial" w:hAnsi="Arial"/>
                <w:sz w:val="16"/>
                <w:szCs w:val="16"/>
                <w:b w:val="1"/>
                <w:bCs w:val="1"/>
                <w:color w:val="auto"/>
                <w:w w:val="99"/>
              </w:rPr>
              <w:t>As of</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ind w:left="860"/>
              <w:spacing w:after="0"/>
              <w:rPr>
                <w:sz w:val="20"/>
                <w:szCs w:val="20"/>
                <w:color w:val="auto"/>
              </w:rPr>
            </w:pPr>
            <w:r>
              <w:rPr>
                <w:rFonts w:ascii="Arial" w:cs="Arial" w:eastAsia="Arial" w:hAnsi="Arial"/>
                <w:sz w:val="16"/>
                <w:szCs w:val="16"/>
                <w:b w:val="1"/>
                <w:bCs w:val="1"/>
                <w:color w:val="auto"/>
                <w:w w:val="94"/>
              </w:rPr>
              <w:t>As of</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March 31, 2022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41"/>
              <w:spacing w:after="0" w:line="173" w:lineRule="exact"/>
              <w:rPr>
                <w:sz w:val="20"/>
                <w:szCs w:val="20"/>
                <w:color w:val="auto"/>
              </w:rPr>
            </w:pPr>
            <w:r>
              <w:rPr>
                <w:rFonts w:ascii="Arial" w:cs="Arial" w:eastAsia="Arial" w:hAnsi="Arial"/>
                <w:sz w:val="16"/>
                <w:szCs w:val="16"/>
                <w:b w:val="1"/>
                <w:bCs w:val="1"/>
                <w:color w:val="auto"/>
                <w:w w:val="91"/>
              </w:rPr>
              <w:t>% of Total</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41"/>
              <w:spacing w:after="0" w:line="173" w:lineRule="exact"/>
              <w:rPr>
                <w:sz w:val="20"/>
                <w:szCs w:val="20"/>
                <w:color w:val="auto"/>
              </w:rPr>
            </w:pPr>
            <w:r>
              <w:rPr>
                <w:rFonts w:ascii="Arial" w:cs="Arial" w:eastAsia="Arial" w:hAnsi="Arial"/>
                <w:sz w:val="16"/>
                <w:szCs w:val="16"/>
                <w:b w:val="1"/>
                <w:bCs w:val="1"/>
                <w:color w:val="auto"/>
                <w:w w:val="94"/>
              </w:rPr>
              <w:t>% of Total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Accounts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Accounts</w:t>
            </w:r>
          </w:p>
        </w:tc>
        <w:tc>
          <w:tcPr>
            <w:tcW w:w="0" w:type="dxa"/>
            <w:vAlign w:val="bottom"/>
          </w:tcPr>
          <w:p>
            <w:pPr>
              <w:spacing w:after="0"/>
              <w:rPr>
                <w:sz w:val="1"/>
                <w:szCs w:val="1"/>
                <w:color w:val="auto"/>
              </w:rPr>
            </w:pPr>
          </w:p>
        </w:tc>
      </w:tr>
      <w:tr>
        <w:trPr>
          <w:trHeight w:val="209"/>
        </w:trPr>
        <w:tc>
          <w:tcPr>
            <w:tcW w:w="598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2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Receivable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Receivable</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NEIA – Related Party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1,344</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3,498</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gridSpan w:val="2"/>
          </w:tcPr>
          <w:p>
            <w:pPr>
              <w:spacing w:after="0"/>
              <w:rPr>
                <w:sz w:val="20"/>
                <w:szCs w:val="20"/>
                <w:color w:val="auto"/>
              </w:rPr>
            </w:pPr>
            <w:r>
              <w:rPr>
                <w:rFonts w:ascii="Arial" w:cs="Arial" w:eastAsia="Arial" w:hAnsi="Arial"/>
                <w:sz w:val="16"/>
                <w:szCs w:val="16"/>
                <w:color w:val="auto"/>
              </w:rPr>
              <w:t>Customer B</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1,541</w:t>
            </w:r>
          </w:p>
        </w:tc>
        <w:tc>
          <w:tcPr>
            <w:tcW w:w="12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18.0%</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1,541</w:t>
            </w:r>
          </w:p>
        </w:tc>
        <w:tc>
          <w:tcPr>
            <w:tcW w:w="1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Customer 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1,217</w:t>
            </w: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14.2%</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45" w:hanging="274"/>
        <w:spacing w:after="0"/>
        <w:tabs>
          <w:tab w:leader="none" w:pos="3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Customer accounts receivable balance, as a percentage of total accounts receivable balance, was less than 10%</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Inventories</w:t>
      </w:r>
    </w:p>
    <w:p>
      <w:pPr>
        <w:spacing w:after="0" w:line="198" w:lineRule="exact"/>
        <w:rPr>
          <w:sz w:val="20"/>
          <w:szCs w:val="20"/>
          <w:color w:val="auto"/>
        </w:rPr>
      </w:pPr>
    </w:p>
    <w:p>
      <w:pPr>
        <w:ind w:left="5" w:right="280" w:firstLine="284"/>
        <w:spacing w:after="0" w:line="282" w:lineRule="auto"/>
        <w:rPr>
          <w:sz w:val="20"/>
          <w:szCs w:val="20"/>
          <w:color w:val="auto"/>
        </w:rPr>
      </w:pPr>
      <w:r>
        <w:rPr>
          <w:rFonts w:ascii="Arial" w:cs="Arial" w:eastAsia="Arial" w:hAnsi="Arial"/>
          <w:sz w:val="15"/>
          <w:szCs w:val="15"/>
          <w:color w:val="auto"/>
        </w:rPr>
        <w:t>The Company values all of its inventories, which consist primarily of significant raw material hardware components, at the lower of cost or net realizable value, with cost principally determined by the weighted-average cost method on a First-In, First-Out basis. Write-offs of potentially slow moving or damaged inventory are recorded through specific identification of obsolete or damaged material. The company takes physical inventory at least once annually at all inventory locations.</w:t>
      </w:r>
    </w:p>
    <w:p>
      <w:pPr>
        <w:spacing w:after="0" w:line="33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946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9" w:right="31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Property and Equipment</w:t>
      </w:r>
    </w:p>
    <w:p>
      <w:pPr>
        <w:spacing w:after="0" w:line="198" w:lineRule="exact"/>
        <w:rPr>
          <w:sz w:val="20"/>
          <w:szCs w:val="20"/>
          <w:color w:val="auto"/>
        </w:rPr>
      </w:pPr>
    </w:p>
    <w:p>
      <w:pPr>
        <w:ind w:right="360" w:firstLine="284"/>
        <w:spacing w:after="0" w:line="268"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0" w:type="dxa"/>
            <w:vAlign w:val="bottom"/>
          </w:tcPr>
          <w:p>
            <w:pPr>
              <w:spacing w:after="0"/>
              <w:rPr>
                <w:sz w:val="16"/>
                <w:szCs w:val="16"/>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Estimated Useful Life</w:t>
            </w:r>
          </w:p>
        </w:tc>
      </w:tr>
      <w:tr>
        <w:trPr>
          <w:trHeight w:val="209"/>
        </w:trPr>
        <w:tc>
          <w:tcPr>
            <w:tcW w:w="8800" w:type="dxa"/>
            <w:vAlign w:val="bottom"/>
          </w:tcPr>
          <w:p>
            <w:pPr>
              <w:spacing w:after="0"/>
              <w:rPr>
                <w:sz w:val="18"/>
                <w:szCs w:val="18"/>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r>
      <w:tr>
        <w:trPr>
          <w:trHeight w:val="189"/>
        </w:trPr>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Computer and office equipment</w:t>
            </w:r>
          </w:p>
        </w:tc>
        <w:tc>
          <w:tcPr>
            <w:tcW w:w="2340" w:type="dxa"/>
            <w:vAlign w:val="bottom"/>
            <w:tcBorders>
              <w:top w:val="single" w:sz="8" w:color="auto"/>
            </w:tcBorders>
            <w:shd w:val="clear" w:color="auto" w:fill="CCEEFF"/>
          </w:tcPr>
          <w:p>
            <w:pPr>
              <w:jc w:val="center"/>
              <w:ind w:left="21"/>
              <w:spacing w:after="0"/>
              <w:rPr>
                <w:sz w:val="20"/>
                <w:szCs w:val="20"/>
                <w:color w:val="auto"/>
              </w:rPr>
            </w:pPr>
            <w:r>
              <w:rPr>
                <w:rFonts w:ascii="Arial" w:cs="Arial" w:eastAsia="Arial" w:hAnsi="Arial"/>
                <w:sz w:val="16"/>
                <w:szCs w:val="16"/>
                <w:color w:val="auto"/>
                <w:w w:val="89"/>
              </w:rPr>
              <w:t>2 to 3</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8800" w:type="dxa"/>
            <w:vAlign w:val="bottom"/>
          </w:tcPr>
          <w:p>
            <w:pPr>
              <w:spacing w:after="0"/>
              <w:rPr>
                <w:sz w:val="20"/>
                <w:szCs w:val="20"/>
                <w:color w:val="auto"/>
              </w:rPr>
            </w:pPr>
            <w:r>
              <w:rPr>
                <w:rFonts w:ascii="Arial" w:cs="Arial" w:eastAsia="Arial" w:hAnsi="Arial"/>
                <w:sz w:val="16"/>
                <w:szCs w:val="16"/>
                <w:color w:val="auto"/>
              </w:rPr>
              <w:t>Furniture and fixtures</w:t>
            </w:r>
          </w:p>
        </w:tc>
        <w:tc>
          <w:tcPr>
            <w:tcW w:w="2340" w:type="dxa"/>
            <w:vAlign w:val="bottom"/>
          </w:tcPr>
          <w:p>
            <w:pPr>
              <w:jc w:val="center"/>
              <w:ind w:left="21"/>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6"/>
                <w:szCs w:val="16"/>
                <w:color w:val="auto"/>
              </w:rPr>
            </w:pPr>
          </w:p>
        </w:tc>
      </w:tr>
      <w:tr>
        <w:trPr>
          <w:trHeight w:val="189"/>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Software</w:t>
            </w:r>
          </w:p>
        </w:tc>
        <w:tc>
          <w:tcPr>
            <w:tcW w:w="234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89"/>
              </w:rPr>
              <w:t>3</w:t>
            </w:r>
          </w:p>
        </w:tc>
        <w:tc>
          <w:tcPr>
            <w:tcW w:w="120" w:type="dxa"/>
            <w:vAlign w:val="bottom"/>
            <w:shd w:val="clear" w:color="auto" w:fill="CCEEFF"/>
          </w:tcPr>
          <w:p>
            <w:pPr>
              <w:spacing w:after="0"/>
              <w:rPr>
                <w:sz w:val="16"/>
                <w:szCs w:val="16"/>
                <w:color w:val="auto"/>
              </w:rPr>
            </w:pPr>
          </w:p>
        </w:tc>
      </w:tr>
      <w:tr>
        <w:trPr>
          <w:trHeight w:val="189"/>
        </w:trPr>
        <w:tc>
          <w:tcPr>
            <w:tcW w:w="8800" w:type="dxa"/>
            <w:vAlign w:val="bottom"/>
          </w:tcPr>
          <w:p>
            <w:pPr>
              <w:spacing w:after="0"/>
              <w:rPr>
                <w:sz w:val="20"/>
                <w:szCs w:val="20"/>
                <w:color w:val="auto"/>
              </w:rPr>
            </w:pPr>
            <w:r>
              <w:rPr>
                <w:rFonts w:ascii="Arial" w:cs="Arial" w:eastAsia="Arial" w:hAnsi="Arial"/>
                <w:sz w:val="16"/>
                <w:szCs w:val="16"/>
                <w:color w:val="auto"/>
              </w:rPr>
              <w:t>Vehicles</w:t>
            </w:r>
          </w:p>
        </w:tc>
        <w:tc>
          <w:tcPr>
            <w:tcW w:w="2340" w:type="dxa"/>
            <w:vAlign w:val="bottom"/>
          </w:tcPr>
          <w:p>
            <w:pPr>
              <w:jc w:val="center"/>
              <w:ind w:left="21"/>
              <w:spacing w:after="0"/>
              <w:rPr>
                <w:sz w:val="20"/>
                <w:szCs w:val="20"/>
                <w:color w:val="auto"/>
              </w:rPr>
            </w:pPr>
            <w:r>
              <w:rPr>
                <w:rFonts w:ascii="Arial" w:cs="Arial" w:eastAsia="Arial" w:hAnsi="Arial"/>
                <w:sz w:val="16"/>
                <w:szCs w:val="16"/>
                <w:color w:val="auto"/>
                <w:w w:val="89"/>
              </w:rPr>
              <w:t>5</w:t>
            </w:r>
          </w:p>
        </w:tc>
        <w:tc>
          <w:tcPr>
            <w:tcW w:w="120" w:type="dxa"/>
            <w:vAlign w:val="bottom"/>
          </w:tcPr>
          <w:p>
            <w:pPr>
              <w:spacing w:after="0"/>
              <w:rPr>
                <w:sz w:val="16"/>
                <w:szCs w:val="16"/>
                <w:color w:val="auto"/>
              </w:rPr>
            </w:pPr>
          </w:p>
        </w:tc>
      </w:tr>
      <w:tr>
        <w:trPr>
          <w:trHeight w:val="189"/>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laboratory equipment</w:t>
            </w:r>
          </w:p>
        </w:tc>
        <w:tc>
          <w:tcPr>
            <w:tcW w:w="234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89"/>
              </w:rPr>
              <w:t>5</w:t>
            </w:r>
          </w:p>
        </w:tc>
        <w:tc>
          <w:tcPr>
            <w:tcW w:w="120" w:type="dxa"/>
            <w:vAlign w:val="bottom"/>
            <w:shd w:val="clear" w:color="auto" w:fill="CCEEFF"/>
          </w:tcPr>
          <w:p>
            <w:pPr>
              <w:spacing w:after="0"/>
              <w:rPr>
                <w:sz w:val="16"/>
                <w:szCs w:val="16"/>
                <w:color w:val="auto"/>
              </w:rPr>
            </w:pPr>
          </w:p>
        </w:tc>
      </w:tr>
      <w:tr>
        <w:trPr>
          <w:trHeight w:val="189"/>
        </w:trPr>
        <w:tc>
          <w:tcPr>
            <w:tcW w:w="880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2460" w:type="dxa"/>
            <w:vAlign w:val="bottom"/>
            <w:gridSpan w:val="2"/>
          </w:tcPr>
          <w:p>
            <w:pPr>
              <w:jc w:val="center"/>
              <w:ind w:right="20"/>
              <w:spacing w:after="0"/>
              <w:rPr>
                <w:sz w:val="20"/>
                <w:szCs w:val="20"/>
                <w:color w:val="auto"/>
              </w:rPr>
            </w:pPr>
            <w:r>
              <w:rPr>
                <w:rFonts w:ascii="Arial" w:cs="Arial" w:eastAsia="Arial" w:hAnsi="Arial"/>
                <w:sz w:val="16"/>
                <w:szCs w:val="16"/>
                <w:color w:val="auto"/>
                <w:w w:val="89"/>
              </w:rPr>
              <w:t>3 to 5</w:t>
            </w:r>
          </w:p>
        </w:tc>
      </w:tr>
      <w:tr>
        <w:trPr>
          <w:trHeight w:val="189"/>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Leased equipment at customer</w:t>
            </w:r>
          </w:p>
        </w:tc>
        <w:tc>
          <w:tcPr>
            <w:tcW w:w="24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89"/>
              </w:rPr>
              <w:t>5 to 13</w:t>
            </w:r>
          </w:p>
        </w:tc>
      </w:tr>
      <w:tr>
        <w:trPr>
          <w:trHeight w:val="189"/>
        </w:trPr>
        <w:tc>
          <w:tcPr>
            <w:tcW w:w="8800" w:type="dxa"/>
            <w:vAlign w:val="bottom"/>
          </w:tcPr>
          <w:p>
            <w:pPr>
              <w:spacing w:after="0"/>
              <w:rPr>
                <w:sz w:val="20"/>
                <w:szCs w:val="20"/>
                <w:color w:val="auto"/>
              </w:rPr>
            </w:pPr>
            <w:r>
              <w:rPr>
                <w:rFonts w:ascii="Arial" w:cs="Arial" w:eastAsia="Arial" w:hAnsi="Arial"/>
                <w:sz w:val="16"/>
                <w:szCs w:val="16"/>
                <w:color w:val="auto"/>
              </w:rPr>
              <w:t>Trade show assets</w:t>
            </w:r>
          </w:p>
        </w:tc>
        <w:tc>
          <w:tcPr>
            <w:tcW w:w="2460" w:type="dxa"/>
            <w:vAlign w:val="bottom"/>
            <w:gridSpan w:val="2"/>
          </w:tcPr>
          <w:p>
            <w:pPr>
              <w:jc w:val="center"/>
              <w:ind w:right="20"/>
              <w:spacing w:after="0"/>
              <w:rPr>
                <w:sz w:val="20"/>
                <w:szCs w:val="20"/>
                <w:color w:val="auto"/>
              </w:rPr>
            </w:pPr>
            <w:r>
              <w:rPr>
                <w:rFonts w:ascii="Arial" w:cs="Arial" w:eastAsia="Arial" w:hAnsi="Arial"/>
                <w:sz w:val="16"/>
                <w:szCs w:val="16"/>
                <w:color w:val="auto"/>
                <w:w w:val="89"/>
              </w:rPr>
              <w:t>3 to 5</w:t>
            </w:r>
          </w:p>
        </w:tc>
      </w:tr>
      <w:tr>
        <w:trPr>
          <w:trHeight w:val="177"/>
        </w:trPr>
        <w:tc>
          <w:tcPr>
            <w:tcW w:w="880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Leasehold improvements</w:t>
            </w:r>
          </w:p>
        </w:tc>
        <w:tc>
          <w:tcPr>
            <w:tcW w:w="2460" w:type="dxa"/>
            <w:vAlign w:val="bottom"/>
            <w:gridSpan w:val="2"/>
            <w:shd w:val="clear" w:color="auto" w:fill="CCEEFF"/>
          </w:tcPr>
          <w:p>
            <w:pPr>
              <w:jc w:val="center"/>
              <w:ind w:right="20"/>
              <w:spacing w:after="0" w:line="177" w:lineRule="exact"/>
              <w:rPr>
                <w:sz w:val="20"/>
                <w:szCs w:val="20"/>
                <w:color w:val="auto"/>
              </w:rPr>
            </w:pPr>
            <w:r>
              <w:rPr>
                <w:rFonts w:ascii="Arial" w:cs="Arial" w:eastAsia="Arial" w:hAnsi="Arial"/>
                <w:sz w:val="16"/>
                <w:szCs w:val="16"/>
                <w:color w:val="auto"/>
                <w:w w:val="92"/>
              </w:rPr>
              <w:t>Lower of estimated useful life or</w:t>
            </w:r>
          </w:p>
        </w:tc>
      </w:tr>
      <w:tr>
        <w:trPr>
          <w:trHeight w:val="202"/>
        </w:trPr>
        <w:tc>
          <w:tcPr>
            <w:tcW w:w="8800" w:type="dxa"/>
            <w:vAlign w:val="bottom"/>
            <w:shd w:val="clear" w:color="auto" w:fill="CCEEFF"/>
          </w:tcPr>
          <w:p>
            <w:pPr>
              <w:spacing w:after="0"/>
              <w:rPr>
                <w:sz w:val="17"/>
                <w:szCs w:val="17"/>
                <w:color w:val="auto"/>
              </w:rPr>
            </w:pPr>
          </w:p>
        </w:tc>
        <w:tc>
          <w:tcPr>
            <w:tcW w:w="2460" w:type="dxa"/>
            <w:vAlign w:val="bottom"/>
            <w:gridSpan w:val="2"/>
            <w:shd w:val="clear" w:color="auto" w:fill="CCEEFF"/>
          </w:tcPr>
          <w:p>
            <w:pPr>
              <w:jc w:val="center"/>
              <w:ind w:right="20"/>
              <w:spacing w:after="0"/>
              <w:rPr>
                <w:sz w:val="20"/>
                <w:szCs w:val="20"/>
                <w:color w:val="auto"/>
              </w:rPr>
            </w:pPr>
            <w:r>
              <w:rPr>
                <w:rFonts w:ascii="Arial" w:cs="Arial" w:eastAsia="Arial" w:hAnsi="Arial"/>
                <w:sz w:val="16"/>
                <w:szCs w:val="16"/>
                <w:color w:val="auto"/>
                <w:w w:val="88"/>
              </w:rPr>
              <w:t>remaining lease term</w:t>
            </w:r>
          </w:p>
        </w:tc>
      </w:tr>
    </w:tbl>
    <w:p>
      <w:pPr>
        <w:spacing w:after="0" w:line="177" w:lineRule="exact"/>
        <w:rPr>
          <w:sz w:val="20"/>
          <w:szCs w:val="20"/>
          <w:color w:val="auto"/>
        </w:rPr>
      </w:pPr>
    </w:p>
    <w:p>
      <w:pPr>
        <w:ind w:right="200" w:firstLine="284"/>
        <w:spacing w:after="0" w:line="301" w:lineRule="auto"/>
        <w:rPr>
          <w:sz w:val="20"/>
          <w:szCs w:val="20"/>
          <w:color w:val="auto"/>
        </w:rPr>
      </w:pPr>
      <w:r>
        <w:rPr>
          <w:rFonts w:ascii="Arial" w:cs="Arial" w:eastAsia="Arial" w:hAnsi="Arial"/>
          <w:sz w:val="14"/>
          <w:szCs w:val="14"/>
          <w:color w:val="auto"/>
        </w:rPr>
        <w:t>The estimated useful lives of the Company’s property and equipment are periodically assessed to determine if changes are appropriate. The Company charges maintenance and repairs to expense as incurred. When the Company retires or disposes assets, the carrying cost of these assets and related accumulated depreciation or amortization are eliminated from the condensed consolidated balance sheet and any resulting gain or loss are included in the condensed consolidated statement of operations in the period of retirement or disposal. Costs for capital assets not yet placed into service are capitalized as construction-in-progress and depreciated once placed into service.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198" w:lineRule="exact"/>
        <w:rPr>
          <w:sz w:val="20"/>
          <w:szCs w:val="20"/>
          <w:color w:val="auto"/>
        </w:rPr>
      </w:pPr>
    </w:p>
    <w:p>
      <w:pPr>
        <w:ind w:right="80" w:firstLine="284"/>
        <w:spacing w:after="0" w:line="269" w:lineRule="auto"/>
        <w:rPr>
          <w:sz w:val="20"/>
          <w:szCs w:val="20"/>
          <w:color w:val="auto"/>
        </w:rPr>
      </w:pPr>
      <w:r>
        <w:rPr>
          <w:rFonts w:ascii="Arial" w:cs="Arial" w:eastAsia="Arial" w:hAnsi="Arial"/>
          <w:sz w:val="15"/>
          <w:szCs w:val="15"/>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 Based upon the Company’s 2021 annual impairment testing analyses, including the consideration of reasonably likely adverse changes in assumptions described above, the Company determined that there are no goodwill impairments to date.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w:t>
      </w:r>
    </w:p>
    <w:p>
      <w:pPr>
        <w:spacing w:after="0" w:line="198" w:lineRule="exact"/>
        <w:rPr>
          <w:sz w:val="20"/>
          <w:szCs w:val="20"/>
          <w:color w:val="auto"/>
        </w:rPr>
      </w:pPr>
    </w:p>
    <w:p>
      <w:pPr>
        <w:ind w:right="40" w:firstLine="284"/>
        <w:spacing w:after="0" w:line="252" w:lineRule="auto"/>
        <w:rPr>
          <w:sz w:val="20"/>
          <w:szCs w:val="20"/>
          <w:color w:val="auto"/>
        </w:rPr>
      </w:pPr>
      <w:r>
        <w:rPr>
          <w:rFonts w:ascii="Arial" w:cs="Arial" w:eastAsia="Arial" w:hAnsi="Arial"/>
          <w:sz w:val="16"/>
          <w:szCs w:val="16"/>
          <w:color w:val="auto"/>
        </w:rPr>
        <w:t>The Company initially records intangible assets at their estimated fair values and reviews these assets periodically for impairment. Identifiable intangible assets, which consist principally of acquired customer related acquired assets, acquired and/or developed technology, non-compete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640" w:type="dxa"/>
            <w:vAlign w:val="bottom"/>
          </w:tcPr>
          <w:p>
            <w:pPr>
              <w:ind w:left="260"/>
              <w:spacing w:after="0"/>
              <w:rPr>
                <w:sz w:val="20"/>
                <w:szCs w:val="20"/>
                <w:color w:val="auto"/>
              </w:rPr>
            </w:pPr>
            <w:r>
              <w:rPr>
                <w:rFonts w:ascii="Arial" w:cs="Arial" w:eastAsia="Arial" w:hAnsi="Arial"/>
                <w:sz w:val="16"/>
                <w:szCs w:val="16"/>
                <w:color w:val="auto"/>
              </w:rPr>
              <w:t>The finite-lived useful lives are as follows:</w:t>
            </w:r>
          </w:p>
        </w:tc>
        <w:tc>
          <w:tcPr>
            <w:tcW w:w="4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66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Trade names</w:t>
            </w:r>
          </w:p>
        </w:tc>
        <w:tc>
          <w:tcPr>
            <w:tcW w:w="4600" w:type="dxa"/>
            <w:vAlign w:val="bottom"/>
            <w:shd w:val="clear" w:color="auto" w:fill="CCEEFF"/>
          </w:tcPr>
          <w:p>
            <w:pPr>
              <w:jc w:val="center"/>
              <w:ind w:left="3381"/>
              <w:spacing w:after="0"/>
              <w:rPr>
                <w:sz w:val="20"/>
                <w:szCs w:val="20"/>
                <w:color w:val="auto"/>
              </w:rPr>
            </w:pPr>
            <w:r>
              <w:rPr>
                <w:rFonts w:ascii="Arial" w:cs="Arial" w:eastAsia="Arial" w:hAnsi="Arial"/>
                <w:sz w:val="16"/>
                <w:szCs w:val="16"/>
                <w:color w:val="auto"/>
                <w:w w:val="88"/>
              </w:rPr>
              <w:t>5 to 7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Acquired developed technology</w:t>
            </w:r>
          </w:p>
        </w:tc>
        <w:tc>
          <w:tcPr>
            <w:tcW w:w="4600" w:type="dxa"/>
            <w:vAlign w:val="bottom"/>
          </w:tcPr>
          <w:p>
            <w:pPr>
              <w:jc w:val="center"/>
              <w:ind w:left="3381"/>
              <w:spacing w:after="0"/>
              <w:rPr>
                <w:sz w:val="20"/>
                <w:szCs w:val="20"/>
                <w:color w:val="auto"/>
              </w:rPr>
            </w:pPr>
            <w:r>
              <w:rPr>
                <w:rFonts w:ascii="Arial" w:cs="Arial" w:eastAsia="Arial" w:hAnsi="Arial"/>
                <w:sz w:val="16"/>
                <w:szCs w:val="16"/>
                <w:color w:val="auto"/>
                <w:w w:val="88"/>
              </w:rPr>
              <w:t>5 to 8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Non-compete agreements</w:t>
            </w:r>
          </w:p>
        </w:tc>
        <w:tc>
          <w:tcPr>
            <w:tcW w:w="4600" w:type="dxa"/>
            <w:vAlign w:val="bottom"/>
            <w:shd w:val="clear" w:color="auto" w:fill="CCEEFF"/>
          </w:tcPr>
          <w:p>
            <w:pPr>
              <w:jc w:val="center"/>
              <w:ind w:left="3381"/>
              <w:spacing w:after="0"/>
              <w:rPr>
                <w:sz w:val="20"/>
                <w:szCs w:val="20"/>
                <w:color w:val="auto"/>
              </w:rPr>
            </w:pPr>
            <w:r>
              <w:rPr>
                <w:rFonts w:ascii="Arial" w:cs="Arial" w:eastAsia="Arial" w:hAnsi="Arial"/>
                <w:sz w:val="16"/>
                <w:szCs w:val="16"/>
                <w:color w:val="auto"/>
                <w:w w:val="87"/>
              </w:rPr>
              <w:t>5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6"/>
                <w:szCs w:val="16"/>
                <w:color w:val="auto"/>
              </w:rPr>
              <w:t>Customer relationships</w:t>
            </w:r>
          </w:p>
        </w:tc>
        <w:tc>
          <w:tcPr>
            <w:tcW w:w="4600" w:type="dxa"/>
            <w:vAlign w:val="bottom"/>
          </w:tcPr>
          <w:p>
            <w:pPr>
              <w:jc w:val="center"/>
              <w:ind w:left="3381"/>
              <w:spacing w:after="0"/>
              <w:rPr>
                <w:sz w:val="20"/>
                <w:szCs w:val="20"/>
                <w:color w:val="auto"/>
              </w:rPr>
            </w:pPr>
            <w:r>
              <w:rPr>
                <w:rFonts w:ascii="Arial" w:cs="Arial" w:eastAsia="Arial" w:hAnsi="Arial"/>
                <w:sz w:val="16"/>
                <w:szCs w:val="16"/>
                <w:color w:val="auto"/>
                <w:w w:val="88"/>
              </w:rPr>
              <w:t>5 to 8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Capitalized website costs</w:t>
            </w:r>
          </w:p>
        </w:tc>
        <w:tc>
          <w:tcPr>
            <w:tcW w:w="4600" w:type="dxa"/>
            <w:vAlign w:val="bottom"/>
            <w:shd w:val="clear" w:color="auto" w:fill="CCEEFF"/>
          </w:tcPr>
          <w:p>
            <w:pPr>
              <w:jc w:val="center"/>
              <w:ind w:left="3381"/>
              <w:spacing w:after="0"/>
              <w:rPr>
                <w:sz w:val="20"/>
                <w:szCs w:val="20"/>
                <w:color w:val="auto"/>
              </w:rPr>
            </w:pPr>
            <w:r>
              <w:rPr>
                <w:rFonts w:ascii="Arial" w:cs="Arial" w:eastAsia="Arial" w:hAnsi="Arial"/>
                <w:sz w:val="16"/>
                <w:szCs w:val="16"/>
                <w:color w:val="auto"/>
                <w:w w:val="88"/>
              </w:rPr>
              <w:t>3 to 5 years</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80" w:firstLine="284"/>
        <w:spacing w:after="0" w:line="301" w:lineRule="auto"/>
        <w:rPr>
          <w:sz w:val="20"/>
          <w:szCs w:val="20"/>
          <w:color w:val="auto"/>
        </w:rPr>
      </w:pPr>
      <w:r>
        <w:rPr>
          <w:rFonts w:ascii="Arial" w:cs="Arial" w:eastAsia="Arial" w:hAnsi="Arial"/>
          <w:sz w:val="14"/>
          <w:szCs w:val="14"/>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intangible asset exceeds its estimated fair value, the Company recognizes an impairment charge and reduces the carrying value of the asset to its estimated fair value.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 Payable</w:t>
      </w:r>
    </w:p>
    <w:p>
      <w:pPr>
        <w:spacing w:after="0" w:line="198" w:lineRule="exact"/>
        <w:rPr>
          <w:sz w:val="20"/>
          <w:szCs w:val="20"/>
          <w:color w:val="auto"/>
        </w:rPr>
      </w:pPr>
    </w:p>
    <w:p>
      <w:pPr>
        <w:ind w:right="100" w:firstLine="284"/>
        <w:spacing w:after="0" w:line="268" w:lineRule="auto"/>
        <w:rPr>
          <w:sz w:val="20"/>
          <w:szCs w:val="20"/>
          <w:color w:val="auto"/>
        </w:rPr>
      </w:pPr>
      <w:r>
        <w:rPr>
          <w:rFonts w:ascii="Arial" w:cs="Arial" w:eastAsia="Arial" w:hAnsi="Arial"/>
          <w:sz w:val="15"/>
          <w:szCs w:val="15"/>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(“ASC815”). The accounting treatment of derivative financial instruments requires that the Company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62" w:lineRule="exact"/>
        <w:rPr>
          <w:sz w:val="20"/>
          <w:szCs w:val="20"/>
          <w:color w:val="auto"/>
        </w:rPr>
      </w:pPr>
    </w:p>
    <w:p>
      <w:pPr>
        <w:ind w:right="20" w:firstLine="284"/>
        <w:spacing w:after="0" w:line="311" w:lineRule="auto"/>
        <w:rPr>
          <w:sz w:val="20"/>
          <w:szCs w:val="20"/>
          <w:color w:val="auto"/>
        </w:rPr>
      </w:pPr>
      <w:r>
        <w:rPr>
          <w:rFonts w:ascii="Arial" w:cs="Arial" w:eastAsia="Arial" w:hAnsi="Arial"/>
          <w:sz w:val="14"/>
          <w:szCs w:val="14"/>
          <w:color w:val="auto"/>
        </w:rPr>
        <w:t>If the Company determines that an instrument is not a derivative liability, it then evaluates whether there is a beneficial conversion feature (“BCF”), by comparing the commitment date fair value to the effective current conversion price of the instrument. The Company records a BCF as debt discount which is amortized to interest expense over the life of the respective note using the effective interest method. BCFs that are contingent upon the occurrence of a future event are recognized when the contingency is resolved.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Issue Costs and Debt Discount</w:t>
      </w:r>
    </w:p>
    <w:p>
      <w:pPr>
        <w:spacing w:after="0" w:line="198" w:lineRule="exact"/>
        <w:rPr>
          <w:sz w:val="20"/>
          <w:szCs w:val="20"/>
          <w:color w:val="auto"/>
        </w:rPr>
      </w:pPr>
    </w:p>
    <w:p>
      <w:pPr>
        <w:ind w:right="160" w:firstLine="284"/>
        <w:spacing w:after="0" w:line="257" w:lineRule="auto"/>
        <w:rPr>
          <w:sz w:val="20"/>
          <w:szCs w:val="20"/>
          <w:color w:val="auto"/>
        </w:rPr>
      </w:pPr>
      <w:r>
        <w:rPr>
          <w:rFonts w:ascii="Arial" w:cs="Arial" w:eastAsia="Arial" w:hAnsi="Arial"/>
          <w:sz w:val="16"/>
          <w:szCs w:val="16"/>
          <w:color w:val="auto"/>
        </w:rPr>
        <w:t>The Company may record debt issuance costs and/or debt discounts in connection with issuing of debt. The Company may cover these costs by paying cash or issuing or equity (such as warrants). These costs are amortized to interest expense over the expected life of the debt. If a conversion of the underlying debt occurs, a proportionate share of the unamortized amounts is immediately expensed.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Original Issue Discount</w:t>
      </w:r>
    </w:p>
    <w:p>
      <w:pPr>
        <w:spacing w:after="0" w:line="198" w:lineRule="exact"/>
        <w:rPr>
          <w:sz w:val="20"/>
          <w:szCs w:val="20"/>
          <w:color w:val="auto"/>
        </w:rPr>
      </w:pPr>
    </w:p>
    <w:p>
      <w:pPr>
        <w:ind w:right="80" w:firstLine="284"/>
        <w:spacing w:after="0" w:line="268" w:lineRule="auto"/>
        <w:rPr>
          <w:sz w:val="20"/>
          <w:szCs w:val="20"/>
          <w:color w:val="auto"/>
        </w:rPr>
      </w:pPr>
      <w:r>
        <w:rPr>
          <w:rFonts w:ascii="Arial" w:cs="Arial" w:eastAsia="Arial" w:hAnsi="Arial"/>
          <w:sz w:val="16"/>
          <w:szCs w:val="16"/>
          <w:color w:val="auto"/>
        </w:rPr>
        <w:t>For certain convertible debt issued by the Company, it may provide the debt holder with an original issue discount. The Company would record the original issue discount to debt discount, reducing the face amount of the note, and is then amortized to interest expense over the life of the debt.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Distinguishing Liabilities from Equity</w:t>
      </w:r>
    </w:p>
    <w:p>
      <w:pPr>
        <w:spacing w:after="0" w:line="198" w:lineRule="exact"/>
        <w:rPr>
          <w:sz w:val="20"/>
          <w:szCs w:val="20"/>
          <w:color w:val="auto"/>
        </w:rPr>
      </w:pPr>
    </w:p>
    <w:p>
      <w:pPr>
        <w:ind w:right="80" w:firstLine="284"/>
        <w:spacing w:after="0" w:line="276" w:lineRule="auto"/>
        <w:rPr>
          <w:sz w:val="20"/>
          <w:szCs w:val="20"/>
          <w:color w:val="auto"/>
        </w:rPr>
      </w:pPr>
      <w:r>
        <w:rPr>
          <w:rFonts w:ascii="Arial" w:cs="Arial" w:eastAsia="Arial" w:hAnsi="Arial"/>
          <w:sz w:val="15"/>
          <w:szCs w:val="15"/>
          <w:color w:val="auto"/>
        </w:rPr>
        <w:t xml:space="preserve">The Company relies on the guidance provided by ASC Topic 480, Distinguishing Liabilities from Equity and ASC 815-40, </w:t>
      </w:r>
      <w:r>
        <w:rPr>
          <w:rFonts w:ascii="Arial" w:cs="Arial" w:eastAsia="Arial" w:hAnsi="Arial"/>
          <w:sz w:val="15"/>
          <w:szCs w:val="15"/>
          <w:i w:val="1"/>
          <w:iCs w:val="1"/>
          <w:color w:val="auto"/>
        </w:rPr>
        <w:t>Derivatives and Hedging: Contracts in Entity’s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Own Equity </w:t>
      </w:r>
      <w:r>
        <w:rPr>
          <w:rFonts w:ascii="Arial" w:cs="Arial" w:eastAsia="Arial" w:hAnsi="Arial"/>
          <w:sz w:val="15"/>
          <w:szCs w:val="15"/>
          <w:color w:val="auto"/>
        </w:rPr>
        <w:t>(“ASC 815-40”), to classify certain redeemable and/or convertible instruments. The Company first determines whether a financial instrument should be classified as</w:t>
      </w:r>
      <w:r>
        <w:rPr>
          <w:rFonts w:ascii="Arial" w:cs="Arial" w:eastAsia="Arial" w:hAnsi="Arial"/>
          <w:sz w:val="15"/>
          <w:szCs w:val="15"/>
          <w:i w:val="1"/>
          <w:iCs w:val="1"/>
          <w:color w:val="auto"/>
        </w:rPr>
        <w:t xml:space="preserve"> </w:t>
      </w:r>
      <w:r>
        <w:rPr>
          <w:rFonts w:ascii="Arial" w:cs="Arial" w:eastAsia="Arial" w:hAnsi="Arial"/>
          <w:sz w:val="15"/>
          <w:szCs w:val="15"/>
          <w:color w:val="auto"/>
        </w:rPr>
        <w:t>a liability. The Company will determine the liability classification if the financial instrument is mandatorily redeemable, or if the financial instrument, other than outstanding shares, embodies a conditional obligation that the Company must or may settle by issuing a variable number of its equity shares.</w:t>
      </w:r>
    </w:p>
    <w:p>
      <w:pPr>
        <w:spacing w:after="0" w:line="153" w:lineRule="exact"/>
        <w:rPr>
          <w:sz w:val="20"/>
          <w:szCs w:val="20"/>
          <w:color w:val="auto"/>
        </w:rPr>
      </w:pPr>
    </w:p>
    <w:p>
      <w:pPr>
        <w:ind w:right="220" w:firstLine="284"/>
        <w:spacing w:after="0" w:line="253" w:lineRule="auto"/>
        <w:rPr>
          <w:sz w:val="20"/>
          <w:szCs w:val="20"/>
          <w:color w:val="auto"/>
        </w:rPr>
      </w:pPr>
      <w:r>
        <w:rPr>
          <w:rFonts w:ascii="Arial" w:cs="Arial" w:eastAsia="Arial" w:hAnsi="Arial"/>
          <w:sz w:val="16"/>
          <w:szCs w:val="16"/>
          <w:color w:val="auto"/>
        </w:rPr>
        <w:t>Once the Company determines that a financial instrument should not be classified as a liability, the Company determines whether the financial instrument should be presented between the liability section and the equity section of the balance sheet (“temporary equity”). The Company will determine temporary equity classification if the redemption of the financial instrument is outside the control of the Company (i.e. at the option of the holder). Otherwise, the Company accounts for the financial instrument as permanent equity.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Measurement</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records its financial instruments classified as liability, temporary equity or permanent equity at issuance at the fair value, or cash received.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Subsequent Measurement – Financial instruments classified as liabilities</w:t>
      </w:r>
    </w:p>
    <w:p>
      <w:pPr>
        <w:spacing w:after="0" w:line="194" w:lineRule="exact"/>
        <w:rPr>
          <w:sz w:val="20"/>
          <w:szCs w:val="20"/>
          <w:color w:val="auto"/>
        </w:rPr>
      </w:pPr>
    </w:p>
    <w:p>
      <w:pPr>
        <w:ind w:right="500" w:firstLine="284"/>
        <w:spacing w:after="0" w:line="268" w:lineRule="auto"/>
        <w:rPr>
          <w:sz w:val="20"/>
          <w:szCs w:val="20"/>
          <w:color w:val="auto"/>
        </w:rPr>
      </w:pPr>
      <w:r>
        <w:rPr>
          <w:rFonts w:ascii="Arial" w:cs="Arial" w:eastAsia="Arial" w:hAnsi="Arial"/>
          <w:sz w:val="16"/>
          <w:szCs w:val="16"/>
          <w:color w:val="auto"/>
        </w:rPr>
        <w:t>The Company records the fair value of its financial instruments classified as liabilities at each subsequent measurement date. The changes in fair value of its financial instruments classified as liabilities are recorded as other income, net.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198" w:lineRule="exact"/>
        <w:rPr>
          <w:sz w:val="20"/>
          <w:szCs w:val="20"/>
          <w:color w:val="auto"/>
        </w:rPr>
      </w:pPr>
    </w:p>
    <w:p>
      <w:pPr>
        <w:ind w:firstLine="284"/>
        <w:spacing w:after="0" w:line="301" w:lineRule="auto"/>
        <w:rPr>
          <w:sz w:val="20"/>
          <w:szCs w:val="20"/>
          <w:color w:val="auto"/>
        </w:rPr>
      </w:pPr>
      <w:r>
        <w:rPr>
          <w:rFonts w:ascii="Arial" w:cs="Arial" w:eastAsia="Arial" w:hAnsi="Arial"/>
          <w:sz w:val="14"/>
          <w:szCs w:val="14"/>
          <w:color w:val="auto"/>
        </w:rPr>
        <w:t>The Company determines at the inception of a right-of-use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condensed consolidated balance sheet for all leases with an initial lease term of greater than 12 months. A lease with an initial term of 12 months or less is not recorded on the balance sheet, but related payments are recognized as expense on a straight-line basis over the lease term.</w:t>
      </w:r>
    </w:p>
    <w:p>
      <w:pPr>
        <w:spacing w:after="0" w:line="138" w:lineRule="exact"/>
        <w:rPr>
          <w:sz w:val="20"/>
          <w:szCs w:val="20"/>
          <w:color w:val="auto"/>
        </w:rPr>
      </w:pPr>
    </w:p>
    <w:p>
      <w:pPr>
        <w:ind w:firstLine="284"/>
        <w:spacing w:after="0" w:line="253" w:lineRule="auto"/>
        <w:rPr>
          <w:sz w:val="20"/>
          <w:szCs w:val="20"/>
          <w:color w:val="auto"/>
        </w:rPr>
      </w:pPr>
      <w:r>
        <w:rPr>
          <w:rFonts w:ascii="Arial" w:cs="Arial" w:eastAsia="Arial" w:hAnsi="Arial"/>
          <w:sz w:val="16"/>
          <w:szCs w:val="16"/>
          <w:color w:val="auto"/>
        </w:rPr>
        <w:t>The Company’s right-of-use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70" w:lineRule="exact"/>
        <w:rPr>
          <w:sz w:val="20"/>
          <w:szCs w:val="20"/>
          <w:color w:val="auto"/>
        </w:rPr>
      </w:pPr>
    </w:p>
    <w:p>
      <w:pPr>
        <w:ind w:firstLine="284"/>
        <w:spacing w:after="0" w:line="253" w:lineRule="auto"/>
        <w:rPr>
          <w:sz w:val="20"/>
          <w:szCs w:val="20"/>
          <w:color w:val="auto"/>
        </w:rPr>
      </w:pPr>
      <w:r>
        <w:rPr>
          <w:rFonts w:ascii="Arial" w:cs="Arial" w:eastAsia="Arial" w:hAnsi="Arial"/>
          <w:sz w:val="16"/>
          <w:szCs w:val="16"/>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70" w:lineRule="exact"/>
        <w:rPr>
          <w:sz w:val="20"/>
          <w:szCs w:val="20"/>
          <w:color w:val="auto"/>
        </w:rPr>
      </w:pPr>
    </w:p>
    <w:p>
      <w:pPr>
        <w:jc w:val="both"/>
        <w:ind w:right="100" w:firstLine="284"/>
        <w:spacing w:after="0" w:line="257" w:lineRule="auto"/>
        <w:rPr>
          <w:sz w:val="20"/>
          <w:szCs w:val="20"/>
          <w:color w:val="auto"/>
        </w:rPr>
      </w:pPr>
      <w:r>
        <w:rPr>
          <w:rFonts w:ascii="Arial" w:cs="Arial" w:eastAsia="Arial" w:hAnsi="Arial"/>
          <w:sz w:val="16"/>
          <w:szCs w:val="16"/>
          <w:color w:val="auto"/>
        </w:rPr>
        <w:t>Certain of the Company’s right-of-use asset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Deferred Revenue</w:t>
      </w:r>
    </w:p>
    <w:p>
      <w:pPr>
        <w:spacing w:after="0" w:line="198" w:lineRule="exact"/>
        <w:rPr>
          <w:sz w:val="20"/>
          <w:szCs w:val="20"/>
          <w:color w:val="auto"/>
        </w:rPr>
      </w:pPr>
    </w:p>
    <w:p>
      <w:pPr>
        <w:jc w:val="both"/>
        <w:ind w:right="480" w:firstLine="284"/>
        <w:spacing w:after="0" w:line="257" w:lineRule="auto"/>
        <w:rPr>
          <w:sz w:val="20"/>
          <w:szCs w:val="20"/>
          <w:color w:val="auto"/>
        </w:rPr>
      </w:pPr>
      <w:r>
        <w:rPr>
          <w:rFonts w:ascii="Arial" w:cs="Arial" w:eastAsia="Arial" w:hAnsi="Arial"/>
          <w:sz w:val="16"/>
          <w:szCs w:val="16"/>
          <w:color w:val="auto"/>
        </w:rPr>
        <w:t>Deferred revenue includes amounts collected or billed in excess of revenue that it can recognize. The Company recognizes deferred revenue as revenue as the related performance obligation is satisfied. The Company records deferred revenue that will be recognized during the succeeding twelve-month period as a current liability on the condensed consolidated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198" w:lineRule="exact"/>
        <w:rPr>
          <w:sz w:val="20"/>
          <w:szCs w:val="20"/>
          <w:color w:val="auto"/>
        </w:rPr>
      </w:pPr>
    </w:p>
    <w:p>
      <w:pPr>
        <w:ind w:right="500" w:firstLine="284"/>
        <w:spacing w:after="0" w:line="268" w:lineRule="auto"/>
        <w:rPr>
          <w:sz w:val="20"/>
          <w:szCs w:val="20"/>
          <w:color w:val="auto"/>
        </w:rPr>
      </w:pPr>
      <w:r>
        <w:rPr>
          <w:rFonts w:ascii="Arial" w:cs="Arial" w:eastAsia="Arial" w:hAnsi="Arial"/>
          <w:sz w:val="16"/>
          <w:szCs w:val="16"/>
          <w:color w:val="auto"/>
        </w:rPr>
        <w:t>The Company’s financial instruments consist of cash, accounts receivable, warrants, accounts payable and accrued expenses. The estimated fair value of the accounts receivable and accounts payable approximates their carrying value due to the short-term nature of these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198" w:lineRule="exact"/>
        <w:rPr>
          <w:sz w:val="20"/>
          <w:szCs w:val="20"/>
          <w:color w:val="auto"/>
        </w:rPr>
      </w:pPr>
    </w:p>
    <w:p>
      <w:pPr>
        <w:ind w:right="140" w:firstLine="284"/>
        <w:spacing w:after="0" w:line="253" w:lineRule="auto"/>
        <w:rPr>
          <w:sz w:val="20"/>
          <w:szCs w:val="20"/>
          <w:color w:val="auto"/>
        </w:rPr>
      </w:pPr>
      <w:r>
        <w:rPr>
          <w:rFonts w:ascii="Arial" w:cs="Arial" w:eastAsia="Arial" w:hAnsi="Arial"/>
          <w:sz w:val="16"/>
          <w:szCs w:val="16"/>
          <w:color w:val="auto"/>
        </w:rPr>
        <w:t>The Company measures all stock options and other stock-based awards granted to employees and directors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170" w:lineRule="exact"/>
        <w:rPr>
          <w:sz w:val="20"/>
          <w:szCs w:val="20"/>
          <w:color w:val="auto"/>
        </w:rPr>
      </w:pPr>
    </w:p>
    <w:p>
      <w:pPr>
        <w:ind w:right="80" w:firstLine="284"/>
        <w:spacing w:after="0" w:line="268" w:lineRule="auto"/>
        <w:rPr>
          <w:sz w:val="20"/>
          <w:szCs w:val="20"/>
          <w:color w:val="auto"/>
        </w:rPr>
      </w:pPr>
      <w:r>
        <w:rPr>
          <w:rFonts w:ascii="Arial" w:cs="Arial" w:eastAsia="Arial" w:hAnsi="Arial"/>
          <w:sz w:val="16"/>
          <w:szCs w:val="16"/>
          <w:color w:val="auto"/>
        </w:rPr>
        <w:t>The Company classifies stock-based compensation expense in its condensed consolidated statements of operations and comprehensive loss in the same manner in which the award’s recipient’s payroll costs are classified.</w:t>
      </w:r>
    </w:p>
    <w:p>
      <w:pPr>
        <w:spacing w:after="0" w:line="157" w:lineRule="exact"/>
        <w:rPr>
          <w:sz w:val="20"/>
          <w:szCs w:val="20"/>
          <w:color w:val="auto"/>
        </w:rPr>
      </w:pPr>
    </w:p>
    <w:p>
      <w:pPr>
        <w:ind w:firstLine="284"/>
        <w:spacing w:after="0" w:line="293" w:lineRule="auto"/>
        <w:rPr>
          <w:sz w:val="20"/>
          <w:szCs w:val="20"/>
          <w:color w:val="auto"/>
        </w:rPr>
      </w:pPr>
      <w:r>
        <w:rPr>
          <w:rFonts w:ascii="Arial" w:cs="Arial" w:eastAsia="Arial" w:hAnsi="Arial"/>
          <w:sz w:val="14"/>
          <w:szCs w:val="14"/>
          <w:color w:val="auto"/>
        </w:rPr>
        <w:t>The Company estimates the fair value of each stock option grant on the date of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198" w:lineRule="exact"/>
        <w:rPr>
          <w:sz w:val="20"/>
          <w:szCs w:val="20"/>
          <w:color w:val="auto"/>
        </w:rPr>
      </w:pPr>
    </w:p>
    <w:p>
      <w:pPr>
        <w:ind w:right="100" w:firstLine="284"/>
        <w:spacing w:after="0" w:line="311" w:lineRule="auto"/>
        <w:rPr>
          <w:sz w:val="20"/>
          <w:szCs w:val="20"/>
          <w:color w:val="auto"/>
        </w:rPr>
      </w:pPr>
      <w:r>
        <w:rPr>
          <w:rFonts w:ascii="Arial" w:cs="Arial" w:eastAsia="Arial" w:hAnsi="Arial"/>
          <w:sz w:val="14"/>
          <w:szCs w:val="14"/>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excess of the purchase price over the estimated fair values of the assets acquired and liabilities assumed.</w:t>
      </w:r>
    </w:p>
    <w:p>
      <w:pPr>
        <w:spacing w:after="0" w:line="131" w:lineRule="exact"/>
        <w:rPr>
          <w:sz w:val="20"/>
          <w:szCs w:val="20"/>
          <w:color w:val="auto"/>
        </w:rPr>
      </w:pPr>
    </w:p>
    <w:p>
      <w:pPr>
        <w:ind w:right="100" w:firstLine="284"/>
        <w:spacing w:after="0" w:line="293" w:lineRule="auto"/>
        <w:rPr>
          <w:sz w:val="20"/>
          <w:szCs w:val="20"/>
          <w:color w:val="auto"/>
        </w:rPr>
      </w:pPr>
      <w:r>
        <w:rPr>
          <w:rFonts w:ascii="Arial" w:cs="Arial" w:eastAsia="Arial" w:hAnsi="Arial"/>
          <w:sz w:val="14"/>
          <w:szCs w:val="14"/>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145" w:lineRule="exact"/>
        <w:rPr>
          <w:sz w:val="20"/>
          <w:szCs w:val="20"/>
          <w:color w:val="auto"/>
        </w:rPr>
      </w:pPr>
    </w:p>
    <w:p>
      <w:pPr>
        <w:jc w:val="both"/>
        <w:ind w:right="240" w:firstLine="284"/>
        <w:spacing w:after="0" w:line="257" w:lineRule="auto"/>
        <w:rPr>
          <w:sz w:val="20"/>
          <w:szCs w:val="20"/>
          <w:color w:val="auto"/>
        </w:rPr>
      </w:pPr>
      <w:r>
        <w:rPr>
          <w:rFonts w:ascii="Arial" w:cs="Arial" w:eastAsia="Arial" w:hAnsi="Arial"/>
          <w:sz w:val="16"/>
          <w:szCs w:val="16"/>
          <w:color w:val="auto"/>
        </w:rPr>
        <w:t>For contingent consideration arrangements, the Company recognizes a liability at fair value as of the acquisition date with subsequent fair value adjustments recorded in operations. Additional information regarding the Company’s contingent consideration arrangements may be found in Note 6 – Fair Value Measures, included elsewhere in the notes to the condensed consolidated financial statements.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785"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Revenue Recognition</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Overview</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generates revenue from the following sources: (1) equipment sales, (2) providing services and (3) construction contracts.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accordance with ASC 606 “Revenue Recognition”, the Company recognizes revenue from contracts with customers using a five-step model, which is described below:</w:t>
      </w:r>
    </w:p>
    <w:p>
      <w:pPr>
        <w:spacing w:after="0" w:line="217" w:lineRule="exact"/>
        <w:rPr>
          <w:sz w:val="20"/>
          <w:szCs w:val="20"/>
          <w:color w:val="auto"/>
        </w:rPr>
      </w:pPr>
    </w:p>
    <w:p>
      <w:pPr>
        <w:ind w:left="560" w:hanging="282"/>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identify the customer contract;</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identify performance obligations that are distinct;</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determine the transaction price;</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allocate the transaction price to the distinct performance obligations; and</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recognize revenue as the performance obligations are satisfied.</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Identify the customer contract</w:t>
      </w:r>
    </w:p>
    <w:p>
      <w:pPr>
        <w:spacing w:after="0" w:line="194" w:lineRule="exact"/>
        <w:rPr>
          <w:sz w:val="20"/>
          <w:szCs w:val="20"/>
          <w:color w:val="auto"/>
        </w:rPr>
      </w:pPr>
    </w:p>
    <w:p>
      <w:pPr>
        <w:ind w:firstLine="284"/>
        <w:spacing w:after="0" w:line="257" w:lineRule="auto"/>
        <w:rPr>
          <w:sz w:val="20"/>
          <w:szCs w:val="20"/>
          <w:color w:val="auto"/>
        </w:rPr>
      </w:pPr>
      <w:r>
        <w:rPr>
          <w:rFonts w:ascii="Arial" w:cs="Arial" w:eastAsia="Arial" w:hAnsi="Arial"/>
          <w:sz w:val="16"/>
          <w:szCs w:val="16"/>
          <w:color w:val="auto"/>
        </w:rPr>
        <w:t>A customer contract is generally identified when there is approval and commitment from both the Company and its customer, the rights have been identified, payment terms are identified, the contract has commercial substance and collectability, and consideration is probable. Specifically, the Company obtains written/electronic signatures on contracts and a purchase order, if said purchase orders are issued in the normal course of business by the customer.</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Identify performance obligations that are distinct</w:t>
      </w:r>
    </w:p>
    <w:p>
      <w:pPr>
        <w:spacing w:after="0" w:line="194" w:lineRule="exact"/>
        <w:rPr>
          <w:sz w:val="20"/>
          <w:szCs w:val="20"/>
          <w:color w:val="auto"/>
        </w:rPr>
      </w:pPr>
    </w:p>
    <w:p>
      <w:pPr>
        <w:ind w:right="60" w:firstLine="284"/>
        <w:spacing w:after="0" w:line="282" w:lineRule="auto"/>
        <w:rPr>
          <w:sz w:val="20"/>
          <w:szCs w:val="20"/>
          <w:color w:val="auto"/>
        </w:rPr>
      </w:pPr>
      <w:r>
        <w:rPr>
          <w:rFonts w:ascii="Arial" w:cs="Arial" w:eastAsia="Arial" w:hAnsi="Arial"/>
          <w:sz w:val="15"/>
          <w:szCs w:val="15"/>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Determine the transaction price</w:t>
      </w:r>
    </w:p>
    <w:p>
      <w:pPr>
        <w:spacing w:after="0" w:line="194" w:lineRule="exact"/>
        <w:rPr>
          <w:sz w:val="20"/>
          <w:szCs w:val="20"/>
          <w:color w:val="auto"/>
        </w:rPr>
      </w:pPr>
    </w:p>
    <w:p>
      <w:pPr>
        <w:ind w:right="220" w:firstLine="284"/>
        <w:spacing w:after="0" w:line="268" w:lineRule="auto"/>
        <w:rPr>
          <w:sz w:val="20"/>
          <w:szCs w:val="20"/>
          <w:color w:val="auto"/>
        </w:rPr>
      </w:pPr>
      <w:r>
        <w:rPr>
          <w:rFonts w:ascii="Arial" w:cs="Arial" w:eastAsia="Arial" w:hAnsi="Arial"/>
          <w:sz w:val="16"/>
          <w:szCs w:val="16"/>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Allocate the transaction price to distinct performance obligations</w:t>
      </w:r>
    </w:p>
    <w:p>
      <w:pPr>
        <w:spacing w:after="0" w:line="194" w:lineRule="exact"/>
        <w:rPr>
          <w:sz w:val="20"/>
          <w:szCs w:val="20"/>
          <w:color w:val="auto"/>
        </w:rPr>
      </w:pPr>
    </w:p>
    <w:p>
      <w:pPr>
        <w:ind w:right="160" w:firstLine="284"/>
        <w:spacing w:after="0" w:line="253" w:lineRule="auto"/>
        <w:rPr>
          <w:sz w:val="20"/>
          <w:szCs w:val="20"/>
          <w:color w:val="auto"/>
        </w:rPr>
      </w:pPr>
      <w:r>
        <w:rPr>
          <w:rFonts w:ascii="Arial" w:cs="Arial" w:eastAsia="Arial" w:hAnsi="Arial"/>
          <w:sz w:val="16"/>
          <w:szCs w:val="16"/>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Recognize revenue as the performance obligations are satisfied</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Revenue is recognized when, or as, performance obligations are satisfied by transferring control of a promised product or service to a customer.</w:t>
      </w: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40"/>
          </w:cols>
          <w:pgMar w:left="320" w:top="785" w:right="439" w:bottom="1440" w:gutter="0" w:footer="0" w:header="0"/>
        </w:sectPr>
      </w:pPr>
    </w:p>
    <w:bookmarkStart w:id="23" w:name="page24"/>
    <w:bookmarkEnd w:id="23"/>
    <w:p>
      <w:pPr>
        <w:ind w:left="280"/>
        <w:spacing w:after="0"/>
        <w:rPr>
          <w:sz w:val="20"/>
          <w:szCs w:val="20"/>
          <w:color w:val="auto"/>
        </w:rPr>
      </w:pPr>
      <w:r>
        <w:rPr>
          <w:rFonts w:ascii="Arial" w:cs="Arial" w:eastAsia="Arial" w:hAnsi="Arial"/>
          <w:sz w:val="16"/>
          <w:szCs w:val="16"/>
          <w:b w:val="1"/>
          <w:bCs w:val="1"/>
          <w:i w:val="1"/>
          <w:iCs w:val="1"/>
          <w:color w:val="auto"/>
        </w:rPr>
        <w:t>Significant Judgments</w:t>
      </w:r>
    </w:p>
    <w:p>
      <w:pPr>
        <w:spacing w:after="0" w:line="194" w:lineRule="exact"/>
        <w:rPr>
          <w:sz w:val="20"/>
          <w:szCs w:val="20"/>
          <w:color w:val="auto"/>
        </w:rPr>
      </w:pPr>
    </w:p>
    <w:p>
      <w:pPr>
        <w:ind w:firstLine="284"/>
        <w:spacing w:after="0" w:line="251" w:lineRule="auto"/>
        <w:rPr>
          <w:sz w:val="20"/>
          <w:szCs w:val="20"/>
          <w:color w:val="auto"/>
        </w:rPr>
      </w:pPr>
      <w:r>
        <w:rPr>
          <w:rFonts w:ascii="Arial" w:cs="Arial" w:eastAsia="Arial" w:hAnsi="Arial"/>
          <w:sz w:val="16"/>
          <w:szCs w:val="16"/>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70" w:lineRule="exact"/>
        <w:rPr>
          <w:sz w:val="20"/>
          <w:szCs w:val="20"/>
          <w:color w:val="auto"/>
        </w:rPr>
      </w:pPr>
    </w:p>
    <w:p>
      <w:pPr>
        <w:ind w:right="20" w:firstLine="284"/>
        <w:spacing w:after="0" w:line="269" w:lineRule="auto"/>
        <w:rPr>
          <w:sz w:val="20"/>
          <w:szCs w:val="20"/>
          <w:color w:val="auto"/>
        </w:rPr>
      </w:pPr>
      <w:r>
        <w:rPr>
          <w:rFonts w:ascii="Arial" w:cs="Arial" w:eastAsia="Arial" w:hAnsi="Arial"/>
          <w:sz w:val="15"/>
          <w:szCs w:val="15"/>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61" w:lineRule="exact"/>
        <w:rPr>
          <w:sz w:val="20"/>
          <w:szCs w:val="20"/>
          <w:color w:val="auto"/>
        </w:rPr>
      </w:pPr>
    </w:p>
    <w:p>
      <w:pPr>
        <w:ind w:right="220" w:firstLine="284"/>
        <w:spacing w:after="0" w:line="268" w:lineRule="auto"/>
        <w:rPr>
          <w:sz w:val="20"/>
          <w:szCs w:val="20"/>
          <w:color w:val="auto"/>
        </w:rPr>
      </w:pPr>
      <w:r>
        <w:rPr>
          <w:rFonts w:ascii="Arial" w:cs="Arial" w:eastAsia="Arial" w:hAnsi="Arial"/>
          <w:sz w:val="16"/>
          <w:szCs w:val="16"/>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determines the SSP for services in time and materials contracts by observable prices in standalone services arrangements.</w:t>
      </w:r>
    </w:p>
    <w:p>
      <w:pPr>
        <w:spacing w:after="0" w:line="194" w:lineRule="exact"/>
        <w:rPr>
          <w:sz w:val="20"/>
          <w:szCs w:val="20"/>
          <w:color w:val="auto"/>
        </w:rPr>
      </w:pPr>
    </w:p>
    <w:p>
      <w:pPr>
        <w:jc w:val="both"/>
        <w:ind w:right="60" w:firstLine="284"/>
        <w:spacing w:after="0" w:line="257" w:lineRule="auto"/>
        <w:rPr>
          <w:sz w:val="20"/>
          <w:szCs w:val="20"/>
          <w:color w:val="auto"/>
        </w:rPr>
      </w:pPr>
      <w:r>
        <w:rPr>
          <w:rFonts w:ascii="Arial" w:cs="Arial" w:eastAsia="Arial" w:hAnsi="Arial"/>
          <w:sz w:val="16"/>
          <w:szCs w:val="16"/>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66" w:lineRule="exact"/>
        <w:rPr>
          <w:sz w:val="20"/>
          <w:szCs w:val="20"/>
          <w:color w:val="auto"/>
        </w:rPr>
      </w:pPr>
    </w:p>
    <w:p>
      <w:pPr>
        <w:ind w:right="80" w:firstLine="284"/>
        <w:spacing w:after="0" w:line="293" w:lineRule="auto"/>
        <w:rPr>
          <w:sz w:val="20"/>
          <w:szCs w:val="20"/>
          <w:color w:val="auto"/>
        </w:rPr>
      </w:pPr>
      <w:r>
        <w:rPr>
          <w:rFonts w:ascii="Arial" w:cs="Arial" w:eastAsia="Arial" w:hAnsi="Arial"/>
          <w:sz w:val="14"/>
          <w:szCs w:val="14"/>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 upon interest rate and will present the financing components separately as financial income. For the three months ended March 31, 2022 and 2021, the Company did not have any such financial income.</w:t>
      </w:r>
    </w:p>
    <w:p>
      <w:pPr>
        <w:spacing w:after="0" w:line="145" w:lineRule="exact"/>
        <w:rPr>
          <w:sz w:val="20"/>
          <w:szCs w:val="20"/>
          <w:color w:val="auto"/>
        </w:rPr>
      </w:pPr>
    </w:p>
    <w:p>
      <w:pPr>
        <w:ind w:right="80" w:firstLine="284"/>
        <w:spacing w:after="0" w:line="282" w:lineRule="auto"/>
        <w:rPr>
          <w:sz w:val="20"/>
          <w:szCs w:val="20"/>
          <w:color w:val="auto"/>
        </w:rPr>
      </w:pPr>
      <w:r>
        <w:rPr>
          <w:rFonts w:ascii="Arial" w:cs="Arial" w:eastAsia="Arial" w:hAnsi="Arial"/>
          <w:sz w:val="15"/>
          <w:szCs w:val="15"/>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a concern over delivered products or services, the Company has endeavored to remedy the concern and all costs related to such matters have been insignificant in all periods presented.</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24" w:name="page25"/>
    <w:bookmarkEnd w:id="24"/>
    <w:p>
      <w:pPr>
        <w:jc w:val="both"/>
        <w:ind w:firstLine="284"/>
        <w:spacing w:after="0" w:line="276" w:lineRule="auto"/>
        <w:rPr>
          <w:sz w:val="20"/>
          <w:szCs w:val="20"/>
          <w:color w:val="auto"/>
        </w:rPr>
      </w:pPr>
      <w:r>
        <w:rPr>
          <w:rFonts w:ascii="Arial" w:cs="Arial" w:eastAsia="Arial" w:hAnsi="Arial"/>
          <w:sz w:val="15"/>
          <w:szCs w:val="15"/>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53" w:lineRule="exact"/>
        <w:rPr>
          <w:sz w:val="20"/>
          <w:szCs w:val="20"/>
          <w:color w:val="auto"/>
        </w:rPr>
      </w:pPr>
    </w:p>
    <w:p>
      <w:pPr>
        <w:ind w:right="20" w:firstLine="284"/>
        <w:spacing w:after="0" w:line="251" w:lineRule="auto"/>
        <w:rPr>
          <w:sz w:val="20"/>
          <w:szCs w:val="20"/>
          <w:color w:val="auto"/>
        </w:rPr>
      </w:pPr>
      <w:r>
        <w:rPr>
          <w:rFonts w:ascii="Arial" w:cs="Arial" w:eastAsia="Arial" w:hAnsi="Arial"/>
          <w:sz w:val="16"/>
          <w:szCs w:val="16"/>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receivables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170" w:lineRule="exact"/>
        <w:rPr>
          <w:sz w:val="20"/>
          <w:szCs w:val="20"/>
          <w:color w:val="auto"/>
        </w:rPr>
      </w:pPr>
    </w:p>
    <w:p>
      <w:pPr>
        <w:ind w:right="60" w:firstLine="284"/>
        <w:spacing w:after="0" w:line="253" w:lineRule="auto"/>
        <w:rPr>
          <w:sz w:val="20"/>
          <w:szCs w:val="20"/>
          <w:color w:val="auto"/>
        </w:rPr>
      </w:pPr>
      <w:r>
        <w:rPr>
          <w:rFonts w:ascii="Arial" w:cs="Arial" w:eastAsia="Arial" w:hAnsi="Arial"/>
          <w:sz w:val="16"/>
          <w:szCs w:val="16"/>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0" w:lineRule="exact"/>
        <w:rPr>
          <w:sz w:val="20"/>
          <w:szCs w:val="20"/>
          <w:color w:val="auto"/>
        </w:rPr>
      </w:pPr>
    </w:p>
    <w:p>
      <w:pPr>
        <w:ind w:right="20" w:firstLine="284"/>
        <w:spacing w:after="0" w:line="253" w:lineRule="auto"/>
        <w:rPr>
          <w:sz w:val="20"/>
          <w:szCs w:val="20"/>
          <w:color w:val="auto"/>
        </w:rPr>
      </w:pPr>
      <w:r>
        <w:rPr>
          <w:rFonts w:ascii="Arial" w:cs="Arial" w:eastAsia="Arial" w:hAnsi="Arial"/>
          <w:sz w:val="16"/>
          <w:szCs w:val="16"/>
          <w:color w:val="auto"/>
        </w:rPr>
        <w:t>The Company generally provides a one-year warranty on its products for materials and workmanship but may provide multiple-year warranties as negotiated, and will pass on the warranties from its vendors, if any, which generally covers this one-year period. In accordance with ASC 450-20-25, the Company accrues for product warranties when the loss is probable and can be reasonably estimated. The reserve for warranty returns is included in accrued expenses and other current liabilities in the Company’s condensed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198" w:lineRule="exact"/>
        <w:rPr>
          <w:sz w:val="20"/>
          <w:szCs w:val="20"/>
          <w:color w:val="auto"/>
        </w:rPr>
      </w:pPr>
    </w:p>
    <w:p>
      <w:pPr>
        <w:ind w:right="160" w:firstLine="284"/>
        <w:spacing w:after="0" w:line="282" w:lineRule="auto"/>
        <w:rPr>
          <w:sz w:val="20"/>
          <w:szCs w:val="20"/>
          <w:color w:val="auto"/>
        </w:rPr>
      </w:pPr>
      <w:r>
        <w:rPr>
          <w:rFonts w:ascii="Arial" w:cs="Arial" w:eastAsia="Arial" w:hAnsi="Arial"/>
          <w:sz w:val="15"/>
          <w:szCs w:val="15"/>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software.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Capitalization of Internal Software Development Costs</w:t>
      </w:r>
    </w:p>
    <w:p>
      <w:pPr>
        <w:spacing w:after="0" w:line="198" w:lineRule="exact"/>
        <w:rPr>
          <w:sz w:val="20"/>
          <w:szCs w:val="20"/>
          <w:color w:val="auto"/>
        </w:rPr>
      </w:pPr>
    </w:p>
    <w:p>
      <w:pPr>
        <w:ind w:right="20" w:firstLine="284"/>
        <w:spacing w:after="0" w:line="273" w:lineRule="auto"/>
        <w:rPr>
          <w:sz w:val="20"/>
          <w:szCs w:val="20"/>
          <w:color w:val="auto"/>
        </w:rPr>
      </w:pPr>
      <w:r>
        <w:rPr>
          <w:rFonts w:ascii="Arial" w:cs="Arial" w:eastAsia="Arial" w:hAnsi="Arial"/>
          <w:sz w:val="15"/>
          <w:szCs w:val="15"/>
          <w:color w:val="auto"/>
        </w:rPr>
        <w:t>The Company capitalizes certain software engineering efforts related to the continued development of Agrify Insights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Shipping and Handling Charges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Company incurs costs related to shipping and handling of its manufactured products. These costs are expensed as incurred as a component of cost of goods sold.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Shipping and handling charges related to the receipt of raw materials are also incurred, which are recorded as a cost of the related inventory.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Method Investments</w:t>
      </w:r>
    </w:p>
    <w:p>
      <w:pPr>
        <w:spacing w:after="0" w:line="198" w:lineRule="exact"/>
        <w:rPr>
          <w:sz w:val="20"/>
          <w:szCs w:val="20"/>
          <w:color w:val="auto"/>
        </w:rPr>
      </w:pPr>
    </w:p>
    <w:p>
      <w:pPr>
        <w:ind w:right="240" w:firstLine="284"/>
        <w:spacing w:after="0" w:line="257" w:lineRule="auto"/>
        <w:rPr>
          <w:sz w:val="20"/>
          <w:szCs w:val="20"/>
          <w:color w:val="auto"/>
        </w:rPr>
      </w:pPr>
      <w:r>
        <w:rPr>
          <w:rFonts w:ascii="Arial" w:cs="Arial" w:eastAsia="Arial" w:hAnsi="Arial"/>
          <w:sz w:val="16"/>
          <w:szCs w:val="16"/>
          <w:color w:val="auto"/>
        </w:rPr>
        <w:t>Investments in affiliates which are 50% or less owned by the Company for which the Company exercises significant influence but does not have control are accounted for using the equity method. The Company has investments in equity investments without readily determinable fair values, which represents investments in entities where the Company does not have the ability to significantly influence the operations of the entities.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25" w:name="page26"/>
    <w:bookmarkEnd w:id="25"/>
    <w:p>
      <w:pPr>
        <w:ind w:right="40" w:firstLine="284"/>
        <w:spacing w:after="0" w:line="273" w:lineRule="auto"/>
        <w:rPr>
          <w:sz w:val="20"/>
          <w:szCs w:val="20"/>
          <w:color w:val="auto"/>
        </w:rPr>
      </w:pPr>
      <w:r>
        <w:rPr>
          <w:rFonts w:ascii="Arial" w:cs="Arial" w:eastAsia="Arial" w:hAnsi="Arial"/>
          <w:sz w:val="15"/>
          <w:szCs w:val="15"/>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March 31, 2022 and December 31, 2021 and will be performed as of each subsequent reporting date. After each of these assessments, the Company concluded that the activities that most significantly impact TPI’s economic performance are the growth, marketing, sale, and distribution of products using TPI’s technology and IP, each of which are solely directed by TPI. Based on our consideration of these assessments, the Company concluded that the Company’s investment in TPI should be accounted for under the equity method.</w:t>
      </w:r>
    </w:p>
    <w:p>
      <w:pPr>
        <w:spacing w:after="0" w:line="154" w:lineRule="exact"/>
        <w:rPr>
          <w:sz w:val="20"/>
          <w:szCs w:val="20"/>
          <w:color w:val="auto"/>
        </w:rPr>
      </w:pPr>
    </w:p>
    <w:p>
      <w:pPr>
        <w:ind w:right="300" w:firstLine="284"/>
        <w:spacing w:after="0" w:line="268" w:lineRule="auto"/>
        <w:rPr>
          <w:sz w:val="20"/>
          <w:szCs w:val="20"/>
          <w:color w:val="auto"/>
        </w:rPr>
      </w:pPr>
      <w:r>
        <w:rPr>
          <w:rFonts w:ascii="Arial" w:cs="Arial" w:eastAsia="Arial" w:hAnsi="Arial"/>
          <w:sz w:val="16"/>
          <w:szCs w:val="16"/>
          <w:color w:val="auto"/>
        </w:rPr>
        <w:t>The carrying value of the Company’s investment in TPI was $0 as of March 31, 2022 and December 31, 2021. The Company did not recognize revenue from TPI for the three months ended March 31, 2022 and March 31, 2021.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98" w:lineRule="exact"/>
        <w:rPr>
          <w:sz w:val="20"/>
          <w:szCs w:val="20"/>
          <w:color w:val="auto"/>
        </w:rPr>
      </w:pPr>
    </w:p>
    <w:p>
      <w:pPr>
        <w:ind w:right="140" w:firstLine="284"/>
        <w:spacing w:after="0" w:line="276" w:lineRule="auto"/>
        <w:rPr>
          <w:sz w:val="20"/>
          <w:szCs w:val="20"/>
          <w:color w:val="auto"/>
        </w:rPr>
      </w:pPr>
      <w:r>
        <w:rPr>
          <w:rFonts w:ascii="Arial" w:cs="Arial" w:eastAsia="Arial" w:hAnsi="Arial"/>
          <w:sz w:val="15"/>
          <w:szCs w:val="15"/>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53" w:lineRule="exact"/>
        <w:rPr>
          <w:sz w:val="20"/>
          <w:szCs w:val="20"/>
          <w:color w:val="auto"/>
        </w:rPr>
      </w:pPr>
    </w:p>
    <w:p>
      <w:pPr>
        <w:ind w:firstLine="284"/>
        <w:spacing w:after="0" w:line="288" w:lineRule="auto"/>
        <w:rPr>
          <w:sz w:val="20"/>
          <w:szCs w:val="20"/>
          <w:color w:val="auto"/>
        </w:rPr>
      </w:pPr>
      <w:r>
        <w:rPr>
          <w:rFonts w:ascii="Arial" w:cs="Arial" w:eastAsia="Arial" w:hAnsi="Arial"/>
          <w:sz w:val="14"/>
          <w:szCs w:val="14"/>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condensed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March 31, 2022, tax years 2016 through 2021 remain open for IRS audit. The Company has received no notice of audit from the IRS for any of the open tax years.</w:t>
      </w:r>
    </w:p>
    <w:p>
      <w:pPr>
        <w:spacing w:after="0" w:line="150" w:lineRule="exact"/>
        <w:rPr>
          <w:sz w:val="20"/>
          <w:szCs w:val="20"/>
          <w:color w:val="auto"/>
        </w:rPr>
      </w:pPr>
    </w:p>
    <w:p>
      <w:pPr>
        <w:ind w:firstLine="284"/>
        <w:spacing w:after="0" w:line="253" w:lineRule="auto"/>
        <w:rPr>
          <w:sz w:val="20"/>
          <w:szCs w:val="20"/>
          <w:color w:val="auto"/>
        </w:rPr>
      </w:pPr>
      <w:r>
        <w:rPr>
          <w:rFonts w:ascii="Arial" w:cs="Arial" w:eastAsia="Arial" w:hAnsi="Arial"/>
          <w:sz w:val="16"/>
          <w:szCs w:val="16"/>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(Loss) Per Share</w:t>
      </w:r>
    </w:p>
    <w:p>
      <w:pPr>
        <w:spacing w:after="0" w:line="198" w:lineRule="exact"/>
        <w:rPr>
          <w:sz w:val="20"/>
          <w:szCs w:val="20"/>
          <w:color w:val="auto"/>
        </w:rPr>
      </w:pPr>
    </w:p>
    <w:p>
      <w:pPr>
        <w:ind w:firstLine="315"/>
        <w:spacing w:after="0" w:line="296" w:lineRule="auto"/>
        <w:rPr>
          <w:sz w:val="20"/>
          <w:szCs w:val="20"/>
          <w:color w:val="auto"/>
        </w:rPr>
      </w:pPr>
      <w:r>
        <w:rPr>
          <w:rFonts w:ascii="Arial" w:cs="Arial" w:eastAsia="Arial" w:hAnsi="Arial"/>
          <w:sz w:val="14"/>
          <w:szCs w:val="14"/>
          <w:color w:val="auto"/>
        </w:rPr>
        <w:t>The Company presents basic and diluted net income (loss) per share attributable to Common Stockholders in conformity with the two-class method required for participating securities. We compute basic income (loss) per share by dividing net income (loss) available to Common Stockholders by the weighted-average number of common shares outstanding. Net income (loss) available to Common Stockholders represents net income (loss) attributable to Common Stockholders reduced by the allocation of earnings to participating securities. Diluted income per share adjusts basic income per share for the potentially dilutive impact of stock options and warrants. For periods during which the Company recorded a net loss, diluted net loss per share is equal to basic net loss per share because the effect of dilutive securities outstanding is anti-dilutive.</w:t>
      </w:r>
    </w:p>
    <w:p>
      <w:pPr>
        <w:spacing w:after="0" w:line="143" w:lineRule="exact"/>
        <w:rPr>
          <w:sz w:val="20"/>
          <w:szCs w:val="20"/>
          <w:color w:val="auto"/>
        </w:rPr>
      </w:pPr>
    </w:p>
    <w:p>
      <w:pPr>
        <w:ind w:right="200" w:firstLine="284"/>
        <w:spacing w:after="0" w:line="268" w:lineRule="auto"/>
        <w:rPr>
          <w:sz w:val="20"/>
          <w:szCs w:val="20"/>
          <w:color w:val="auto"/>
        </w:rPr>
      </w:pPr>
      <w:r>
        <w:rPr>
          <w:rFonts w:ascii="Arial" w:cs="Arial" w:eastAsia="Arial" w:hAnsi="Arial"/>
          <w:sz w:val="16"/>
          <w:szCs w:val="16"/>
          <w:color w:val="auto"/>
        </w:rPr>
        <w:t>Net income (loss) per share calculations for all periods have been adjusted to reflect the Reverse Stock Split effected on January 12, 2021. Net income (loss) per share was calculated based on the weighted-average number of Common Stock outstanding.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Note 4 — Recent Accounting Pronouncements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98" w:lineRule="exact"/>
        <w:rPr>
          <w:sz w:val="20"/>
          <w:szCs w:val="20"/>
          <w:color w:val="auto"/>
        </w:rPr>
      </w:pPr>
    </w:p>
    <w:p>
      <w:pPr>
        <w:ind w:right="140" w:firstLine="284"/>
        <w:spacing w:after="0" w:line="251" w:lineRule="auto"/>
        <w:rPr>
          <w:sz w:val="20"/>
          <w:szCs w:val="20"/>
          <w:color w:val="auto"/>
        </w:rPr>
      </w:pPr>
      <w:r>
        <w:rPr>
          <w:rFonts w:ascii="Arial" w:cs="Arial" w:eastAsia="Arial" w:hAnsi="Arial"/>
          <w:sz w:val="16"/>
          <w:szCs w:val="16"/>
          <w:color w:val="auto"/>
        </w:rPr>
        <w:t>In August 2020, the FASB issued Accounting Standards Update (“ASU”) No. 2020-06, Debt - Debt with Conversion and Other Options (Subtopic 470-20) and Derivatives and Hedging - Contracts in Entity’s Own Equity (Subtopic 815-40): Accounting for Convertible Instruments and Contracts in an Entity’s Own Equity. The amendments in ASU No. 2020-06 simplify the complexity associated with applying U.S. GAAP for certain financial instruments with characteristics of liabilities and equity. More specifically, the amendments focus on the guidance for convertible instruments and derivative scope exceptions for contracts in an entity’s own equity. ASU 2020-06 is effective for fiscal years beginning after December 15, 2021, including interim periods within those fiscal years. The adoption of this new accounting guidance had no impact on the Company’s consolidated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Pending Accounting Pronouncements</w:t>
      </w:r>
    </w:p>
    <w:p>
      <w:pPr>
        <w:spacing w:after="0" w:line="198" w:lineRule="exact"/>
        <w:rPr>
          <w:sz w:val="20"/>
          <w:szCs w:val="20"/>
          <w:color w:val="auto"/>
        </w:rPr>
      </w:pPr>
    </w:p>
    <w:p>
      <w:pPr>
        <w:ind w:right="40" w:firstLine="284"/>
        <w:spacing w:after="0" w:line="273" w:lineRule="auto"/>
        <w:rPr>
          <w:sz w:val="20"/>
          <w:szCs w:val="20"/>
          <w:color w:val="auto"/>
        </w:rPr>
      </w:pPr>
      <w:r>
        <w:rPr>
          <w:rFonts w:ascii="Arial" w:cs="Arial" w:eastAsia="Arial" w:hAnsi="Arial"/>
          <w:sz w:val="15"/>
          <w:szCs w:val="15"/>
          <w:color w:val="auto"/>
        </w:rPr>
        <w:t>In June 2016, the FASB issued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in the first quarter of fiscal 2024. The Company is currently evaluating the potential impact of this adoption on its condensed consolidated financial statements and related disclosures.</w:t>
      </w:r>
    </w:p>
    <w:p>
      <w:pPr>
        <w:spacing w:after="0" w:line="154" w:lineRule="exact"/>
        <w:rPr>
          <w:sz w:val="20"/>
          <w:szCs w:val="20"/>
          <w:color w:val="auto"/>
        </w:rPr>
      </w:pPr>
    </w:p>
    <w:p>
      <w:pPr>
        <w:ind w:firstLine="284"/>
        <w:spacing w:after="0" w:line="291" w:lineRule="auto"/>
        <w:rPr>
          <w:sz w:val="20"/>
          <w:szCs w:val="20"/>
          <w:color w:val="auto"/>
        </w:rPr>
      </w:pPr>
      <w:r>
        <w:rPr>
          <w:rFonts w:ascii="Arial" w:cs="Arial" w:eastAsia="Arial" w:hAnsi="Arial"/>
          <w:sz w:val="14"/>
          <w:szCs w:val="14"/>
          <w:color w:val="auto"/>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U.S. GAAP. The amendment in this update is effective for fiscal years beginning after December 15, 2022, including interim periods within those fiscal years. Early adoption is permitted, including adoption in an interim period. The guidance should be applied prospectively to business combinations occurring on or after the effective date of the amendment in this update. The Company is currently evaluating the potential impact of this adoption on its condensed consolidated financial statements and related disclosures.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 does not believe that any other ASU issued but not yet effective, if adopted, will have a material effect on the Company’s future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Revenue and Deferred Revenue</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Revenue</w:t>
      </w:r>
    </w:p>
    <w:p>
      <w:pPr>
        <w:spacing w:after="0" w:line="194" w:lineRule="exact"/>
        <w:rPr>
          <w:sz w:val="20"/>
          <w:szCs w:val="20"/>
          <w:color w:val="auto"/>
        </w:rPr>
      </w:pPr>
    </w:p>
    <w:p>
      <w:pPr>
        <w:ind w:right="520" w:firstLine="284"/>
        <w:spacing w:after="0" w:line="268" w:lineRule="auto"/>
        <w:rPr>
          <w:sz w:val="20"/>
          <w:szCs w:val="20"/>
          <w:color w:val="auto"/>
        </w:rPr>
      </w:pPr>
      <w:r>
        <w:rPr>
          <w:rFonts w:ascii="Arial" w:cs="Arial" w:eastAsia="Arial" w:hAnsi="Arial"/>
          <w:sz w:val="16"/>
          <w:szCs w:val="16"/>
          <w:color w:val="auto"/>
        </w:rPr>
        <w:t>During the three months ended March 31, 2022 and 2021, the Company generated revenue from the following sources: (1) equipment sales, (2) services sales and (3) construction contracts.</w:t>
      </w:r>
    </w:p>
    <w:p>
      <w:pPr>
        <w:spacing w:after="0" w:line="157" w:lineRule="exact"/>
        <w:rPr>
          <w:sz w:val="20"/>
          <w:szCs w:val="20"/>
          <w:color w:val="auto"/>
        </w:rPr>
      </w:pPr>
    </w:p>
    <w:p>
      <w:pPr>
        <w:ind w:right="380" w:firstLine="284"/>
        <w:spacing w:after="0" w:line="311" w:lineRule="auto"/>
        <w:rPr>
          <w:sz w:val="20"/>
          <w:szCs w:val="20"/>
          <w:color w:val="auto"/>
        </w:rPr>
      </w:pPr>
      <w:r>
        <w:rPr>
          <w:rFonts w:ascii="Arial" w:cs="Arial" w:eastAsia="Arial" w:hAnsi="Arial"/>
          <w:sz w:val="14"/>
          <w:szCs w:val="14"/>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27" w:name="page28"/>
    <w:bookmarkEnd w:id="27"/>
    <w:p>
      <w:pPr>
        <w:ind w:right="220" w:firstLine="284"/>
        <w:spacing w:after="0" w:line="253" w:lineRule="auto"/>
        <w:rPr>
          <w:sz w:val="20"/>
          <w:szCs w:val="20"/>
          <w:color w:val="auto"/>
        </w:rPr>
      </w:pPr>
      <w:r>
        <w:rPr>
          <w:rFonts w:ascii="Arial" w:cs="Arial" w:eastAsia="Arial" w:hAnsi="Arial"/>
          <w:sz w:val="16"/>
          <w:szCs w:val="16"/>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Disaggregation of Revenue — </w:t>
      </w:r>
      <w:r>
        <w:rPr>
          <w:rFonts w:ascii="Arial" w:cs="Arial" w:eastAsia="Arial" w:hAnsi="Arial"/>
          <w:sz w:val="16"/>
          <w:szCs w:val="16"/>
          <w:color w:val="auto"/>
        </w:rPr>
        <w:t>The following table provides the Company’s revenue disaggregated by timing of revenue recognition: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Transferred at a point in time</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560" w:type="dxa"/>
            <w:vAlign w:val="bottom"/>
          </w:tcPr>
          <w:p>
            <w:pPr>
              <w:spacing w:after="0"/>
              <w:rPr>
                <w:sz w:val="20"/>
                <w:szCs w:val="20"/>
                <w:color w:val="auto"/>
              </w:rPr>
            </w:pPr>
            <w:r>
              <w:rPr>
                <w:rFonts w:ascii="Arial" w:cs="Arial" w:eastAsia="Arial" w:hAnsi="Arial"/>
                <w:sz w:val="16"/>
                <w:szCs w:val="16"/>
                <w:color w:val="auto"/>
              </w:rPr>
              <w:t>Transferred over time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4"/>
        </w:trPr>
        <w:tc>
          <w:tcPr>
            <w:tcW w:w="85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Total revenue</w:t>
            </w: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vMerge w:val="continue"/>
            <w:shd w:val="clear" w:color="auto" w:fill="CCEEFF"/>
          </w:tcPr>
          <w:p>
            <w:pPr>
              <w:spacing w:after="0"/>
              <w:rPr>
                <w:sz w:val="18"/>
                <w:szCs w:val="18"/>
                <w:color w:val="auto"/>
              </w:rPr>
            </w:pP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26,021</w:t>
            </w:r>
          </w:p>
        </w:tc>
        <w:tc>
          <w:tcPr>
            <w:tcW w:w="420" w:type="dxa"/>
            <w:vAlign w:val="bottom"/>
            <w:gridSpan w:val="2"/>
            <w:shd w:val="clear" w:color="auto" w:fill="CCEEFF"/>
          </w:tcPr>
          <w:p>
            <w:pPr>
              <w:jc w:val="right"/>
              <w:ind w:right="147"/>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7,008</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80" w:firstLine="284"/>
        <w:spacing w:after="0" w:line="253" w:lineRule="auto"/>
        <w:rPr>
          <w:sz w:val="20"/>
          <w:szCs w:val="20"/>
          <w:color w:val="auto"/>
        </w:rPr>
      </w:pPr>
      <w:r>
        <w:rPr>
          <w:rFonts w:ascii="Arial" w:cs="Arial" w:eastAsia="Arial" w:hAnsi="Arial"/>
          <w:sz w:val="16"/>
          <w:szCs w:val="16"/>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0" w:lineRule="exact"/>
        <w:rPr>
          <w:sz w:val="20"/>
          <w:szCs w:val="20"/>
          <w:color w:val="auto"/>
        </w:rPr>
      </w:pPr>
    </w:p>
    <w:p>
      <w:pPr>
        <w:ind w:right="40" w:firstLine="284"/>
        <w:spacing w:after="0" w:line="252" w:lineRule="auto"/>
        <w:rPr>
          <w:sz w:val="20"/>
          <w:szCs w:val="20"/>
          <w:color w:val="auto"/>
        </w:rPr>
      </w:pPr>
      <w:r>
        <w:rPr>
          <w:rFonts w:ascii="Arial" w:cs="Arial" w:eastAsia="Arial" w:hAnsi="Arial"/>
          <w:sz w:val="16"/>
          <w:szCs w:val="16"/>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maintains a reserve for warranty returns of $398 thousand for both March 31, 2022 and December 31, 2021. The Company’s reserve for warranty returns is included in accrued expenses and other current liabilities in its condensed consolidated balance sheets.</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Deferred Revenue</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Changes in the Company’s current deferred revenue balance for the three months ended March 31, 2022 and the year ended December 31, 2021 were as follows:</w:t>
      </w:r>
    </w:p>
    <w:p>
      <w:pPr>
        <w:sectPr>
          <w:pgSz w:w="11900" w:h="16838" w:orient="portrait"/>
          <w:cols w:equalWidth="0" w:num="1">
            <w:col w:w="11260"/>
          </w:cols>
          <w:pgMar w:left="320" w:top="78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Deferred revenue – beginning of period</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Additions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Interest income on deferred revenue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Recognized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 – end of period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85"/>
        <w:spacing w:after="0"/>
        <w:rPr>
          <w:sz w:val="20"/>
          <w:szCs w:val="20"/>
          <w:color w:val="auto"/>
        </w:rPr>
      </w:pPr>
      <w:r>
        <w:rPr>
          <w:rFonts w:ascii="Arial" w:cs="Arial" w:eastAsia="Arial" w:hAnsi="Arial"/>
          <w:sz w:val="16"/>
          <w:szCs w:val="16"/>
          <w:b w:val="1"/>
          <w:bCs w:val="1"/>
          <w:color w:val="auto"/>
        </w:rPr>
        <w:t>Three Months</w:t>
      </w:r>
    </w:p>
    <w:p>
      <w:pPr>
        <w:spacing w:after="0" w:line="20" w:lineRule="exact"/>
        <w:rPr>
          <w:sz w:val="20"/>
          <w:szCs w:val="20"/>
          <w:color w:val="auto"/>
        </w:rPr>
      </w:pPr>
    </w:p>
    <w:p>
      <w:pPr>
        <w:ind w:left="365"/>
        <w:spacing w:after="0"/>
        <w:rPr>
          <w:sz w:val="20"/>
          <w:szCs w:val="20"/>
          <w:color w:val="auto"/>
        </w:rPr>
      </w:pPr>
      <w:r>
        <w:rPr>
          <w:rFonts w:ascii="Arial" w:cs="Arial" w:eastAsia="Arial" w:hAnsi="Arial"/>
          <w:sz w:val="16"/>
          <w:szCs w:val="16"/>
          <w:b w:val="1"/>
          <w:bCs w:val="1"/>
          <w:color w:val="auto"/>
        </w:rPr>
        <w:t>ended</w:t>
      </w:r>
    </w:p>
    <w:p>
      <w:pPr>
        <w:spacing w:after="0" w:line="5" w:lineRule="exact"/>
        <w:rPr>
          <w:sz w:val="20"/>
          <w:szCs w:val="20"/>
          <w:color w:val="auto"/>
        </w:rPr>
      </w:pPr>
    </w:p>
    <w:p>
      <w:pPr>
        <w:ind w:left="205"/>
        <w:spacing w:after="0"/>
        <w:rPr>
          <w:sz w:val="20"/>
          <w:szCs w:val="20"/>
          <w:color w:val="auto"/>
        </w:rPr>
      </w:pPr>
      <w:r>
        <w:rPr>
          <w:rFonts w:ascii="Arial" w:cs="Arial" w:eastAsia="Arial" w:hAnsi="Arial"/>
          <w:sz w:val="16"/>
          <w:szCs w:val="16"/>
          <w:b w:val="1"/>
          <w:bCs w:val="1"/>
          <w:color w:val="auto"/>
        </w:rPr>
        <w:t>March 31,</w:t>
      </w:r>
    </w:p>
    <w:p>
      <w:pPr>
        <w:spacing w:after="0" w:line="5" w:lineRule="exact"/>
        <w:rPr>
          <w:sz w:val="20"/>
          <w:szCs w:val="20"/>
          <w:color w:val="auto"/>
        </w:rPr>
      </w:pPr>
    </w:p>
    <w:p>
      <w:pPr>
        <w:ind w:left="405"/>
        <w:spacing w:after="0"/>
        <w:rPr>
          <w:sz w:val="20"/>
          <w:szCs w:val="20"/>
          <w:color w:val="auto"/>
        </w:rPr>
      </w:pP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-5511800</wp:posOffset>
            </wp:positionH>
            <wp:positionV relativeFrom="paragraph">
              <wp:posOffset>4445</wp:posOffset>
            </wp:positionV>
            <wp:extent cx="7149465" cy="135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ind w:left="785" w:hanging="785"/>
        <w:spacing w:after="0"/>
        <w:tabs>
          <w:tab w:leader="none" w:pos="785" w:val="left"/>
        </w:tabs>
        <w:numPr>
          <w:ilvl w:val="0"/>
          <w:numId w:val="14"/>
        </w:numPr>
        <w:rPr>
          <w:rFonts w:ascii="Arial" w:cs="Arial" w:eastAsia="Arial" w:hAnsi="Arial"/>
          <w:sz w:val="15"/>
          <w:szCs w:val="15"/>
          <w:color w:val="auto"/>
        </w:rPr>
      </w:pPr>
      <w:r>
        <w:rPr>
          <w:rFonts w:ascii="Arial" w:cs="Arial" w:eastAsia="Arial" w:hAnsi="Arial"/>
          <w:sz w:val="15"/>
          <w:szCs w:val="15"/>
          <w:color w:val="auto"/>
        </w:rPr>
        <w:t>3,772</w:t>
      </w:r>
    </w:p>
    <w:p>
      <w:pPr>
        <w:spacing w:after="0" w:line="27" w:lineRule="exact"/>
        <w:rPr>
          <w:rFonts w:ascii="Arial" w:cs="Arial" w:eastAsia="Arial" w:hAnsi="Arial"/>
          <w:sz w:val="15"/>
          <w:szCs w:val="15"/>
          <w:color w:val="auto"/>
        </w:rPr>
      </w:pPr>
    </w:p>
    <w:p>
      <w:pPr>
        <w:ind w:left="785"/>
        <w:spacing w:after="0"/>
        <w:rPr>
          <w:rFonts w:ascii="Arial" w:cs="Arial" w:eastAsia="Arial" w:hAnsi="Arial"/>
          <w:sz w:val="15"/>
          <w:szCs w:val="15"/>
          <w:color w:val="auto"/>
        </w:rPr>
      </w:pPr>
      <w:r>
        <w:rPr>
          <w:rFonts w:ascii="Arial" w:cs="Arial" w:eastAsia="Arial" w:hAnsi="Arial"/>
          <w:sz w:val="15"/>
          <w:szCs w:val="15"/>
          <w:color w:val="auto"/>
        </w:rPr>
        <w:t>5,089</w:t>
      </w:r>
    </w:p>
    <w:p>
      <w:pPr>
        <w:spacing w:after="0" w:line="16" w:lineRule="exact"/>
        <w:rPr>
          <w:rFonts w:ascii="Arial" w:cs="Arial" w:eastAsia="Arial" w:hAnsi="Arial"/>
          <w:sz w:val="15"/>
          <w:szCs w:val="15"/>
          <w:color w:val="auto"/>
        </w:rPr>
      </w:pPr>
    </w:p>
    <w:p>
      <w:pPr>
        <w:ind w:left="985"/>
        <w:spacing w:after="0"/>
        <w:rPr>
          <w:rFonts w:ascii="Arial" w:cs="Arial" w:eastAsia="Arial" w:hAnsi="Arial"/>
          <w:sz w:val="15"/>
          <w:szCs w:val="15"/>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-5511800</wp:posOffset>
            </wp:positionH>
            <wp:positionV relativeFrom="paragraph">
              <wp:posOffset>-115570</wp:posOffset>
            </wp:positionV>
            <wp:extent cx="7149465"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(4,679)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-5511800</wp:posOffset>
            </wp:positionH>
            <wp:positionV relativeFrom="paragraph">
              <wp:posOffset>11430</wp:posOffset>
            </wp:positionV>
            <wp:extent cx="7149465" cy="165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65100"/>
                    </a:xfrm>
                    <a:prstGeom prst="rect">
                      <a:avLst/>
                    </a:prstGeom>
                    <a:noFill/>
                  </pic:spPr>
                </pic:pic>
              </a:graphicData>
            </a:graphic>
          </wp:anchor>
        </w:drawing>
      </w:r>
    </w:p>
    <w:p>
      <w:pPr>
        <w:spacing w:after="0" w:line="33" w:lineRule="exact"/>
        <w:rPr>
          <w:sz w:val="20"/>
          <w:szCs w:val="20"/>
          <w:color w:val="auto"/>
        </w:rPr>
      </w:pPr>
    </w:p>
    <w:p>
      <w:pPr>
        <w:ind w:left="785" w:hanging="785"/>
        <w:spacing w:after="0"/>
        <w:tabs>
          <w:tab w:leader="none" w:pos="785" w:val="left"/>
        </w:tabs>
        <w:numPr>
          <w:ilvl w:val="0"/>
          <w:numId w:val="15"/>
        </w:numPr>
        <w:rPr>
          <w:rFonts w:ascii="Arial" w:cs="Arial" w:eastAsia="Arial" w:hAnsi="Arial"/>
          <w:sz w:val="15"/>
          <w:szCs w:val="15"/>
          <w:color w:val="auto"/>
        </w:rPr>
      </w:pPr>
      <w:r>
        <w:rPr>
          <w:rFonts w:ascii="Arial" w:cs="Arial" w:eastAsia="Arial" w:hAnsi="Arial"/>
          <w:sz w:val="15"/>
          <w:szCs w:val="15"/>
          <w:color w:val="auto"/>
        </w:rPr>
        <w:t>4,182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2072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72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155"/>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p>
    <w:p>
      <w:pPr>
        <w:ind w:left="405" w:right="220" w:hanging="320"/>
        <w:spacing w:after="0" w:line="271" w:lineRule="auto"/>
        <w:rPr>
          <w:sz w:val="20"/>
          <w:szCs w:val="20"/>
          <w:color w:val="auto"/>
        </w:rPr>
      </w:pPr>
      <w:r>
        <w:rPr>
          <w:rFonts w:ascii="Arial" w:cs="Arial" w:eastAsia="Arial" w:hAnsi="Arial"/>
          <w:sz w:val="15"/>
          <w:szCs w:val="15"/>
          <w:b w:val="1"/>
          <w:bCs w:val="1"/>
          <w:color w:val="auto"/>
        </w:rPr>
        <w:t>December 31, 2021</w:t>
      </w:r>
    </w:p>
    <w:p>
      <w:pPr>
        <w:spacing w:after="0" w:line="1" w:lineRule="exact"/>
        <w:rPr>
          <w:sz w:val="20"/>
          <w:szCs w:val="20"/>
          <w:color w:val="auto"/>
        </w:rPr>
      </w:pPr>
    </w:p>
    <w:p>
      <w:pPr>
        <w:ind w:left="885" w:hanging="885"/>
        <w:spacing w:after="0"/>
        <w:tabs>
          <w:tab w:leader="none" w:pos="8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152</w:t>
      </w:r>
    </w:p>
    <w:p>
      <w:pPr>
        <w:spacing w:after="0" w:line="16" w:lineRule="exact"/>
        <w:rPr>
          <w:rFonts w:ascii="Arial" w:cs="Arial" w:eastAsia="Arial" w:hAnsi="Arial"/>
          <w:sz w:val="16"/>
          <w:szCs w:val="16"/>
          <w:color w:val="auto"/>
        </w:rPr>
      </w:pPr>
    </w:p>
    <w:p>
      <w:pPr>
        <w:ind w:left="765"/>
        <w:spacing w:after="0"/>
        <w:rPr>
          <w:rFonts w:ascii="Arial" w:cs="Arial" w:eastAsia="Arial" w:hAnsi="Arial"/>
          <w:sz w:val="16"/>
          <w:szCs w:val="16"/>
          <w:color w:val="auto"/>
        </w:rPr>
      </w:pPr>
      <w:r>
        <w:rPr>
          <w:rFonts w:ascii="Arial" w:cs="Arial" w:eastAsia="Arial" w:hAnsi="Arial"/>
          <w:sz w:val="15"/>
          <w:szCs w:val="15"/>
          <w:color w:val="auto"/>
        </w:rPr>
        <w:t>3,758</w:t>
      </w:r>
    </w:p>
    <w:p>
      <w:pPr>
        <w:spacing w:after="0" w:line="1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4</w:t>
      </w:r>
    </w:p>
    <w:p>
      <w:pPr>
        <w:spacing w:after="0" w:line="5" w:lineRule="exact"/>
        <w:rPr>
          <w:rFonts w:ascii="Arial" w:cs="Arial" w:eastAsia="Arial" w:hAnsi="Arial"/>
          <w:sz w:val="16"/>
          <w:szCs w:val="16"/>
          <w:color w:val="auto"/>
        </w:rPr>
      </w:pPr>
    </w:p>
    <w:p>
      <w:pPr>
        <w:ind w:left="825"/>
        <w:spacing w:after="0"/>
        <w:rPr>
          <w:rFonts w:ascii="Arial" w:cs="Arial" w:eastAsia="Arial" w:hAnsi="Arial"/>
          <w:sz w:val="16"/>
          <w:szCs w:val="16"/>
          <w:color w:val="auto"/>
        </w:rPr>
      </w:pPr>
      <w:r>
        <w:rPr>
          <w:rFonts w:ascii="Arial" w:cs="Arial" w:eastAsia="Arial" w:hAnsi="Arial"/>
          <w:sz w:val="14"/>
          <w:szCs w:val="14"/>
          <w:color w:val="auto"/>
        </w:rPr>
        <w:t>(142)</w:t>
      </w:r>
    </w:p>
    <w:p>
      <w:pPr>
        <w:spacing w:after="0" w:line="76" w:lineRule="exact"/>
        <w:rPr>
          <w:sz w:val="20"/>
          <w:szCs w:val="20"/>
          <w:color w:val="auto"/>
        </w:rPr>
      </w:pPr>
    </w:p>
    <w:p>
      <w:pPr>
        <w:ind w:left="765" w:hanging="765"/>
        <w:spacing w:after="0"/>
        <w:tabs>
          <w:tab w:leader="none" w:pos="765" w:val="left"/>
        </w:tabs>
        <w:numPr>
          <w:ilvl w:val="0"/>
          <w:numId w:val="17"/>
        </w:numPr>
        <w:rPr>
          <w:rFonts w:ascii="Arial" w:cs="Arial" w:eastAsia="Arial" w:hAnsi="Arial"/>
          <w:sz w:val="15"/>
          <w:szCs w:val="15"/>
          <w:color w:val="auto"/>
        </w:rPr>
      </w:pPr>
      <w:r>
        <w:rPr>
          <w:rFonts w:ascii="Arial" w:cs="Arial" w:eastAsia="Arial" w:hAnsi="Arial"/>
          <w:sz w:val="15"/>
          <w:szCs w:val="15"/>
          <w:color w:val="auto"/>
        </w:rPr>
        <w:t>3,772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0612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12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955" w:space="720"/>
            <w:col w:w="1185" w:space="175"/>
            <w:col w:w="1225"/>
          </w:cols>
          <w:pgMar w:left="320" w:top="789" w:right="319" w:bottom="1440" w:gutter="0" w:footer="0" w:header="0"/>
          <w:type w:val="continuous"/>
        </w:sectPr>
      </w:pPr>
    </w:p>
    <w:p>
      <w:pPr>
        <w:spacing w:after="0" w:line="65" w:lineRule="exact"/>
        <w:rPr>
          <w:sz w:val="20"/>
          <w:szCs w:val="20"/>
          <w:color w:val="auto"/>
        </w:rPr>
      </w:pPr>
    </w:p>
    <w:p>
      <w:pPr>
        <w:ind w:right="20" w:firstLine="284"/>
        <w:spacing w:after="0" w:line="302" w:lineRule="auto"/>
        <w:rPr>
          <w:sz w:val="20"/>
          <w:szCs w:val="20"/>
          <w:color w:val="auto"/>
        </w:rPr>
      </w:pPr>
      <w:r>
        <w:rPr>
          <w:rFonts w:ascii="Arial" w:cs="Arial" w:eastAsia="Arial" w:hAnsi="Arial"/>
          <w:sz w:val="15"/>
          <w:szCs w:val="15"/>
          <w:color w:val="auto"/>
        </w:rPr>
        <w:t>Deferred revenue balances primarily consist of customer deposits on our cultivation and extraction solutions equipment. As of March 31, 2022 and December 31, 2021, all of the Company’s deferred revenue balances were reported as current liabilities in our accompanying condensed consolidated balance sheets.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Note 6 — Fair Value Measures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Values of Assets and Liabilities</w:t>
      </w:r>
    </w:p>
    <w:p>
      <w:pPr>
        <w:spacing w:after="0" w:line="194" w:lineRule="exact"/>
        <w:rPr>
          <w:sz w:val="20"/>
          <w:szCs w:val="20"/>
          <w:color w:val="auto"/>
        </w:rPr>
      </w:pPr>
    </w:p>
    <w:p>
      <w:pPr>
        <w:ind w:right="20" w:firstLine="284"/>
        <w:spacing w:after="0" w:line="257" w:lineRule="auto"/>
        <w:rPr>
          <w:sz w:val="20"/>
          <w:szCs w:val="20"/>
          <w:color w:val="auto"/>
        </w:rPr>
      </w:pPr>
      <w:r>
        <w:rPr>
          <w:rFonts w:ascii="Arial" w:cs="Arial" w:eastAsia="Arial" w:hAnsi="Arial"/>
          <w:sz w:val="16"/>
          <w:szCs w:val="16"/>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1: Observable inputs such as quoted prices for identical assets or liabilities in active markets.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Level 2: Other inputs that are observable directly or indirectly, such as quoted prices for similar instruments in active markets or for similar markets that are not active.</w:t>
      </w:r>
    </w:p>
    <w:p>
      <w:pPr>
        <w:spacing w:after="0" w:line="217" w:lineRule="exact"/>
        <w:rPr>
          <w:sz w:val="20"/>
          <w:szCs w:val="20"/>
          <w:color w:val="auto"/>
        </w:rPr>
      </w:pPr>
    </w:p>
    <w:p>
      <w:pPr>
        <w:ind w:left="840" w:right="300" w:hanging="567"/>
        <w:spacing w:after="0" w:line="268" w:lineRule="auto"/>
        <w:rPr>
          <w:sz w:val="20"/>
          <w:szCs w:val="20"/>
          <w:color w:val="auto"/>
        </w:rPr>
      </w:pPr>
      <w:r>
        <w:rPr>
          <w:rFonts w:ascii="Arial" w:cs="Arial" w:eastAsia="Arial" w:hAnsi="Arial"/>
          <w:sz w:val="16"/>
          <w:szCs w:val="16"/>
          <w:color w:val="auto"/>
        </w:rPr>
        <w:t>Level 3: Unobservable inputs for which there is little or no market data which require the Company to develop its own assumptions about how market participants would price the asset or liability.</w:t>
      </w:r>
    </w:p>
    <w:p>
      <w:pPr>
        <w:spacing w:after="0" w:line="157" w:lineRule="exact"/>
        <w:rPr>
          <w:sz w:val="20"/>
          <w:szCs w:val="20"/>
          <w:color w:val="auto"/>
        </w:rPr>
      </w:pPr>
    </w:p>
    <w:p>
      <w:pPr>
        <w:ind w:right="140" w:firstLine="284"/>
        <w:spacing w:after="0" w:line="257" w:lineRule="auto"/>
        <w:rPr>
          <w:sz w:val="20"/>
          <w:szCs w:val="20"/>
          <w:color w:val="auto"/>
        </w:rPr>
      </w:pPr>
      <w:r>
        <w:rPr>
          <w:rFonts w:ascii="Arial" w:cs="Arial" w:eastAsia="Arial" w:hAnsi="Arial"/>
          <w:sz w:val="16"/>
          <w:szCs w:val="16"/>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At March 31, 2022 and December 31, 2021, the Company’s assets and liabilities measured at fair value on a recurring basis were as follows:</w:t>
      </w:r>
    </w:p>
    <w:p>
      <w:pPr>
        <w:sectPr>
          <w:pgSz w:w="11900" w:h="16838" w:orient="portrait"/>
          <w:cols w:equalWidth="0" w:num="1">
            <w:col w:w="11260"/>
          </w:cols>
          <w:pgMar w:left="320" w:top="785" w:right="319" w:bottom="1440" w:gutter="0" w:footer="0" w:header="0"/>
        </w:sectPr>
      </w:pPr>
    </w:p>
    <w:p>
      <w:pPr>
        <w:spacing w:after="0" w:line="202" w:lineRule="exact"/>
        <w:rPr>
          <w:sz w:val="20"/>
          <w:szCs w:val="20"/>
          <w:color w:val="auto"/>
        </w:rPr>
      </w:pPr>
    </w:p>
    <w:p>
      <w:pPr>
        <w:jc w:val="center"/>
        <w:ind w:left="3880"/>
        <w:spacing w:after="0"/>
        <w:rPr>
          <w:sz w:val="20"/>
          <w:szCs w:val="20"/>
          <w:color w:val="auto"/>
        </w:rPr>
      </w:pPr>
      <w:r>
        <w:rPr>
          <w:rFonts w:ascii="Arial" w:cs="Arial" w:eastAsia="Arial" w:hAnsi="Arial"/>
          <w:sz w:val="16"/>
          <w:szCs w:val="16"/>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13970</wp:posOffset>
            </wp:positionV>
            <wp:extent cx="23729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72995" cy="15240"/>
                    </a:xfrm>
                    <a:prstGeom prst="rect">
                      <a:avLst/>
                    </a:prstGeom>
                    <a:noFill/>
                  </pic:spPr>
                </pic:pic>
              </a:graphicData>
            </a:graphic>
          </wp:anchor>
        </w:drawing>
      </w:r>
    </w:p>
    <w:p>
      <w:pPr>
        <w:spacing w:after="0" w:line="9" w:lineRule="exact"/>
        <w:rPr>
          <w:sz w:val="20"/>
          <w:szCs w:val="20"/>
          <w:color w:val="auto"/>
        </w:rPr>
      </w:pPr>
    </w:p>
    <w:p>
      <w:pPr>
        <w:jc w:val="center"/>
        <w:ind w:left="3880"/>
        <w:spacing w:after="0"/>
        <w:rPr>
          <w:sz w:val="20"/>
          <w:szCs w:val="20"/>
          <w:color w:val="auto"/>
        </w:rPr>
      </w:pPr>
      <w:r>
        <w:rPr>
          <w:rFonts w:ascii="Arial" w:cs="Arial" w:eastAsia="Arial" w:hAnsi="Arial"/>
          <w:sz w:val="14"/>
          <w:szCs w:val="14"/>
          <w:b w:val="1"/>
          <w:bCs w:val="1"/>
          <w:color w:val="auto"/>
        </w:rPr>
        <w:t>Fair Value Measurements Using Input Types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13970</wp:posOffset>
            </wp:positionV>
            <wp:extent cx="23729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72995" cy="15240"/>
                    </a:xfrm>
                    <a:prstGeom prst="rect">
                      <a:avLst/>
                    </a:prstGeom>
                    <a:noFill/>
                  </pic:spPr>
                </pic:pic>
              </a:graphicData>
            </a:graphic>
          </wp:anchor>
        </w:drawing>
      </w:r>
    </w:p>
    <w:p>
      <w:pPr>
        <w:spacing w:after="0" w:line="9"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Fair Value Measurements Using Input Types</w:t>
      </w:r>
    </w:p>
    <w:p>
      <w:pPr>
        <w:spacing w:after="0" w:line="43" w:lineRule="exact"/>
        <w:rPr>
          <w:sz w:val="20"/>
          <w:szCs w:val="20"/>
          <w:color w:val="auto"/>
        </w:rPr>
      </w:pPr>
    </w:p>
    <w:p>
      <w:pPr>
        <w:sectPr>
          <w:pgSz w:w="11900" w:h="16838" w:orient="portrait"/>
          <w:cols w:equalWidth="0" w:num="2">
            <w:col w:w="7120" w:space="720"/>
            <w:col w:w="3420"/>
          </w:cols>
          <w:pgMar w:left="320" w:top="785" w:right="3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6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b w:val="1"/>
                <w:bCs w:val="1"/>
                <w:color w:val="auto"/>
                <w:w w:val="95"/>
              </w:rPr>
              <w:t>Level 1</w:t>
            </w: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Level 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b w:val="1"/>
                <w:bCs w:val="1"/>
                <w:color w:val="auto"/>
                <w:w w:val="95"/>
              </w:rPr>
              <w:t>Level 1</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Level 2</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95"/>
              </w:rPr>
              <w:t>Level 3</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Total</w:t>
            </w:r>
          </w:p>
        </w:tc>
      </w:tr>
      <w:tr>
        <w:trPr>
          <w:trHeight w:val="189"/>
        </w:trPr>
        <w:tc>
          <w:tcPr>
            <w:tcW w:w="20" w:type="dxa"/>
            <w:vAlign w:val="bottom"/>
          </w:tcPr>
          <w:p>
            <w:pPr>
              <w:spacing w:after="0"/>
              <w:rPr>
                <w:sz w:val="16"/>
                <w:szCs w:val="16"/>
                <w:color w:val="auto"/>
              </w:rPr>
            </w:pPr>
          </w:p>
        </w:tc>
        <w:tc>
          <w:tcPr>
            <w:tcW w:w="36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Assets:</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Mutual funds (included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43,528</w:t>
            </w:r>
          </w:p>
        </w:tc>
        <w:tc>
          <w:tcPr>
            <w:tcW w:w="740" w:type="dxa"/>
            <w:vAlign w:val="bottom"/>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43,528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178</w:t>
            </w:r>
          </w:p>
        </w:tc>
        <w:tc>
          <w:tcPr>
            <w:tcW w:w="740" w:type="dxa"/>
            <w:vAlign w:val="bottom"/>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189"/>
        </w:trPr>
        <w:tc>
          <w:tcPr>
            <w:tcW w:w="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16"/>
                <w:szCs w:val="16"/>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19,306</w:t>
            </w:r>
          </w:p>
        </w:tc>
        <w:tc>
          <w:tcPr>
            <w:tcW w:w="740" w:type="dxa"/>
            <w:vAlign w:val="bottom"/>
          </w:tcPr>
          <w:p>
            <w:pPr>
              <w:spacing w:after="0"/>
              <w:rPr>
                <w:sz w:val="16"/>
                <w:szCs w:val="16"/>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19,306</w:t>
            </w:r>
          </w:p>
        </w:tc>
        <w:tc>
          <w:tcPr>
            <w:tcW w:w="140" w:type="dxa"/>
            <w:vAlign w:val="bottom"/>
          </w:tcPr>
          <w:p>
            <w:pPr>
              <w:spacing w:after="0"/>
              <w:rPr>
                <w:sz w:val="16"/>
                <w:szCs w:val="16"/>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9,961</w:t>
            </w:r>
          </w:p>
        </w:tc>
        <w:tc>
          <w:tcPr>
            <w:tcW w:w="740" w:type="dxa"/>
            <w:vAlign w:val="bottom"/>
          </w:tcPr>
          <w:p>
            <w:pPr>
              <w:spacing w:after="0"/>
              <w:rPr>
                <w:sz w:val="16"/>
                <w:szCs w:val="16"/>
                <w:color w:val="auto"/>
              </w:rPr>
            </w:pP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9,961</w:t>
            </w:r>
          </w:p>
        </w:tc>
      </w:tr>
      <w:tr>
        <w:trPr>
          <w:trHeight w:val="201"/>
        </w:trPr>
        <w:tc>
          <w:tcPr>
            <w:tcW w:w="20" w:type="dxa"/>
            <w:vAlign w:val="bottom"/>
          </w:tcPr>
          <w:p>
            <w:pPr>
              <w:spacing w:after="0"/>
              <w:rPr>
                <w:sz w:val="17"/>
                <w:szCs w:val="17"/>
                <w:color w:val="auto"/>
              </w:rPr>
            </w:pPr>
          </w:p>
        </w:tc>
        <w:tc>
          <w:tcPr>
            <w:tcW w:w="3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18,905</w:t>
            </w:r>
          </w:p>
        </w:tc>
        <w:tc>
          <w:tcPr>
            <w:tcW w:w="7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18,905</w:t>
            </w:r>
          </w:p>
        </w:tc>
        <w:tc>
          <w:tcPr>
            <w:tcW w:w="1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34,589</w:t>
            </w:r>
          </w:p>
        </w:tc>
        <w:tc>
          <w:tcPr>
            <w:tcW w:w="7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34,589</w:t>
            </w:r>
          </w:p>
        </w:tc>
      </w:tr>
      <w:tr>
        <w:trPr>
          <w:trHeight w:val="24"/>
        </w:trPr>
        <w:tc>
          <w:tcPr>
            <w:tcW w:w="20" w:type="dxa"/>
            <w:vAlign w:val="bottom"/>
          </w:tcPr>
          <w:p>
            <w:pPr>
              <w:spacing w:after="0"/>
              <w:rPr>
                <w:sz w:val="2"/>
                <w:szCs w:val="2"/>
                <w:color w:val="auto"/>
              </w:rPr>
            </w:pPr>
          </w:p>
        </w:tc>
        <w:tc>
          <w:tcPr>
            <w:tcW w:w="36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620" w:type="dxa"/>
            <w:vAlign w:val="bottom"/>
          </w:tcPr>
          <w:p>
            <w:pPr>
              <w:ind w:left="120"/>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81,739</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81,739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44,728</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44,728</w:t>
            </w:r>
          </w:p>
        </w:tc>
      </w:tr>
      <w:tr>
        <w:trPr>
          <w:trHeight w:val="185"/>
        </w:trPr>
        <w:tc>
          <w:tcPr>
            <w:tcW w:w="20" w:type="dxa"/>
            <w:vAlign w:val="bottom"/>
          </w:tcPr>
          <w:p>
            <w:pPr>
              <w:spacing w:after="0"/>
              <w:rPr>
                <w:sz w:val="16"/>
                <w:szCs w:val="16"/>
                <w:color w:val="auto"/>
              </w:rPr>
            </w:pPr>
          </w:p>
        </w:tc>
        <w:tc>
          <w:tcPr>
            <w:tcW w:w="36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7,557</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7,557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6,137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6,137</w:t>
            </w:r>
          </w:p>
        </w:tc>
      </w:tr>
      <w:tr>
        <w:trPr>
          <w:trHeight w:val="201"/>
        </w:trPr>
        <w:tc>
          <w:tcPr>
            <w:tcW w:w="20" w:type="dxa"/>
            <w:vAlign w:val="bottom"/>
          </w:tcPr>
          <w:p>
            <w:pPr>
              <w:spacing w:after="0"/>
              <w:rPr>
                <w:sz w:val="17"/>
                <w:szCs w:val="17"/>
                <w:color w:val="auto"/>
              </w:rPr>
            </w:pPr>
          </w:p>
        </w:tc>
        <w:tc>
          <w:tcPr>
            <w:tcW w:w="3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Warrant liabilities</w:t>
            </w:r>
          </w:p>
        </w:tc>
        <w:tc>
          <w:tcPr>
            <w:tcW w:w="1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29,711</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29,711</w:t>
            </w:r>
          </w:p>
        </w:tc>
        <w:tc>
          <w:tcPr>
            <w:tcW w:w="14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
        </w:trPr>
        <w:tc>
          <w:tcPr>
            <w:tcW w:w="20" w:type="dxa"/>
            <w:vAlign w:val="bottom"/>
          </w:tcPr>
          <w:p>
            <w:pPr>
              <w:spacing w:after="0"/>
              <w:rPr>
                <w:sz w:val="2"/>
                <w:szCs w:val="2"/>
                <w:color w:val="auto"/>
              </w:rPr>
            </w:pPr>
          </w:p>
        </w:tc>
        <w:tc>
          <w:tcPr>
            <w:tcW w:w="36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6"/>
                <w:szCs w:val="16"/>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37,268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37,268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6,137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6,137</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567"/>
        </w:trPr>
        <w:tc>
          <w:tcPr>
            <w:tcW w:w="20" w:type="dxa"/>
            <w:vAlign w:val="bottom"/>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78"/>
              </w:rPr>
              <w:t>26</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5" w:right="3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94" w:lineRule="exact"/>
        <w:rPr>
          <w:sz w:val="20"/>
          <w:szCs w:val="20"/>
          <w:color w:val="auto"/>
        </w:rPr>
      </w:pPr>
    </w:p>
    <w:p>
      <w:pPr>
        <w:ind w:right="60" w:firstLine="284"/>
        <w:spacing w:after="0" w:line="268" w:lineRule="auto"/>
        <w:rPr>
          <w:sz w:val="20"/>
          <w:szCs w:val="20"/>
          <w:color w:val="auto"/>
        </w:rPr>
      </w:pPr>
      <w:r>
        <w:rPr>
          <w:rFonts w:ascii="Arial" w:cs="Arial" w:eastAsia="Arial" w:hAnsi="Arial"/>
          <w:sz w:val="16"/>
          <w:szCs w:val="16"/>
          <w:color w:val="auto"/>
        </w:rPr>
        <w:t>The Company has certain financial instruments which consist of cash and cash equivalents, marketable securities, contingent consideration, and warrant liabilities. Fair value information for each of these instruments is as follows:</w:t>
      </w:r>
    </w:p>
    <w:p>
      <w:pPr>
        <w:spacing w:after="0" w:line="157" w:lineRule="exact"/>
        <w:rPr>
          <w:sz w:val="20"/>
          <w:szCs w:val="20"/>
          <w:color w:val="auto"/>
        </w:rPr>
      </w:pPr>
    </w:p>
    <w:p>
      <w:pPr>
        <w:ind w:left="560" w:right="400" w:hanging="282"/>
        <w:spacing w:after="0" w:line="268" w:lineRule="auto"/>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Cash and cash equivalents, accounts receivable, accounts payable and deferred revenue liabilities fair values approximate their carrying values, due to the expected duration of these instruments.</w:t>
      </w:r>
    </w:p>
    <w:p>
      <w:pPr>
        <w:spacing w:after="0" w:line="156" w:lineRule="exact"/>
        <w:rPr>
          <w:rFonts w:ascii="Arial" w:cs="Arial" w:eastAsia="Arial" w:hAnsi="Arial"/>
          <w:sz w:val="16"/>
          <w:szCs w:val="16"/>
          <w:color w:val="auto"/>
        </w:rPr>
      </w:pPr>
    </w:p>
    <w:p>
      <w:pPr>
        <w:ind w:left="560" w:hanging="282"/>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Marketable securities classified as current held-to-maturity securities are recorded at amortized cost, which at March 31, 2022, approximated fair value.</w:t>
      </w:r>
    </w:p>
    <w:p>
      <w:pPr>
        <w:spacing w:after="0" w:line="194" w:lineRule="exact"/>
        <w:rPr>
          <w:rFonts w:ascii="Arial" w:cs="Arial" w:eastAsia="Arial" w:hAnsi="Arial"/>
          <w:sz w:val="16"/>
          <w:szCs w:val="16"/>
          <w:color w:val="auto"/>
        </w:rPr>
      </w:pPr>
    </w:p>
    <w:p>
      <w:pPr>
        <w:ind w:left="560" w:right="20" w:hanging="282"/>
        <w:spacing w:after="0" w:line="257" w:lineRule="auto"/>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Company’s deferred consideration was recorded in connection with acquisitions during the three months ended March 31, 2022 and fiscal 2021 using an estimated fair value discount at the time of the transaction. As of March 31, 2022 and December 31, 2021, the carrying value of the deferred consideration approximated fair value, respectively.</w:t>
      </w:r>
    </w:p>
    <w:p>
      <w:pPr>
        <w:spacing w:after="0" w:line="165" w:lineRule="exact"/>
        <w:rPr>
          <w:rFonts w:ascii="Arial" w:cs="Arial" w:eastAsia="Arial" w:hAnsi="Arial"/>
          <w:sz w:val="16"/>
          <w:szCs w:val="16"/>
          <w:color w:val="auto"/>
        </w:rPr>
      </w:pPr>
    </w:p>
    <w:p>
      <w:pPr>
        <w:ind w:left="560" w:right="100" w:hanging="282"/>
        <w:spacing w:after="0" w:line="268" w:lineRule="auto"/>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Warrant liabilities were recorded in connection with the issuance of warrants to purchase the Company’s common stock during the three months ended March 31, 2022. As of March 31, 2022, the warrant liabilities were recorded at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Marketable Securities</w:t>
      </w:r>
    </w:p>
    <w:p>
      <w:pPr>
        <w:spacing w:after="0" w:line="194" w:lineRule="exact"/>
        <w:rPr>
          <w:sz w:val="20"/>
          <w:szCs w:val="20"/>
          <w:color w:val="auto"/>
        </w:rPr>
      </w:pPr>
    </w:p>
    <w:p>
      <w:pPr>
        <w:ind w:right="20" w:firstLine="284"/>
        <w:spacing w:after="0" w:line="252" w:lineRule="auto"/>
        <w:rPr>
          <w:sz w:val="20"/>
          <w:szCs w:val="20"/>
          <w:color w:val="auto"/>
        </w:rPr>
      </w:pPr>
      <w:r>
        <w:rPr>
          <w:rFonts w:ascii="Arial" w:cs="Arial" w:eastAsia="Arial" w:hAnsi="Arial"/>
          <w:sz w:val="16"/>
          <w:szCs w:val="16"/>
          <w:color w:val="auto"/>
        </w:rPr>
        <w:t>As of March 31, 2022, the Company held investments in mutual funds, municipal bonds and corporate bonds. The Company records mutual funds at fair value in the accompanying condensed consolidated balance sheet as part of cash and cash equivalents. The municipal and corporate bonds are considered held-to-maturity securities and are recorded at amortized cost in the accompanying condensed consolidated balance sheet. The fair values of these investments were estimated using recently executed transactions and market price quotations. The Company considers current assets those investments which will mature within the next 12 months including, interest receivable on the long-term bonds.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7180" w:type="dxa"/>
            <w:vAlign w:val="bottom"/>
          </w:tcPr>
          <w:p>
            <w:pPr>
              <w:ind w:left="260"/>
              <w:spacing w:after="0"/>
              <w:rPr>
                <w:sz w:val="20"/>
                <w:szCs w:val="20"/>
                <w:color w:val="auto"/>
              </w:rPr>
            </w:pPr>
            <w:r>
              <w:rPr>
                <w:rFonts w:ascii="Arial" w:cs="Arial" w:eastAsia="Arial" w:hAnsi="Arial"/>
                <w:sz w:val="16"/>
                <w:szCs w:val="16"/>
                <w:color w:val="auto"/>
              </w:rPr>
              <w:t>The composition of the Company’s marketable securities are as follows: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321"/>
              <w:spacing w:after="0"/>
              <w:rPr>
                <w:sz w:val="20"/>
                <w:szCs w:val="20"/>
                <w:color w:val="auto"/>
              </w:rPr>
            </w:pPr>
            <w:r>
              <w:rPr>
                <w:rFonts w:ascii="Arial" w:cs="Arial" w:eastAsia="Arial" w:hAnsi="Arial"/>
                <w:sz w:val="16"/>
                <w:szCs w:val="16"/>
                <w:b w:val="1"/>
                <w:bCs w:val="1"/>
                <w:color w:val="auto"/>
                <w:w w:val="97"/>
              </w:rPr>
              <w:t>March 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9"/>
        </w:trPr>
        <w:tc>
          <w:tcPr>
            <w:tcW w:w="72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Current marketable securities:</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Municipal bonds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19,306</w:t>
            </w:r>
          </w:p>
        </w:tc>
        <w:tc>
          <w:tcPr>
            <w:tcW w:w="1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34,589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38,211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6"/>
                <w:szCs w:val="16"/>
                <w:color w:val="auto"/>
                <w:w w:val="92"/>
              </w:rPr>
              <w:t>The amortized cost and estimated fair value of marketable securities as of March 31, 2022, are as follows:</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7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7"/>
              </w:rPr>
              <w:t>Amortized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81"/>
              <w:spacing w:after="0"/>
              <w:rPr>
                <w:sz w:val="20"/>
                <w:szCs w:val="20"/>
                <w:color w:val="auto"/>
              </w:rPr>
            </w:pPr>
            <w:r>
              <w:rPr>
                <w:rFonts w:ascii="Arial" w:cs="Arial" w:eastAsia="Arial" w:hAnsi="Arial"/>
                <w:sz w:val="16"/>
                <w:szCs w:val="16"/>
                <w:b w:val="1"/>
                <w:bCs w:val="1"/>
                <w:color w:val="auto"/>
                <w:w w:val="88"/>
              </w:rPr>
              <w:t>Unrealized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Estimated</w:t>
            </w:r>
          </w:p>
        </w:tc>
        <w:tc>
          <w:tcPr>
            <w:tcW w:w="0" w:type="dxa"/>
            <w:vAlign w:val="bottom"/>
          </w:tcPr>
          <w:p>
            <w:pPr>
              <w:spacing w:after="0"/>
              <w:rPr>
                <w:sz w:val="1"/>
                <w:szCs w:val="1"/>
                <w:color w:val="auto"/>
              </w:rPr>
            </w:pPr>
          </w:p>
        </w:tc>
      </w:tr>
      <w:tr>
        <w:trPr>
          <w:trHeight w:val="209"/>
        </w:trPr>
        <w:tc>
          <w:tcPr>
            <w:tcW w:w="720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81"/>
              <w:spacing w:after="0"/>
              <w:rPr>
                <w:sz w:val="20"/>
                <w:szCs w:val="20"/>
                <w:color w:val="auto"/>
              </w:rPr>
            </w:pPr>
            <w:r>
              <w:rPr>
                <w:rFonts w:ascii="Arial" w:cs="Arial" w:eastAsia="Arial" w:hAnsi="Arial"/>
                <w:sz w:val="16"/>
                <w:szCs w:val="16"/>
                <w:b w:val="1"/>
                <w:bCs w:val="1"/>
                <w:color w:val="auto"/>
                <w:w w:val="74"/>
              </w:rPr>
              <w:t>loss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fair 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Current marketable securities:</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Municipal bonds</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19,306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19,280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80" w:type="dxa"/>
            <w:vAlign w:val="bottom"/>
          </w:tcPr>
          <w:p>
            <w:pPr>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18,905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18,765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38,211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40" w:type="dxa"/>
            <w:vAlign w:val="bottom"/>
            <w:vMerge w:val="continue"/>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38,045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tcBorders>
              <w:top w:val="single" w:sz="8" w:color="CCEEFF"/>
              <w:bottom w:val="single" w:sz="8" w:color="CCEEFF"/>
            </w:tcBorders>
            <w:vMerge w:val="restart"/>
          </w:tcPr>
          <w:p>
            <w:pPr>
              <w:jc w:val="right"/>
              <w:ind w:right="1421"/>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20" w:type="dxa"/>
            <w:vAlign w:val="bottom"/>
            <w:vMerge w:val="continue"/>
          </w:tcPr>
          <w:p>
            <w:pPr>
              <w:spacing w:after="0"/>
              <w:rPr>
                <w:sz w:val="24"/>
                <w:szCs w:val="24"/>
                <w:color w:val="auto"/>
              </w:rPr>
            </w:pPr>
          </w:p>
        </w:tc>
        <w:tc>
          <w:tcPr>
            <w:tcW w:w="7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9" w:right="31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Contingent Consideration</w:t>
      </w:r>
    </w:p>
    <w:p>
      <w:pPr>
        <w:spacing w:after="0" w:line="194" w:lineRule="exact"/>
        <w:rPr>
          <w:sz w:val="20"/>
          <w:szCs w:val="20"/>
          <w:color w:val="auto"/>
        </w:rPr>
      </w:pPr>
    </w:p>
    <w:p>
      <w:pPr>
        <w:ind w:right="100" w:firstLine="284"/>
        <w:spacing w:after="0" w:line="273" w:lineRule="auto"/>
        <w:rPr>
          <w:sz w:val="20"/>
          <w:szCs w:val="20"/>
          <w:color w:val="auto"/>
        </w:rPr>
      </w:pPr>
      <w:r>
        <w:rPr>
          <w:rFonts w:ascii="Arial" w:cs="Arial" w:eastAsia="Arial" w:hAnsi="Arial"/>
          <w:sz w:val="15"/>
          <w:szCs w:val="15"/>
          <w:color w:val="auto"/>
        </w:rPr>
        <w:t>The Company has classified its net liability for contingent earn-out considerations to the sellers relating to one acquisition completed during the three months ended March 31,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A description of the Company’s acquisitions completed during the three months ended March 31, 2022 and fiscal 2021 are included within Note 15 – Business Combinations, included elsewhere in the notes to the condensed consolidated financial statements.</w:t>
      </w:r>
    </w:p>
    <w:p>
      <w:pPr>
        <w:spacing w:after="0" w:line="154" w:lineRule="exact"/>
        <w:rPr>
          <w:sz w:val="20"/>
          <w:szCs w:val="20"/>
          <w:color w:val="auto"/>
        </w:rPr>
      </w:pPr>
    </w:p>
    <w:p>
      <w:pPr>
        <w:ind w:right="220" w:firstLine="284"/>
        <w:spacing w:after="0" w:line="340" w:lineRule="auto"/>
        <w:rPr>
          <w:sz w:val="20"/>
          <w:szCs w:val="20"/>
          <w:color w:val="auto"/>
        </w:rPr>
      </w:pPr>
      <w:r>
        <w:rPr>
          <w:rFonts w:ascii="Arial" w:cs="Arial" w:eastAsia="Arial" w:hAnsi="Arial"/>
          <w:sz w:val="14"/>
          <w:szCs w:val="14"/>
          <w:color w:val="auto"/>
        </w:rPr>
        <w:t>The contingent earn-out payments to the sellers for each acquisition are based on the achievement of certain revenue thresholds. During the three months ended March 31, 2022, the Company accrued $1.4 million relating to the Lab Society acquisition for contingent consideration recorded from the initial purchase price accounting.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Three Months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5"/>
              </w:rPr>
              <w:t>Year ended</w:t>
            </w:r>
          </w:p>
        </w:tc>
      </w:tr>
      <w:tr>
        <w:trPr>
          <w:trHeight w:val="189"/>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March 31,</w:t>
            </w:r>
          </w:p>
        </w:tc>
        <w:tc>
          <w:tcPr>
            <w:tcW w:w="20" w:type="dxa"/>
            <w:vAlign w:val="bottom"/>
          </w:tcPr>
          <w:p>
            <w:pPr>
              <w:spacing w:after="0"/>
              <w:rPr>
                <w:sz w:val="16"/>
                <w:szCs w:val="16"/>
                <w:color w:val="auto"/>
              </w:rPr>
            </w:pPr>
          </w:p>
        </w:tc>
        <w:tc>
          <w:tcPr>
            <w:tcW w:w="120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88"/>
              </w:rPr>
              <w:t>December 31,</w:t>
            </w:r>
          </w:p>
        </w:tc>
      </w:tr>
      <w:tr>
        <w:trPr>
          <w:trHeight w:val="209"/>
        </w:trPr>
        <w:tc>
          <w:tcPr>
            <w:tcW w:w="8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4"/>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Contingent consideration – beginning of period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6,137</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6"/>
                <w:szCs w:val="16"/>
                <w:color w:val="auto"/>
              </w:rPr>
            </w:pPr>
          </w:p>
        </w:tc>
      </w:tr>
      <w:tr>
        <w:trPr>
          <w:trHeight w:val="189"/>
        </w:trPr>
        <w:tc>
          <w:tcPr>
            <w:tcW w:w="8560" w:type="dxa"/>
            <w:vAlign w:val="bottom"/>
          </w:tcPr>
          <w:p>
            <w:pPr>
              <w:ind w:left="140"/>
              <w:spacing w:after="0"/>
              <w:rPr>
                <w:sz w:val="20"/>
                <w:szCs w:val="20"/>
                <w:color w:val="auto"/>
              </w:rPr>
            </w:pPr>
            <w:r>
              <w:rPr>
                <w:rFonts w:ascii="Arial" w:cs="Arial" w:eastAsia="Arial" w:hAnsi="Arial"/>
                <w:sz w:val="16"/>
                <w:szCs w:val="16"/>
                <w:color w:val="auto"/>
              </w:rPr>
              <w:t>Accrued contingent consideration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1,420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4,725</w:t>
            </w:r>
          </w:p>
        </w:tc>
        <w:tc>
          <w:tcPr>
            <w:tcW w:w="100" w:type="dxa"/>
            <w:vAlign w:val="bottom"/>
          </w:tcPr>
          <w:p>
            <w:pPr>
              <w:spacing w:after="0"/>
              <w:rPr>
                <w:sz w:val="16"/>
                <w:szCs w:val="16"/>
                <w:color w:val="auto"/>
              </w:rPr>
            </w:pPr>
          </w:p>
        </w:tc>
      </w:tr>
      <w:tr>
        <w:trPr>
          <w:trHeight w:val="221"/>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Change in estimated fair value</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0"/>
        </w:trPr>
        <w:tc>
          <w:tcPr>
            <w:tcW w:w="8560" w:type="dxa"/>
            <w:vAlign w:val="bottom"/>
          </w:tcPr>
          <w:p>
            <w:pPr>
              <w:spacing w:after="0" w:line="181" w:lineRule="exact"/>
              <w:rPr>
                <w:sz w:val="20"/>
                <w:szCs w:val="20"/>
                <w:color w:val="auto"/>
              </w:rPr>
            </w:pPr>
            <w:r>
              <w:rPr>
                <w:rFonts w:ascii="Arial" w:cs="Arial" w:eastAsia="Arial" w:hAnsi="Arial"/>
                <w:sz w:val="16"/>
                <w:szCs w:val="16"/>
                <w:color w:val="auto"/>
              </w:rPr>
              <w:t>Contingent consideration – end of period</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7,557</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6,137</w:t>
            </w:r>
          </w:p>
        </w:tc>
        <w:tc>
          <w:tcPr>
            <w:tcW w:w="100" w:type="dxa"/>
            <w:vAlign w:val="bottom"/>
          </w:tcPr>
          <w:p>
            <w:pPr>
              <w:spacing w:after="0"/>
              <w:rPr>
                <w:sz w:val="17"/>
                <w:szCs w:val="17"/>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right="160" w:firstLine="284"/>
        <w:spacing w:after="0" w:line="268" w:lineRule="auto"/>
        <w:rPr>
          <w:sz w:val="20"/>
          <w:szCs w:val="20"/>
          <w:color w:val="auto"/>
        </w:rPr>
      </w:pPr>
      <w:r>
        <w:rPr>
          <w:rFonts w:ascii="Arial" w:cs="Arial" w:eastAsia="Arial" w:hAnsi="Arial"/>
          <w:sz w:val="16"/>
          <w:szCs w:val="16"/>
          <w:color w:val="auto"/>
        </w:rPr>
        <w:t>The Company included contingent consideration within accrued expense and other current liabilities in its condensed consolidated balance sheets as of March 31, 2022 and December 31,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 Liabilities</w:t>
      </w:r>
    </w:p>
    <w:p>
      <w:pPr>
        <w:spacing w:after="0" w:line="194" w:lineRule="exact"/>
        <w:rPr>
          <w:sz w:val="20"/>
          <w:szCs w:val="20"/>
          <w:color w:val="auto"/>
        </w:rPr>
      </w:pPr>
    </w:p>
    <w:p>
      <w:pPr>
        <w:ind w:right="300" w:firstLine="284"/>
        <w:spacing w:after="0" w:line="268" w:lineRule="auto"/>
        <w:rPr>
          <w:sz w:val="20"/>
          <w:szCs w:val="20"/>
          <w:color w:val="auto"/>
        </w:rPr>
      </w:pPr>
      <w:r>
        <w:rPr>
          <w:rFonts w:ascii="Arial" w:cs="Arial" w:eastAsia="Arial" w:hAnsi="Arial"/>
          <w:sz w:val="16"/>
          <w:szCs w:val="16"/>
          <w:color w:val="auto"/>
        </w:rPr>
        <w:t>In January 2022, the Company issued warrants to purchase up to an aggregate of 15,078 shares of Common Stock in connection with a private placement transaction (the “PIPE Warrants”). The warrants have an exercise price of $1,496.00.</w:t>
      </w:r>
    </w:p>
    <w:p>
      <w:pPr>
        <w:spacing w:after="0" w:line="157" w:lineRule="exact"/>
        <w:rPr>
          <w:sz w:val="20"/>
          <w:szCs w:val="20"/>
          <w:color w:val="auto"/>
        </w:rPr>
      </w:pPr>
    </w:p>
    <w:p>
      <w:pPr>
        <w:ind w:right="660" w:firstLine="284"/>
        <w:spacing w:after="0" w:line="268" w:lineRule="auto"/>
        <w:rPr>
          <w:sz w:val="20"/>
          <w:szCs w:val="20"/>
          <w:color w:val="auto"/>
        </w:rPr>
      </w:pPr>
      <w:r>
        <w:rPr>
          <w:rFonts w:ascii="Arial" w:cs="Arial" w:eastAsia="Arial" w:hAnsi="Arial"/>
          <w:sz w:val="16"/>
          <w:szCs w:val="16"/>
          <w:color w:val="auto"/>
        </w:rPr>
        <w:t>In March, 2022, the Company issued warrants to purchase up to an aggregate of 34,406 shares of Common Stock in connection with the issuance of debt (the “SPA Warrants”). The warrants have an exercise price of $1,350.00.</w:t>
      </w:r>
    </w:p>
    <w:p>
      <w:pPr>
        <w:spacing w:after="0" w:line="157" w:lineRule="exact"/>
        <w:rPr>
          <w:sz w:val="20"/>
          <w:szCs w:val="20"/>
          <w:color w:val="auto"/>
        </w:rPr>
      </w:pPr>
    </w:p>
    <w:p>
      <w:pPr>
        <w:ind w:right="100" w:firstLine="284"/>
        <w:spacing w:after="0" w:line="268" w:lineRule="auto"/>
        <w:rPr>
          <w:sz w:val="20"/>
          <w:szCs w:val="20"/>
          <w:color w:val="auto"/>
        </w:rPr>
      </w:pPr>
      <w:r>
        <w:rPr>
          <w:rFonts w:ascii="Arial" w:cs="Arial" w:eastAsia="Arial" w:hAnsi="Arial"/>
          <w:sz w:val="16"/>
          <w:szCs w:val="16"/>
          <w:color w:val="auto"/>
        </w:rPr>
        <w:t>The grant date fair value of the PIPE Warrants and the SPA Warrants issued during the three months ended March 31, 2022 was calculated using a Black-Scholes model and was determined to be $40.5 million using the following inputs: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PIPE</w:t>
            </w:r>
          </w:p>
        </w:tc>
        <w:tc>
          <w:tcPr>
            <w:tcW w:w="160" w:type="dxa"/>
            <w:vAlign w:val="bottom"/>
          </w:tcPr>
          <w:p>
            <w:pPr>
              <w:spacing w:after="0"/>
              <w:rPr>
                <w:sz w:val="17"/>
                <w:szCs w:val="17"/>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SPA</w:t>
            </w:r>
          </w:p>
        </w:tc>
      </w:tr>
      <w:tr>
        <w:trPr>
          <w:trHeight w:val="209"/>
        </w:trPr>
        <w:tc>
          <w:tcPr>
            <w:tcW w:w="39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Warrants</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Warrants</w:t>
            </w:r>
          </w:p>
        </w:tc>
      </w:tr>
      <w:tr>
        <w:trPr>
          <w:trHeight w:val="189"/>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price</w:t>
            </w:r>
          </w:p>
        </w:tc>
        <w:tc>
          <w:tcPr>
            <w:tcW w:w="47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1,228.00</w:t>
            </w:r>
          </w:p>
        </w:tc>
        <w:tc>
          <w:tcPr>
            <w:tcW w:w="140" w:type="dxa"/>
            <w:vAlign w:val="bottom"/>
            <w:tcBorders>
              <w:top w:val="single" w:sz="8" w:color="CCEEFF"/>
            </w:tcBorders>
            <w:shd w:val="clear" w:color="auto" w:fill="CCEEFF"/>
          </w:tcPr>
          <w:p>
            <w:pPr>
              <w:spacing w:after="0"/>
              <w:rPr>
                <w:sz w:val="16"/>
                <w:szCs w:val="16"/>
                <w:color w:val="auto"/>
              </w:rPr>
            </w:pP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Exercise price</w:t>
            </w:r>
          </w:p>
        </w:tc>
        <w:tc>
          <w:tcPr>
            <w:tcW w:w="488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1,496.00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1,350.00</w:t>
            </w: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Expected term (in years)</w:t>
            </w:r>
          </w:p>
        </w:tc>
        <w:tc>
          <w:tcPr>
            <w:tcW w:w="4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w:t>
            </w: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Annualized volatility</w:t>
            </w:r>
          </w:p>
        </w:tc>
        <w:tc>
          <w:tcPr>
            <w:tcW w:w="4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87.53%</w:t>
            </w:r>
          </w:p>
        </w:tc>
        <w:tc>
          <w:tcPr>
            <w:tcW w:w="1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87.57%</w:t>
            </w: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Annual rate of quarterly dividends</w:t>
            </w:r>
          </w:p>
        </w:tc>
        <w:tc>
          <w:tcPr>
            <w:tcW w:w="4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r>
      <w:tr>
        <w:trPr>
          <w:trHeight w:val="200"/>
        </w:trPr>
        <w:tc>
          <w:tcPr>
            <w:tcW w:w="3920" w:type="dxa"/>
            <w:vAlign w:val="bottom"/>
          </w:tcPr>
          <w:p>
            <w:pPr>
              <w:spacing w:after="0"/>
              <w:rPr>
                <w:sz w:val="20"/>
                <w:szCs w:val="20"/>
                <w:color w:val="auto"/>
              </w:rPr>
            </w:pPr>
            <w:r>
              <w:rPr>
                <w:rFonts w:ascii="Arial" w:cs="Arial" w:eastAsia="Arial" w:hAnsi="Arial"/>
                <w:sz w:val="16"/>
                <w:szCs w:val="16"/>
                <w:color w:val="auto"/>
              </w:rPr>
              <w:t>Discount rate -bond equivalent yield</w:t>
            </w:r>
          </w:p>
        </w:tc>
        <w:tc>
          <w:tcPr>
            <w:tcW w:w="4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1.65%</w:t>
            </w:r>
          </w:p>
        </w:tc>
        <w:tc>
          <w:tcPr>
            <w:tcW w:w="16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2.12%</w:t>
            </w:r>
          </w:p>
        </w:tc>
      </w:tr>
      <w:tr>
        <w:trPr>
          <w:trHeight w:val="560"/>
        </w:trPr>
        <w:tc>
          <w:tcPr>
            <w:tcW w:w="39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jc w:val="right"/>
              <w:ind w:right="2861"/>
              <w:spacing w:after="0"/>
              <w:rPr>
                <w:sz w:val="20"/>
                <w:szCs w:val="20"/>
                <w:color w:val="auto"/>
              </w:rPr>
            </w:pPr>
            <w:r>
              <w:rPr>
                <w:rFonts w:ascii="Arial" w:cs="Arial" w:eastAsia="Arial" w:hAnsi="Arial"/>
                <w:sz w:val="16"/>
                <w:szCs w:val="16"/>
                <w:color w:val="auto"/>
              </w:rPr>
              <w:t>28</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9" w:right="319" w:bottom="1440" w:gutter="0" w:footer="0" w:header="0"/>
        </w:sectPr>
      </w:pPr>
    </w:p>
    <w:bookmarkStart w:id="31" w:name="page32"/>
    <w:bookmarkEnd w:id="31"/>
    <w:p>
      <w:pPr>
        <w:ind w:right="220" w:firstLine="284"/>
        <w:spacing w:after="0" w:line="268" w:lineRule="auto"/>
        <w:rPr>
          <w:sz w:val="20"/>
          <w:szCs w:val="20"/>
          <w:color w:val="auto"/>
        </w:rPr>
      </w:pPr>
      <w:r>
        <w:rPr>
          <w:rFonts w:ascii="Arial" w:cs="Arial" w:eastAsia="Arial" w:hAnsi="Arial"/>
          <w:sz w:val="16"/>
          <w:szCs w:val="16"/>
          <w:color w:val="auto"/>
        </w:rPr>
        <w:t>The fair value of the PIPE Warrants and the SPA Warrants were remeasured and determined to be $29.7 million at March 31, 2022, using a Black-Scholes model using the following inputs: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PIPE</w:t>
            </w:r>
          </w:p>
        </w:tc>
        <w:tc>
          <w:tcPr>
            <w:tcW w:w="160" w:type="dxa"/>
            <w:vAlign w:val="bottom"/>
          </w:tcPr>
          <w:p>
            <w:pPr>
              <w:spacing w:after="0"/>
              <w:rPr>
                <w:sz w:val="17"/>
                <w:szCs w:val="17"/>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SPA</w:t>
            </w:r>
          </w:p>
        </w:tc>
      </w:tr>
      <w:tr>
        <w:trPr>
          <w:trHeight w:val="209"/>
        </w:trPr>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Warrants</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Warrants</w:t>
            </w:r>
          </w:p>
        </w:tc>
      </w:tr>
      <w:tr>
        <w:trPr>
          <w:trHeight w:val="189"/>
        </w:trPr>
        <w:tc>
          <w:tcPr>
            <w:tcW w:w="8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price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926.00</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926.00</w:t>
            </w:r>
          </w:p>
        </w:tc>
        <w:tc>
          <w:tcPr>
            <w:tcW w:w="140" w:type="dxa"/>
            <w:vAlign w:val="bottom"/>
            <w:tcBorders>
              <w:top w:val="single" w:sz="8" w:color="CCEEFF"/>
            </w:tcBorders>
            <w:shd w:val="clear" w:color="auto" w:fill="CCEEFF"/>
          </w:tcPr>
          <w:p>
            <w:pPr>
              <w:spacing w:after="0"/>
              <w:rPr>
                <w:sz w:val="16"/>
                <w:szCs w:val="16"/>
                <w:color w:val="auto"/>
              </w:rPr>
            </w:pPr>
          </w:p>
        </w:tc>
      </w:tr>
      <w:tr>
        <w:trPr>
          <w:trHeight w:val="189"/>
        </w:trPr>
        <w:tc>
          <w:tcPr>
            <w:tcW w:w="8640" w:type="dxa"/>
            <w:vAlign w:val="bottom"/>
          </w:tcPr>
          <w:p>
            <w:pPr>
              <w:spacing w:after="0"/>
              <w:rPr>
                <w:sz w:val="20"/>
                <w:szCs w:val="20"/>
                <w:color w:val="auto"/>
              </w:rPr>
            </w:pPr>
            <w:r>
              <w:rPr>
                <w:rFonts w:ascii="Arial" w:cs="Arial" w:eastAsia="Arial" w:hAnsi="Arial"/>
                <w:sz w:val="16"/>
                <w:szCs w:val="16"/>
                <w:color w:val="auto"/>
              </w:rPr>
              <w:t>Exercise price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1,496.00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1,350.00</w:t>
            </w:r>
          </w:p>
        </w:tc>
      </w:tr>
      <w:tr>
        <w:trPr>
          <w:trHeight w:val="189"/>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Expected term (in years)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w:t>
            </w:r>
          </w:p>
        </w:tc>
      </w:tr>
      <w:tr>
        <w:trPr>
          <w:trHeight w:val="189"/>
        </w:trPr>
        <w:tc>
          <w:tcPr>
            <w:tcW w:w="8640" w:type="dxa"/>
            <w:vAlign w:val="bottom"/>
          </w:tcPr>
          <w:p>
            <w:pPr>
              <w:spacing w:after="0"/>
              <w:rPr>
                <w:sz w:val="20"/>
                <w:szCs w:val="20"/>
                <w:color w:val="auto"/>
              </w:rPr>
            </w:pPr>
            <w:r>
              <w:rPr>
                <w:rFonts w:ascii="Arial" w:cs="Arial" w:eastAsia="Arial" w:hAnsi="Arial"/>
                <w:sz w:val="16"/>
                <w:szCs w:val="16"/>
                <w:color w:val="auto"/>
              </w:rPr>
              <w:t>Annualized volatility</w:t>
            </w:r>
          </w:p>
        </w:tc>
        <w:tc>
          <w:tcPr>
            <w:tcW w:w="16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87.68%</w:t>
            </w:r>
          </w:p>
        </w:tc>
        <w:tc>
          <w:tcPr>
            <w:tcW w:w="1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87.79%</w:t>
            </w:r>
          </w:p>
        </w:tc>
      </w:tr>
      <w:tr>
        <w:trPr>
          <w:trHeight w:val="189"/>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Annual rate of quarterly dividends</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w:t>
            </w:r>
          </w:p>
        </w:tc>
      </w:tr>
      <w:tr>
        <w:trPr>
          <w:trHeight w:val="200"/>
        </w:trPr>
        <w:tc>
          <w:tcPr>
            <w:tcW w:w="8640" w:type="dxa"/>
            <w:vAlign w:val="bottom"/>
          </w:tcPr>
          <w:p>
            <w:pPr>
              <w:spacing w:after="0"/>
              <w:rPr>
                <w:sz w:val="20"/>
                <w:szCs w:val="20"/>
                <w:color w:val="auto"/>
              </w:rPr>
            </w:pPr>
            <w:r>
              <w:rPr>
                <w:rFonts w:ascii="Arial" w:cs="Arial" w:eastAsia="Arial" w:hAnsi="Arial"/>
                <w:sz w:val="16"/>
                <w:szCs w:val="16"/>
                <w:color w:val="auto"/>
              </w:rPr>
              <w:t>Discount rate -bond equivalent yield</w:t>
            </w: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2.42%</w:t>
            </w:r>
          </w:p>
        </w:tc>
        <w:tc>
          <w:tcPr>
            <w:tcW w:w="16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2.42%</w:t>
            </w:r>
          </w:p>
        </w:tc>
      </w:tr>
    </w:tbl>
    <w:p>
      <w:pPr>
        <w:spacing w:after="0" w:line="165" w:lineRule="exact"/>
        <w:rPr>
          <w:sz w:val="20"/>
          <w:szCs w:val="20"/>
          <w:color w:val="auto"/>
        </w:rPr>
      </w:pPr>
    </w:p>
    <w:p>
      <w:pPr>
        <w:sectPr>
          <w:pgSz w:w="11900" w:h="16838" w:orient="portrait"/>
          <w:cols w:equalWidth="0" w:num="1">
            <w:col w:w="11260"/>
          </w:cols>
          <w:pgMar w:left="320" w:top="789" w:right="319" w:bottom="1440" w:gutter="0" w:footer="0" w:header="0"/>
        </w:sectPr>
      </w:pPr>
    </w:p>
    <w:p>
      <w:pPr>
        <w:spacing w:after="0"/>
        <w:rPr>
          <w:sz w:val="20"/>
          <w:szCs w:val="20"/>
          <w:color w:val="auto"/>
        </w:rPr>
      </w:pPr>
      <w:r>
        <w:rPr>
          <w:rFonts w:ascii="Arial" w:cs="Arial" w:eastAsia="Arial" w:hAnsi="Arial"/>
          <w:sz w:val="14"/>
          <w:szCs w:val="14"/>
          <w:color w:val="auto"/>
        </w:rPr>
        <w:t>The following table sets forth a summary of the changes in the fair value of the Level 3 warrant liabilities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35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Warrant liabilities – beginning of period</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Initial fair value of warrant liabilities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Change in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49465"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428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Warrant liabilities – end of period</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Three Months</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ended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March 31,</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2022</w:t>
      </w:r>
    </w:p>
    <w:p>
      <w:pPr>
        <w:spacing w:after="0" w:line="18" w:lineRule="exact"/>
        <w:rPr>
          <w:sz w:val="20"/>
          <w:szCs w:val="20"/>
          <w:color w:val="auto"/>
        </w:rPr>
      </w:pPr>
    </w:p>
    <w:p>
      <w:pPr>
        <w:ind w:left="960" w:hanging="957"/>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p>
    <w:p>
      <w:pPr>
        <w:spacing w:after="0" w:line="16"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5"/>
          <w:szCs w:val="15"/>
          <w:color w:val="auto"/>
        </w:rPr>
        <w:t>40,496</w:t>
      </w:r>
    </w:p>
    <w:p>
      <w:pPr>
        <w:spacing w:after="0" w:line="1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(10,785)</w:t>
      </w:r>
    </w:p>
    <w:p>
      <w:pPr>
        <w:spacing w:after="0" w:line="53" w:lineRule="exact"/>
        <w:rPr>
          <w:sz w:val="20"/>
          <w:szCs w:val="20"/>
          <w:color w:val="auto"/>
        </w:rPr>
      </w:pPr>
    </w:p>
    <w:p>
      <w:pPr>
        <w:ind w:left="700" w:hanging="697"/>
        <w:spacing w:after="0"/>
        <w:tabs>
          <w:tab w:leader="none" w:pos="7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29,711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74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74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wp:posOffset>
            </wp:positionV>
            <wp:extent cx="71374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74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60" w:space="560"/>
            <w:col w:w="1240"/>
          </w:cols>
          <w:pgMar w:left="320" w:top="789" w:right="31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Loan Receivable</w:t>
      </w:r>
    </w:p>
    <w:p>
      <w:pPr>
        <w:spacing w:after="0" w:line="198" w:lineRule="exact"/>
        <w:rPr>
          <w:sz w:val="20"/>
          <w:szCs w:val="20"/>
          <w:color w:val="auto"/>
        </w:rPr>
      </w:pPr>
    </w:p>
    <w:p>
      <w:pPr>
        <w:ind w:right="240" w:firstLine="284"/>
        <w:spacing w:after="0" w:line="311" w:lineRule="auto"/>
        <w:rPr>
          <w:sz w:val="20"/>
          <w:szCs w:val="20"/>
          <w:color w:val="auto"/>
        </w:rPr>
      </w:pPr>
      <w:r>
        <w:rPr>
          <w:rFonts w:ascii="Arial" w:cs="Arial" w:eastAsia="Arial" w:hAnsi="Arial"/>
          <w:sz w:val="14"/>
          <w:szCs w:val="14"/>
          <w:color w:val="auto"/>
        </w:rPr>
        <w:t>A portion of the capital raised from the Company’s IPO has been allocated to launch Agrify’s total turn-key solution (“TTK Solution”) program. The TTK Solution is industry’s first end-to-end solution that provides access to capital for construction costs, equipment lease(s) to VFUs and other related operating equipment, subscription to the Company’s Agrify Insights software, and business consultation services, which will enable the Company’s customers to go to market faster and better.</w:t>
      </w:r>
    </w:p>
    <w:p>
      <w:pPr>
        <w:spacing w:after="0" w:line="131" w:lineRule="exact"/>
        <w:rPr>
          <w:sz w:val="20"/>
          <w:szCs w:val="20"/>
          <w:color w:val="auto"/>
        </w:rPr>
      </w:pPr>
    </w:p>
    <w:p>
      <w:pPr>
        <w:ind w:right="40" w:firstLine="284"/>
        <w:spacing w:after="0" w:line="253" w:lineRule="auto"/>
        <w:rPr>
          <w:sz w:val="20"/>
          <w:szCs w:val="20"/>
          <w:color w:val="auto"/>
        </w:rPr>
      </w:pPr>
      <w:r>
        <w:rPr>
          <w:rFonts w:ascii="Arial" w:cs="Arial" w:eastAsia="Arial" w:hAnsi="Arial"/>
          <w:sz w:val="16"/>
          <w:szCs w:val="16"/>
          <w:color w:val="auto"/>
        </w:rPr>
        <w:t>The Company’s initial allowable investment in the TTK Solution engagements is currently capped at $50.0 million, as approved by the Company’s Board of Directors. As of March 31, 2022 and December 31, 2021, the Company has committed $32.9 million to the Agrify TTK Solution for five customers under contract and $20.3 million to the Agrify TTK Solution for five customers under contract, respectively. Of the five parties who have purchased the Agrify TTK Solution to date, Greenstone Holdings is a related party as of March 31, 2022 and December 31, 2021.</w:t>
      </w:r>
    </w:p>
    <w:p>
      <w:pPr>
        <w:spacing w:after="0" w:line="170" w:lineRule="exact"/>
        <w:rPr>
          <w:sz w:val="20"/>
          <w:szCs w:val="20"/>
          <w:color w:val="auto"/>
        </w:rPr>
      </w:pPr>
    </w:p>
    <w:p>
      <w:pPr>
        <w:jc w:val="both"/>
        <w:ind w:right="320" w:firstLine="284"/>
        <w:spacing w:after="0" w:line="257" w:lineRule="auto"/>
        <w:rPr>
          <w:sz w:val="20"/>
          <w:szCs w:val="20"/>
          <w:color w:val="auto"/>
        </w:rPr>
      </w:pPr>
      <w:r>
        <w:rPr>
          <w:rFonts w:ascii="Arial" w:cs="Arial" w:eastAsia="Arial" w:hAnsi="Arial"/>
          <w:sz w:val="16"/>
          <w:szCs w:val="16"/>
          <w:color w:val="auto"/>
        </w:rPr>
        <w:t>The loan agreements entered into with customers receiving the Agrify TTK Solution generally provide for loans ranging from approximately $200 thousand up to $13.5 million with maturity dates of approximately two to three years after the completion of the construction projects. Typically, the TTK Solution construction loans have interest rates ranging from 12% to 18% per year.</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type w:val="continuous"/>
        </w:sectPr>
      </w:pPr>
    </w:p>
    <w:bookmarkStart w:id="32" w:name="page33"/>
    <w:bookmarkEnd w:id="32"/>
    <w:tbl>
      <w:tblPr>
        <w:tblLayout w:type="fixed"/>
        <w:tblInd w:w="5" w:type="dxa"/>
        <w:tblCellMar>
          <w:top w:w="0" w:type="dxa"/>
          <w:left w:w="0" w:type="dxa"/>
          <w:bottom w:w="0" w:type="dxa"/>
          <w:right w:w="0" w:type="dxa"/>
        </w:tblCellMar>
      </w:tblPr>
      <w:tr>
        <w:trPr>
          <w:trHeight w:val="200"/>
        </w:trPr>
        <w:tc>
          <w:tcPr>
            <w:tcW w:w="8560" w:type="dxa"/>
            <w:vAlign w:val="bottom"/>
          </w:tcPr>
          <w:p>
            <w:pPr>
              <w:ind w:left="280"/>
              <w:spacing w:after="0"/>
              <w:rPr>
                <w:sz w:val="20"/>
                <w:szCs w:val="20"/>
                <w:color w:val="auto"/>
              </w:rPr>
            </w:pPr>
            <w:r>
              <w:rPr>
                <w:rFonts w:ascii="Arial" w:cs="Arial" w:eastAsia="Arial" w:hAnsi="Arial"/>
                <w:sz w:val="16"/>
                <w:szCs w:val="16"/>
                <w:color w:val="auto"/>
              </w:rPr>
              <w:t>The breakdown of loans receivable by Company as of March 31, 2022 and December 31, 2021 is as follows: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8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Company A – Agrify TTK Solution</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9,579</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Greenstone Holdings – TTK Solution – Related Party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12,446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11,177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Company C – Agrify TTK Solution</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7,479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Company D – Agrify TTK Solution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3,338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Company E – Agrify TTK Solution</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Company F – Non-TTK Solution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1,538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1,946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Other – Non-TTK Solutions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vMerge w:val="restart"/>
          </w:tcPr>
          <w:p>
            <w:pPr>
              <w:ind w:left="140"/>
              <w:spacing w:after="0"/>
              <w:rPr>
                <w:sz w:val="20"/>
                <w:szCs w:val="20"/>
                <w:color w:val="auto"/>
              </w:rPr>
            </w:pPr>
            <w:r>
              <w:rPr>
                <w:rFonts w:ascii="Arial" w:cs="Arial" w:eastAsia="Arial" w:hAnsi="Arial"/>
                <w:sz w:val="16"/>
                <w:szCs w:val="16"/>
                <w:color w:val="auto"/>
              </w:rPr>
              <w:t>Total loan receivable</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560" w:type="dxa"/>
            <w:vAlign w:val="bottom"/>
            <w:vMerge w:val="continue"/>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34,738</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22,255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5" w:right="20" w:hanging="285"/>
        <w:spacing w:after="0" w:line="268" w:lineRule="auto"/>
        <w:tabs>
          <w:tab w:leader="none" w:pos="2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Current portion of loan receivable are included within Note 10 – Prepaid Expenses and Other Current Receivables, included elsewhere in the notes to the condensed consolidated financial statements.</w:t>
      </w:r>
    </w:p>
    <w:p>
      <w:pPr>
        <w:spacing w:after="0" w:line="157" w:lineRule="exact"/>
        <w:rPr>
          <w:sz w:val="20"/>
          <w:szCs w:val="20"/>
          <w:color w:val="auto"/>
        </w:rPr>
      </w:pPr>
    </w:p>
    <w:p>
      <w:pPr>
        <w:ind w:left="5" w:right="340" w:firstLine="284"/>
        <w:spacing w:after="0" w:line="276" w:lineRule="auto"/>
        <w:rPr>
          <w:sz w:val="20"/>
          <w:szCs w:val="20"/>
          <w:color w:val="auto"/>
        </w:rPr>
      </w:pPr>
      <w:r>
        <w:rPr>
          <w:rFonts w:ascii="Arial" w:cs="Arial" w:eastAsia="Arial" w:hAnsi="Arial"/>
          <w:sz w:val="15"/>
          <w:szCs w:val="15"/>
          <w:color w:val="auto"/>
        </w:rPr>
        <w:t>The Company analyzed whether any of the above customers are a VIE in accordance with ASC 810 and if so, whether the Company is the primary beneficiary requiring consolidation. Based on the Company’s analysis, the Company has determined that Greenstone Holdings is a VIE. As of March 31, 2022, two of the Company’s employees own approximately 36.6% of the equity of Greenstone Holdings, however, since the Company is not the primary beneficiary and does not hold significant influence over Greenstone Holdings business decisions, the Company is not required to consolidate Greenstone Holdings.</w:t>
      </w:r>
    </w:p>
    <w:p>
      <w:pPr>
        <w:spacing w:after="0" w:line="149" w:lineRule="exact"/>
        <w:rPr>
          <w:sz w:val="20"/>
          <w:szCs w:val="20"/>
          <w:color w:val="auto"/>
        </w:rPr>
      </w:pPr>
    </w:p>
    <w:tbl>
      <w:tblPr>
        <w:tblLayout w:type="fixed"/>
        <w:tblInd w:w="5" w:type="dxa"/>
        <w:tblCellMar>
          <w:top w:w="0" w:type="dxa"/>
          <w:left w:w="0" w:type="dxa"/>
          <w:bottom w:w="0" w:type="dxa"/>
          <w:right w:w="0" w:type="dxa"/>
        </w:tblCellMar>
      </w:tblPr>
      <w:tr>
        <w:trPr>
          <w:trHeight w:val="204"/>
        </w:trPr>
        <w:tc>
          <w:tcPr>
            <w:tcW w:w="8560" w:type="dxa"/>
            <w:vAlign w:val="bottom"/>
          </w:tcPr>
          <w:p>
            <w:pPr>
              <w:spacing w:after="0"/>
              <w:rPr>
                <w:sz w:val="20"/>
                <w:szCs w:val="20"/>
                <w:color w:val="auto"/>
              </w:rPr>
            </w:pPr>
            <w:r>
              <w:rPr>
                <w:rFonts w:ascii="Arial" w:cs="Arial" w:eastAsia="Arial" w:hAnsi="Arial"/>
                <w:sz w:val="16"/>
                <w:szCs w:val="16"/>
                <w:b w:val="1"/>
                <w:bCs w:val="1"/>
                <w:color w:val="auto"/>
              </w:rPr>
              <w:t>Note 8 — Accounts Receivable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8560" w:type="dxa"/>
            <w:vAlign w:val="bottom"/>
          </w:tcPr>
          <w:p>
            <w:pPr>
              <w:ind w:left="280"/>
              <w:spacing w:after="0"/>
              <w:rPr>
                <w:sz w:val="20"/>
                <w:szCs w:val="20"/>
                <w:color w:val="auto"/>
              </w:rPr>
            </w:pPr>
            <w:r>
              <w:rPr>
                <w:rFonts w:ascii="Arial" w:cs="Arial" w:eastAsia="Arial" w:hAnsi="Arial"/>
                <w:sz w:val="16"/>
                <w:szCs w:val="16"/>
                <w:color w:val="auto"/>
              </w:rPr>
              <w:t>Accounts receivable consisted of the following as of March 31, 2022 and December 31, 2021: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March 31,</w:t>
            </w:r>
          </w:p>
        </w:tc>
        <w:tc>
          <w:tcPr>
            <w:tcW w:w="100" w:type="dxa"/>
            <w:vAlign w:val="bottom"/>
          </w:tcPr>
          <w:p>
            <w:pPr>
              <w:spacing w:after="0"/>
              <w:rPr>
                <w:sz w:val="24"/>
                <w:szCs w:val="2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9"/>
        </w:trPr>
        <w:tc>
          <w:tcPr>
            <w:tcW w:w="8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gross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center"/>
              <w:ind w:left="441"/>
              <w:spacing w:after="0"/>
              <w:rPr>
                <w:sz w:val="20"/>
                <w:szCs w:val="20"/>
                <w:color w:val="auto"/>
              </w:rPr>
            </w:pPr>
            <w:r>
              <w:rPr>
                <w:rFonts w:ascii="Arial" w:cs="Arial" w:eastAsia="Arial" w:hAnsi="Arial"/>
                <w:sz w:val="16"/>
                <w:szCs w:val="16"/>
                <w:color w:val="auto"/>
                <w:w w:val="84"/>
              </w:rPr>
              <w:t>8,637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560" w:type="dxa"/>
            <w:vAlign w:val="bottom"/>
          </w:tcPr>
          <w:p>
            <w:pPr>
              <w:ind w:left="140"/>
              <w:spacing w:after="0"/>
              <w:rPr>
                <w:sz w:val="20"/>
                <w:szCs w:val="20"/>
                <w:color w:val="auto"/>
              </w:rPr>
            </w:pPr>
            <w:r>
              <w:rPr>
                <w:rFonts w:ascii="Arial" w:cs="Arial" w:eastAsia="Arial" w:hAnsi="Arial"/>
                <w:sz w:val="16"/>
                <w:szCs w:val="16"/>
                <w:color w:val="auto"/>
              </w:rPr>
              <w:t>Less allowance for doubtful accounts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left="321"/>
              <w:spacing w:after="0"/>
              <w:rPr>
                <w:sz w:val="20"/>
                <w:szCs w:val="20"/>
                <w:color w:val="auto"/>
              </w:rPr>
            </w:pPr>
            <w:r>
              <w:rPr>
                <w:rFonts w:ascii="Arial" w:cs="Arial" w:eastAsia="Arial" w:hAnsi="Arial"/>
                <w:sz w:val="16"/>
                <w:szCs w:val="16"/>
                <w:color w:val="auto"/>
                <w:w w:val="90"/>
              </w:rPr>
              <w:t>(1,415)</w:t>
            </w:r>
          </w:p>
        </w:tc>
        <w:tc>
          <w:tcPr>
            <w:tcW w:w="0" w:type="dxa"/>
            <w:vAlign w:val="bottom"/>
          </w:tcPr>
          <w:p>
            <w:pPr>
              <w:spacing w:after="0"/>
              <w:rPr>
                <w:sz w:val="1"/>
                <w:szCs w:val="1"/>
                <w:color w:val="auto"/>
              </w:rPr>
            </w:pPr>
          </w:p>
        </w:tc>
      </w:tr>
      <w:tr>
        <w:trPr>
          <w:trHeight w:val="24"/>
        </w:trPr>
        <w:tc>
          <w:tcPr>
            <w:tcW w:w="85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vMerge w:val="continue"/>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8,571</w:t>
            </w:r>
          </w:p>
        </w:tc>
        <w:tc>
          <w:tcPr>
            <w:tcW w:w="3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center"/>
              <w:ind w:left="321"/>
              <w:spacing w:after="0"/>
              <w:rPr>
                <w:sz w:val="20"/>
                <w:szCs w:val="20"/>
                <w:color w:val="auto"/>
              </w:rPr>
            </w:pPr>
            <w:r>
              <w:rPr>
                <w:rFonts w:ascii="Arial" w:cs="Arial" w:eastAsia="Arial" w:hAnsi="Arial"/>
                <w:sz w:val="16"/>
                <w:szCs w:val="16"/>
                <w:color w:val="auto"/>
                <w:w w:val="84"/>
              </w:rPr>
              <w:t>7,222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ind w:right="15"/>
        <w:spacing w:after="0"/>
        <w:rPr>
          <w:sz w:val="20"/>
          <w:szCs w:val="20"/>
          <w:color w:val="auto"/>
        </w:rPr>
      </w:pPr>
      <w:r>
        <w:rPr>
          <w:rFonts w:ascii="Arial" w:cs="Arial" w:eastAsia="Arial" w:hAnsi="Arial"/>
          <w:sz w:val="15"/>
          <w:szCs w:val="15"/>
          <w:color w:val="auto"/>
        </w:rPr>
        <w:t>NEIA, a related party, accounted for $1.3 million and $3.5 million of the Company’s accounts receivable, net as of March 31, 2022 and December 31, 2021, respectively.</w:t>
      </w:r>
    </w:p>
    <w:p>
      <w:pPr>
        <w:sectPr>
          <w:pgSz w:w="11900" w:h="16838" w:orient="portrait"/>
          <w:cols w:equalWidth="0" w:num="1">
            <w:col w:w="11265"/>
          </w:cols>
          <w:pgMar w:left="315" w:top="789" w:right="319" w:bottom="1440" w:gutter="0" w:footer="0" w:header="0"/>
        </w:sectPr>
      </w:pPr>
    </w:p>
    <w:p>
      <w:pPr>
        <w:spacing w:after="0" w:line="206" w:lineRule="exact"/>
        <w:rPr>
          <w:sz w:val="20"/>
          <w:szCs w:val="20"/>
          <w:color w:val="auto"/>
        </w:rPr>
      </w:pPr>
    </w:p>
    <w:p>
      <w:pPr>
        <w:ind w:left="285"/>
        <w:spacing w:after="0"/>
        <w:rPr>
          <w:sz w:val="20"/>
          <w:szCs w:val="20"/>
          <w:color w:val="auto"/>
        </w:rPr>
      </w:pPr>
      <w:r>
        <w:rPr>
          <w:rFonts w:ascii="Arial" w:cs="Arial" w:eastAsia="Arial" w:hAnsi="Arial"/>
          <w:sz w:val="14"/>
          <w:szCs w:val="14"/>
          <w:color w:val="auto"/>
        </w:rPr>
        <w:t>The changes in the allowance for doubtful accounts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35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3" w:lineRule="exact"/>
        <w:rPr>
          <w:sz w:val="20"/>
          <w:szCs w:val="20"/>
          <w:color w:val="auto"/>
        </w:rPr>
      </w:pPr>
    </w:p>
    <w:p>
      <w:pPr>
        <w:ind w:left="5"/>
        <w:spacing w:after="0"/>
        <w:rPr>
          <w:sz w:val="20"/>
          <w:szCs w:val="20"/>
          <w:color w:val="auto"/>
        </w:rPr>
      </w:pPr>
      <w:r>
        <w:rPr>
          <w:rFonts w:ascii="Arial" w:cs="Arial" w:eastAsia="Arial" w:hAnsi="Arial"/>
          <w:sz w:val="16"/>
          <w:szCs w:val="16"/>
          <w:color w:val="auto"/>
        </w:rPr>
        <w:t>Allowance for doubtful accounts - beginning of period</w:t>
      </w:r>
    </w:p>
    <w:p>
      <w:pPr>
        <w:spacing w:after="0" w:line="16" w:lineRule="exact"/>
        <w:rPr>
          <w:sz w:val="20"/>
          <w:szCs w:val="20"/>
          <w:color w:val="auto"/>
        </w:rPr>
      </w:pPr>
    </w:p>
    <w:p>
      <w:pPr>
        <w:ind w:left="145"/>
        <w:spacing w:after="0"/>
        <w:rPr>
          <w:sz w:val="20"/>
          <w:szCs w:val="20"/>
          <w:color w:val="auto"/>
        </w:rPr>
      </w:pPr>
      <w:r>
        <w:rPr>
          <w:rFonts w:ascii="Arial" w:cs="Arial" w:eastAsia="Arial" w:hAnsi="Arial"/>
          <w:sz w:val="16"/>
          <w:szCs w:val="16"/>
          <w:color w:val="auto"/>
        </w:rPr>
        <w:t>Provision for doubtful accounts</w:t>
      </w:r>
    </w:p>
    <w:p>
      <w:pPr>
        <w:spacing w:after="0" w:line="5" w:lineRule="exact"/>
        <w:rPr>
          <w:sz w:val="20"/>
          <w:szCs w:val="20"/>
          <w:color w:val="auto"/>
        </w:rPr>
      </w:pPr>
    </w:p>
    <w:p>
      <w:pPr>
        <w:ind w:left="145"/>
        <w:spacing w:after="0"/>
        <w:rPr>
          <w:sz w:val="20"/>
          <w:szCs w:val="20"/>
          <w:color w:val="auto"/>
        </w:rPr>
      </w:pPr>
      <w:r>
        <w:rPr>
          <w:rFonts w:ascii="Arial" w:cs="Arial" w:eastAsia="Arial" w:hAnsi="Arial"/>
          <w:sz w:val="16"/>
          <w:szCs w:val="16"/>
          <w:color w:val="auto"/>
        </w:rPr>
        <w:t>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9465" cy="135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ind w:left="5"/>
        <w:spacing w:after="0"/>
        <w:rPr>
          <w:sz w:val="20"/>
          <w:szCs w:val="20"/>
          <w:color w:val="auto"/>
        </w:rPr>
      </w:pPr>
      <w:r>
        <w:rPr>
          <w:rFonts w:ascii="Arial" w:cs="Arial" w:eastAsia="Arial" w:hAnsi="Arial"/>
          <w:sz w:val="16"/>
          <w:szCs w:val="16"/>
          <w:color w:val="auto"/>
        </w:rPr>
        <w:t>Allowance for doubtful accounts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Three Months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Year ended</w:t>
            </w:r>
          </w:p>
        </w:tc>
      </w:tr>
      <w:tr>
        <w:trPr>
          <w:trHeight w:val="189"/>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March 31,</w:t>
            </w:r>
          </w:p>
        </w:tc>
        <w:tc>
          <w:tcPr>
            <w:tcW w:w="20" w:type="dxa"/>
            <w:vAlign w:val="bottom"/>
          </w:tcPr>
          <w:p>
            <w:pPr>
              <w:spacing w:after="0"/>
              <w:rPr>
                <w:sz w:val="16"/>
                <w:szCs w:val="16"/>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8"/>
              </w:rPr>
              <w:t>December 31,</w:t>
            </w:r>
          </w:p>
        </w:tc>
      </w:tr>
      <w:tr>
        <w:trPr>
          <w:trHeight w:val="209"/>
        </w:trPr>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4"/>
              </w:rPr>
              <w:t>2021</w:t>
            </w:r>
          </w:p>
        </w:tc>
        <w:tc>
          <w:tcPr>
            <w:tcW w:w="20" w:type="dxa"/>
            <w:vAlign w:val="bottom"/>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77" w:lineRule="exact"/>
              <w:rPr>
                <w:sz w:val="20"/>
                <w:szCs w:val="20"/>
                <w:color w:val="auto"/>
              </w:rPr>
            </w:pPr>
            <w:r>
              <w:rPr>
                <w:rFonts w:ascii="Arial" w:cs="Arial" w:eastAsia="Arial" w:hAnsi="Arial"/>
                <w:sz w:val="16"/>
                <w:szCs w:val="16"/>
                <w:color w:val="auto"/>
              </w:rPr>
              <w:t>1,415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77" w:lineRule="exact"/>
              <w:rPr>
                <w:sz w:val="20"/>
                <w:szCs w:val="20"/>
                <w:color w:val="auto"/>
              </w:rPr>
            </w:pPr>
            <w:r>
              <w:rPr>
                <w:rFonts w:ascii="Arial" w:cs="Arial" w:eastAsia="Arial" w:hAnsi="Arial"/>
                <w:sz w:val="16"/>
                <w:szCs w:val="16"/>
                <w:color w:val="auto"/>
              </w:rPr>
              <w:t>54</w:t>
            </w:r>
          </w:p>
        </w:tc>
        <w:tc>
          <w:tcPr>
            <w:tcW w:w="2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1,187</w:t>
            </w:r>
          </w:p>
        </w:tc>
      </w:tr>
      <w:tr>
        <w:trPr>
          <w:trHeight w:val="206"/>
        </w:trPr>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174</w:t>
            </w:r>
          </w:p>
        </w:tc>
      </w:tr>
      <w:tr>
        <w:trPr>
          <w:trHeight w:val="217"/>
        </w:trPr>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1,415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1,415</w:t>
            </w:r>
          </w:p>
        </w:tc>
      </w:tr>
      <w:tr>
        <w:trPr>
          <w:trHeight w:val="20"/>
        </w:trPr>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77" w:lineRule="exact"/>
        <w:rPr>
          <w:sz w:val="20"/>
          <w:szCs w:val="20"/>
          <w:color w:val="auto"/>
        </w:rPr>
      </w:pPr>
    </w:p>
    <w:p>
      <w:pPr>
        <w:sectPr>
          <w:pgSz w:w="11900" w:h="16838" w:orient="portrait"/>
          <w:cols w:equalWidth="0" w:num="2">
            <w:col w:w="7965" w:space="720"/>
            <w:col w:w="2580"/>
          </w:cols>
          <w:pgMar w:left="315" w:top="789" w:right="319" w:bottom="1440" w:gutter="0" w:footer="0" w:header="0"/>
          <w:type w:val="continuous"/>
        </w:sectPr>
      </w:pPr>
    </w:p>
    <w:p>
      <w:pPr>
        <w:ind w:left="285"/>
        <w:spacing w:after="0"/>
        <w:rPr>
          <w:sz w:val="20"/>
          <w:szCs w:val="20"/>
          <w:color w:val="auto"/>
        </w:rPr>
      </w:pPr>
      <w:r>
        <w:rPr>
          <w:rFonts w:ascii="Arial" w:cs="Arial" w:eastAsia="Arial" w:hAnsi="Arial"/>
          <w:sz w:val="14"/>
          <w:szCs w:val="14"/>
          <w:color w:val="auto"/>
        </w:rPr>
        <w:t>Bad debt expense was nil for both the three months ended March 31, 2022 and March 31, 2021.</w:t>
      </w:r>
    </w:p>
    <w:p>
      <w:pPr>
        <w:spacing w:after="0" w:line="200" w:lineRule="exact"/>
        <w:rPr>
          <w:sz w:val="20"/>
          <w:szCs w:val="20"/>
          <w:color w:val="auto"/>
        </w:rPr>
      </w:pPr>
    </w:p>
    <w:p>
      <w:pPr>
        <w:spacing w:after="0" w:line="207" w:lineRule="exact"/>
        <w:rPr>
          <w:sz w:val="20"/>
          <w:szCs w:val="20"/>
          <w:color w:val="auto"/>
        </w:rPr>
      </w:pPr>
    </w:p>
    <w:p>
      <w:pPr>
        <w:jc w:val="center"/>
        <w:ind w:right="15"/>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946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9" w:right="3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Note 9 — Inventory</w:t>
      </w:r>
    </w:p>
    <w:p>
      <w:pPr>
        <w:spacing w:after="0" w:line="198" w:lineRule="exact"/>
        <w:rPr>
          <w:sz w:val="20"/>
          <w:szCs w:val="20"/>
          <w:color w:val="auto"/>
        </w:rPr>
      </w:pPr>
    </w:p>
    <w:p>
      <w:pPr>
        <w:ind w:right="200" w:firstLine="284"/>
        <w:spacing w:after="0" w:line="253" w:lineRule="auto"/>
        <w:rPr>
          <w:sz w:val="20"/>
          <w:szCs w:val="20"/>
          <w:color w:val="auto"/>
        </w:rPr>
      </w:pPr>
      <w:r>
        <w:rPr>
          <w:rFonts w:ascii="Arial" w:cs="Arial" w:eastAsia="Arial" w:hAnsi="Arial"/>
          <w:sz w:val="16"/>
          <w:szCs w:val="16"/>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 short-term, non-interest-bearing asset that is applied to the purchase of products once they are delivered.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60" w:type="dxa"/>
            <w:vAlign w:val="bottom"/>
          </w:tcPr>
          <w:p>
            <w:pPr>
              <w:ind w:left="280"/>
              <w:spacing w:after="0"/>
              <w:rPr>
                <w:sz w:val="20"/>
                <w:szCs w:val="20"/>
                <w:color w:val="auto"/>
              </w:rPr>
            </w:pPr>
            <w:r>
              <w:rPr>
                <w:rFonts w:ascii="Arial" w:cs="Arial" w:eastAsia="Arial" w:hAnsi="Arial"/>
                <w:sz w:val="16"/>
                <w:szCs w:val="16"/>
                <w:color w:val="auto"/>
              </w:rPr>
              <w:t>Inventory consisted of the following as of March 31, 2022 and December 31, 2021: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9"/>
        </w:trPr>
        <w:tc>
          <w:tcPr>
            <w:tcW w:w="8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Prepaid inventory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10,745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2,237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21,975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12,810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560" w:type="dxa"/>
            <w:vAlign w:val="bottom"/>
            <w:tcBorders>
              <w:top w:val="single" w:sz="8" w:color="CCEEFF"/>
            </w:tcBorders>
          </w:tcPr>
          <w:p>
            <w:pPr>
              <w:ind w:left="140"/>
              <w:spacing w:after="0" w:line="173" w:lineRule="exact"/>
              <w:rPr>
                <w:sz w:val="20"/>
                <w:szCs w:val="20"/>
                <w:color w:val="auto"/>
              </w:rPr>
            </w:pPr>
            <w:r>
              <w:rPr>
                <w:rFonts w:ascii="Arial" w:cs="Arial" w:eastAsia="Arial" w:hAnsi="Arial"/>
                <w:sz w:val="16"/>
                <w:szCs w:val="16"/>
                <w:color w:val="auto"/>
              </w:rPr>
              <w:t>Inventory, gross</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39,931</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21,440</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Inventory reserves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(942)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vMerge w:val="restart"/>
          </w:tcPr>
          <w:p>
            <w:pPr>
              <w:ind w:left="140"/>
              <w:spacing w:after="0"/>
              <w:rPr>
                <w:sz w:val="20"/>
                <w:szCs w:val="20"/>
                <w:color w:val="auto"/>
              </w:rPr>
            </w:pPr>
            <w:r>
              <w:rPr>
                <w:rFonts w:ascii="Arial" w:cs="Arial" w:eastAsia="Arial" w:hAnsi="Arial"/>
                <w:sz w:val="16"/>
                <w:szCs w:val="16"/>
                <w:color w:val="auto"/>
              </w:rPr>
              <w:t>Total inventory, net</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560" w:type="dxa"/>
            <w:vAlign w:val="bottom"/>
            <w:vMerge w:val="continue"/>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38,989</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20,498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Inventory Reserves</w:t>
      </w:r>
    </w:p>
    <w:p>
      <w:pPr>
        <w:spacing w:after="0" w:line="194" w:lineRule="exact"/>
        <w:rPr>
          <w:sz w:val="20"/>
          <w:szCs w:val="20"/>
          <w:color w:val="auto"/>
        </w:rPr>
      </w:pPr>
    </w:p>
    <w:p>
      <w:pPr>
        <w:jc w:val="both"/>
        <w:ind w:right="60" w:firstLine="284"/>
        <w:spacing w:after="0" w:line="340" w:lineRule="auto"/>
        <w:rPr>
          <w:sz w:val="20"/>
          <w:szCs w:val="20"/>
          <w:color w:val="auto"/>
        </w:rPr>
      </w:pPr>
      <w:r>
        <w:rPr>
          <w:rFonts w:ascii="Arial" w:cs="Arial" w:eastAsia="Arial" w:hAnsi="Arial"/>
          <w:sz w:val="14"/>
          <w:szCs w:val="14"/>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ectPr>
          <w:pgSz w:w="11900" w:h="16838" w:orient="portrait"/>
          <w:cols w:equalWidth="0" w:num="1">
            <w:col w:w="11260"/>
          </w:cols>
          <w:pgMar w:left="320" w:top="785" w:right="319" w:bottom="1440" w:gutter="0" w:footer="0" w:header="0"/>
        </w:sectPr>
      </w:pPr>
    </w:p>
    <w:p>
      <w:pPr>
        <w:spacing w:after="0" w:line="11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Changes in the Company’s inventory reserve are as follows: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35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Inventory reserves – beginning of period</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Increase in inventory reserves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Inventory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49465" cy="135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Inventory reserves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Three Months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Year ended</w:t>
            </w:r>
          </w:p>
        </w:tc>
      </w:tr>
      <w:tr>
        <w:trPr>
          <w:trHeight w:val="189"/>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March 31,</w:t>
            </w:r>
          </w:p>
        </w:tc>
        <w:tc>
          <w:tcPr>
            <w:tcW w:w="20" w:type="dxa"/>
            <w:vAlign w:val="bottom"/>
          </w:tcPr>
          <w:p>
            <w:pPr>
              <w:spacing w:after="0"/>
              <w:rPr>
                <w:sz w:val="16"/>
                <w:szCs w:val="16"/>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8"/>
              </w:rPr>
              <w:t>December 31,</w:t>
            </w:r>
          </w:p>
        </w:tc>
      </w:tr>
      <w:tr>
        <w:trPr>
          <w:trHeight w:val="209"/>
        </w:trPr>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2022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4"/>
              </w:rPr>
              <w:t>2021</w:t>
            </w:r>
          </w:p>
        </w:tc>
        <w:tc>
          <w:tcPr>
            <w:tcW w:w="20" w:type="dxa"/>
            <w:vAlign w:val="bottom"/>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77" w:lineRule="exact"/>
              <w:rPr>
                <w:sz w:val="20"/>
                <w:szCs w:val="20"/>
                <w:color w:val="auto"/>
              </w:rPr>
            </w:pPr>
            <w:r>
              <w:rPr>
                <w:rFonts w:ascii="Arial" w:cs="Arial" w:eastAsia="Arial" w:hAnsi="Arial"/>
                <w:sz w:val="16"/>
                <w:szCs w:val="16"/>
                <w:color w:val="auto"/>
              </w:rPr>
              <w:t>942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77"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942</w:t>
            </w:r>
          </w:p>
        </w:tc>
      </w:tr>
      <w:tr>
        <w:trPr>
          <w:trHeight w:val="206"/>
        </w:trPr>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942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942</w:t>
            </w:r>
          </w:p>
        </w:tc>
      </w:tr>
      <w:tr>
        <w:trPr>
          <w:trHeight w:val="20"/>
        </w:trPr>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80"/>
          </w:cols>
          <w:pgMar w:left="320" w:top="785" w:right="319" w:bottom="1440" w:gutter="0" w:footer="0" w:header="0"/>
          <w:type w:val="continuous"/>
        </w:sectPr>
      </w:pP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714946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4"/>
        </w:trPr>
        <w:tc>
          <w:tcPr>
            <w:tcW w:w="8560" w:type="dxa"/>
            <w:vAlign w:val="bottom"/>
          </w:tcPr>
          <w:p>
            <w:pPr>
              <w:spacing w:after="0"/>
              <w:rPr>
                <w:sz w:val="20"/>
                <w:szCs w:val="20"/>
                <w:color w:val="auto"/>
              </w:rPr>
            </w:pPr>
            <w:r>
              <w:rPr>
                <w:rFonts w:ascii="Arial" w:cs="Arial" w:eastAsia="Arial" w:hAnsi="Arial"/>
                <w:sz w:val="16"/>
                <w:szCs w:val="16"/>
                <w:b w:val="1"/>
                <w:bCs w:val="1"/>
                <w:color w:val="auto"/>
              </w:rPr>
              <w:t>Note 10 — Prepaid Expenses and Other Current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856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 consisted of the following as of March 31, 2022 and December 31, 2021: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March 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9"/>
        </w:trPr>
        <w:tc>
          <w:tcPr>
            <w:tcW w:w="8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Prepaid insurance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Prepaid software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other</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Deferred costs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Other note receivables (1)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01"/>
        </w:trPr>
        <w:tc>
          <w:tcPr>
            <w:tcW w:w="8560" w:type="dxa"/>
            <w:vAlign w:val="bottom"/>
          </w:tcPr>
          <w:p>
            <w:pPr>
              <w:spacing w:after="0"/>
              <w:rPr>
                <w:sz w:val="20"/>
                <w:szCs w:val="20"/>
                <w:color w:val="auto"/>
              </w:rPr>
            </w:pPr>
            <w:r>
              <w:rPr>
                <w:rFonts w:ascii="Arial" w:cs="Arial" w:eastAsia="Arial" w:hAnsi="Arial"/>
                <w:sz w:val="16"/>
                <w:szCs w:val="16"/>
                <w:color w:val="auto"/>
              </w:rPr>
              <w:t>Other receivables, other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4"/>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prepaid expenses and other current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2,452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(1)  Other note receivables relate to the current portion of one of our TTK Solutions loan receivable balances.</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8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60" w:type="dxa"/>
            <w:vAlign w:val="bottom"/>
          </w:tcPr>
          <w:p>
            <w:pPr>
              <w:spacing w:after="0"/>
              <w:rPr>
                <w:sz w:val="20"/>
                <w:szCs w:val="20"/>
                <w:color w:val="auto"/>
              </w:rPr>
            </w:pPr>
            <w:r>
              <w:rPr>
                <w:rFonts w:ascii="Arial" w:cs="Arial" w:eastAsia="Arial" w:hAnsi="Arial"/>
                <w:sz w:val="16"/>
                <w:szCs w:val="16"/>
                <w:b w:val="1"/>
                <w:bCs w:val="1"/>
                <w:color w:val="auto"/>
              </w:rPr>
              <w:t>Note 11 — Property and Equipment, Net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60" w:type="dxa"/>
            <w:vAlign w:val="bottom"/>
          </w:tcPr>
          <w:p>
            <w:pPr>
              <w:ind w:left="280"/>
              <w:spacing w:after="0"/>
              <w:rPr>
                <w:sz w:val="20"/>
                <w:szCs w:val="20"/>
                <w:color w:val="auto"/>
              </w:rPr>
            </w:pPr>
            <w:r>
              <w:rPr>
                <w:rFonts w:ascii="Arial" w:cs="Arial" w:eastAsia="Arial" w:hAnsi="Arial"/>
                <w:sz w:val="16"/>
                <w:szCs w:val="16"/>
                <w:color w:val="auto"/>
              </w:rPr>
              <w:t>Property and equipment, net consisted of the following as of March 31, 2022 and December 31, 2021: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March 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9"/>
        </w:trPr>
        <w:tc>
          <w:tcPr>
            <w:tcW w:w="8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
              <w:spacing w:after="0"/>
              <w:rPr>
                <w:sz w:val="20"/>
                <w:szCs w:val="20"/>
                <w:color w:val="auto"/>
              </w:rPr>
            </w:pPr>
            <w:r>
              <w:rPr>
                <w:rFonts w:ascii="Arial" w:cs="Arial" w:eastAsia="Arial" w:hAnsi="Arial"/>
                <w:sz w:val="16"/>
                <w:szCs w:val="16"/>
                <w:b w:val="1"/>
                <w:bCs w:val="1"/>
                <w:color w:val="auto"/>
                <w:w w:val="84"/>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Computer and office equipment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Furniture and fixtures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Machinery and equipment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Software</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Vehicles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laboratory equipment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Leased equipment at customer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21"/>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Trade show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73"/>
        </w:trPr>
        <w:tc>
          <w:tcPr>
            <w:tcW w:w="8560" w:type="dxa"/>
            <w:vAlign w:val="bottom"/>
            <w:tcBorders>
              <w:top w:val="single" w:sz="8" w:color="CCEEFF"/>
            </w:tcBorders>
          </w:tcPr>
          <w:p>
            <w:pPr>
              <w:ind w:left="140"/>
              <w:spacing w:after="0" w:line="173" w:lineRule="exact"/>
              <w:rPr>
                <w:sz w:val="20"/>
                <w:szCs w:val="20"/>
                <w:color w:val="auto"/>
              </w:rPr>
            </w:pPr>
            <w:r>
              <w:rPr>
                <w:rFonts w:ascii="Arial" w:cs="Arial" w:eastAsia="Arial" w:hAnsi="Arial"/>
                <w:sz w:val="16"/>
                <w:szCs w:val="16"/>
                <w:color w:val="auto"/>
              </w:rPr>
              <w:t>Total property and equipment, gross</w:t>
            </w: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4,288</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3,776</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01"/>
        </w:trPr>
        <w:tc>
          <w:tcPr>
            <w:tcW w:w="856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3,236</w:t>
            </w:r>
          </w:p>
        </w:tc>
        <w:tc>
          <w:tcPr>
            <w:tcW w:w="0" w:type="dxa"/>
            <w:vAlign w:val="bottom"/>
          </w:tcPr>
          <w:p>
            <w:pPr>
              <w:spacing w:after="0"/>
              <w:rPr>
                <w:sz w:val="1"/>
                <w:szCs w:val="1"/>
                <w:color w:val="auto"/>
              </w:rPr>
            </w:pPr>
          </w:p>
        </w:tc>
      </w:tr>
      <w:tr>
        <w:trPr>
          <w:trHeight w:val="24"/>
        </w:trPr>
        <w:tc>
          <w:tcPr>
            <w:tcW w:w="856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Total property and equipment, net</w:t>
            </w: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vMerge w:val="continue"/>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6,232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three months ended March 31, 2022 and 2021 was $379 thousand and $90 thousand, respectively.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Note 12 — Intangible Assets, Net and Goodwill</w:t>
      </w:r>
    </w:p>
    <w:p>
      <w:pPr>
        <w:spacing w:after="0" w:line="198" w:lineRule="exact"/>
        <w:rPr>
          <w:sz w:val="20"/>
          <w:szCs w:val="20"/>
          <w:color w:val="auto"/>
        </w:rPr>
      </w:pPr>
    </w:p>
    <w:p>
      <w:pPr>
        <w:ind w:right="60" w:firstLine="284"/>
        <w:spacing w:after="0" w:line="253" w:lineRule="auto"/>
        <w:rPr>
          <w:sz w:val="20"/>
          <w:szCs w:val="20"/>
          <w:color w:val="auto"/>
        </w:rPr>
      </w:pPr>
      <w:r>
        <w:rPr>
          <w:rFonts w:ascii="Arial" w:cs="Arial" w:eastAsia="Arial" w:hAnsi="Arial"/>
          <w:sz w:val="16"/>
          <w:szCs w:val="16"/>
          <w:color w:val="auto"/>
        </w:rPr>
        <w:t>The Company records intangible assets initially at fair value and tests these values periodically for impairment. Goodwill represents the excess of the purchase price over the fair value of identifiable tangible and intangible assets acquired and liabilities assumed in a business combination and is tested at least annually for impairment. The Company performs an impairment test of goodwill during the fourth quarter of each year or sooner if indicators of potential impairment arise. There were no such indicators in the three months ended March 31, 2022.</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Intangible assets, net as of March 31, 2022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8"/>
          </w:tcPr>
          <w:p>
            <w:pPr>
              <w:jc w:val="center"/>
              <w:ind w:right="180"/>
              <w:spacing w:after="0"/>
              <w:rPr>
                <w:sz w:val="20"/>
                <w:szCs w:val="20"/>
                <w:color w:val="auto"/>
              </w:rPr>
            </w:pPr>
            <w:r>
              <w:rPr>
                <w:rFonts w:ascii="Arial" w:cs="Arial" w:eastAsia="Arial" w:hAnsi="Arial"/>
                <w:sz w:val="16"/>
                <w:szCs w:val="16"/>
                <w:b w:val="1"/>
                <w:bCs w:val="1"/>
                <w:color w:val="auto"/>
                <w:w w:val="86"/>
              </w:rPr>
              <w:t>Intangible Assets, Gross</w:t>
            </w:r>
          </w:p>
        </w:tc>
        <w:tc>
          <w:tcPr>
            <w:tcW w:w="100" w:type="dxa"/>
            <w:vAlign w:val="bottom"/>
          </w:tcPr>
          <w:p>
            <w:pPr>
              <w:spacing w:after="0"/>
              <w:rPr>
                <w:sz w:val="18"/>
                <w:szCs w:val="18"/>
                <w:color w:val="auto"/>
              </w:rPr>
            </w:pPr>
          </w:p>
        </w:tc>
        <w:tc>
          <w:tcPr>
            <w:tcW w:w="3160" w:type="dxa"/>
            <w:vAlign w:val="bottom"/>
            <w:gridSpan w:val="8"/>
          </w:tcPr>
          <w:p>
            <w:pPr>
              <w:jc w:val="center"/>
              <w:ind w:right="121"/>
              <w:spacing w:after="0"/>
              <w:rPr>
                <w:sz w:val="20"/>
                <w:szCs w:val="20"/>
                <w:color w:val="auto"/>
              </w:rPr>
            </w:pPr>
            <w:r>
              <w:rPr>
                <w:rFonts w:ascii="Arial" w:cs="Arial" w:eastAsia="Arial" w:hAnsi="Arial"/>
                <w:sz w:val="16"/>
                <w:szCs w:val="16"/>
                <w:b w:val="1"/>
                <w:bCs w:val="1"/>
                <w:color w:val="auto"/>
                <w:w w:val="90"/>
              </w:rPr>
              <w:t>Accumulated Amortization</w:t>
            </w:r>
          </w:p>
        </w:tc>
        <w:tc>
          <w:tcPr>
            <w:tcW w:w="120" w:type="dxa"/>
            <w:vAlign w:val="bottom"/>
          </w:tcPr>
          <w:p>
            <w:pPr>
              <w:spacing w:after="0"/>
              <w:rPr>
                <w:sz w:val="18"/>
                <w:szCs w:val="18"/>
                <w:color w:val="auto"/>
              </w:rPr>
            </w:pPr>
          </w:p>
        </w:tc>
        <w:tc>
          <w:tcPr>
            <w:tcW w:w="2000" w:type="dxa"/>
            <w:vAlign w:val="bottom"/>
            <w:gridSpan w:val="7"/>
          </w:tcPr>
          <w:p>
            <w:pPr>
              <w:ind w:left="180"/>
              <w:spacing w:after="0"/>
              <w:rPr>
                <w:sz w:val="20"/>
                <w:szCs w:val="20"/>
                <w:color w:val="auto"/>
              </w:rPr>
            </w:pPr>
            <w:r>
              <w:rPr>
                <w:rFonts w:ascii="Arial" w:cs="Arial" w:eastAsia="Arial" w:hAnsi="Arial"/>
                <w:sz w:val="16"/>
                <w:szCs w:val="16"/>
                <w:b w:val="1"/>
                <w:bCs w:val="1"/>
                <w:color w:val="auto"/>
              </w:rPr>
              <w:t>Intangible Assets, Net</w:t>
            </w: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center"/>
              <w:ind w:right="200"/>
              <w:spacing w:after="0" w:line="173" w:lineRule="exact"/>
              <w:rPr>
                <w:sz w:val="20"/>
                <w:szCs w:val="20"/>
                <w:color w:val="auto"/>
              </w:rPr>
            </w:pPr>
            <w:r>
              <w:rPr>
                <w:rFonts w:ascii="Arial" w:cs="Arial" w:eastAsia="Arial" w:hAnsi="Arial"/>
                <w:sz w:val="16"/>
                <w:szCs w:val="16"/>
                <w:b w:val="1"/>
                <w:bCs w:val="1"/>
                <w:color w:val="auto"/>
                <w:w w:val="89"/>
              </w:rPr>
              <w:t>Additions</w:t>
            </w: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center"/>
              <w:ind w:right="221"/>
              <w:spacing w:after="0" w:line="173" w:lineRule="exact"/>
              <w:rPr>
                <w:sz w:val="20"/>
                <w:szCs w:val="20"/>
                <w:color w:val="auto"/>
              </w:rPr>
            </w:pPr>
            <w:r>
              <w:rPr>
                <w:rFonts w:ascii="Arial" w:cs="Arial" w:eastAsia="Arial" w:hAnsi="Arial"/>
                <w:sz w:val="16"/>
                <w:szCs w:val="16"/>
                <w:b w:val="1"/>
                <w:bCs w:val="1"/>
                <w:color w:val="auto"/>
                <w:w w:val="85"/>
              </w:rPr>
              <w:t>Expense</w:t>
            </w: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and</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01"/>
              <w:spacing w:after="0"/>
              <w:rPr>
                <w:sz w:val="20"/>
                <w:szCs w:val="20"/>
                <w:color w:val="auto"/>
              </w:rPr>
            </w:pPr>
            <w:r>
              <w:rPr>
                <w:rFonts w:ascii="Arial" w:cs="Arial" w:eastAsia="Arial" w:hAnsi="Arial"/>
                <w:sz w:val="16"/>
                <w:szCs w:val="16"/>
                <w:b w:val="1"/>
                <w:bCs w:val="1"/>
                <w:color w:val="auto"/>
                <w:w w:val="91"/>
              </w:rPr>
              <w:t>and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1,</w:t>
            </w:r>
          </w:p>
        </w:tc>
        <w:tc>
          <w:tcPr>
            <w:tcW w:w="10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Retirements,</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March 31,</w:t>
            </w:r>
          </w:p>
        </w:tc>
        <w:tc>
          <w:tcPr>
            <w:tcW w:w="100" w:type="dxa"/>
            <w:vAlign w:val="bottom"/>
          </w:tcPr>
          <w:p>
            <w:pPr>
              <w:spacing w:after="0"/>
              <w:rPr>
                <w:sz w:val="16"/>
                <w:szCs w:val="16"/>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w w:val="93"/>
              </w:rPr>
              <w:t>January 1,</w:t>
            </w:r>
          </w:p>
        </w:tc>
        <w:tc>
          <w:tcPr>
            <w:tcW w:w="1080" w:type="dxa"/>
            <w:vAlign w:val="bottom"/>
            <w:gridSpan w:val="3"/>
          </w:tcPr>
          <w:p>
            <w:pPr>
              <w:jc w:val="center"/>
              <w:ind w:right="61"/>
              <w:spacing w:after="0"/>
              <w:rPr>
                <w:sz w:val="20"/>
                <w:szCs w:val="20"/>
                <w:color w:val="auto"/>
              </w:rPr>
            </w:pPr>
            <w:r>
              <w:rPr>
                <w:rFonts w:ascii="Arial" w:cs="Arial" w:eastAsia="Arial" w:hAnsi="Arial"/>
                <w:sz w:val="16"/>
                <w:szCs w:val="16"/>
                <w:b w:val="1"/>
                <w:bCs w:val="1"/>
                <w:color w:val="auto"/>
                <w:w w:val="88"/>
              </w:rPr>
              <w:t>Retirements,</w:t>
            </w:r>
          </w:p>
        </w:tc>
        <w:tc>
          <w:tcPr>
            <w:tcW w:w="100" w:type="dxa"/>
            <w:vAlign w:val="bottom"/>
          </w:tcPr>
          <w:p>
            <w:pPr>
              <w:spacing w:after="0"/>
              <w:rPr>
                <w:sz w:val="16"/>
                <w:szCs w:val="16"/>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6"/>
                <w:szCs w:val="16"/>
                <w:b w:val="1"/>
                <w:bCs w:val="1"/>
                <w:color w:val="auto"/>
                <w:w w:val="94"/>
              </w:rPr>
              <w:t>March 31,</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January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3"/>
          </w:tcPr>
          <w:p>
            <w:pPr>
              <w:ind w:left="40"/>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09"/>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880" w:type="dxa"/>
            <w:vAlign w:val="bottom"/>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net</w:t>
            </w:r>
          </w:p>
        </w:tc>
        <w:tc>
          <w:tcPr>
            <w:tcW w:w="120" w:type="dxa"/>
            <w:vAlign w:val="bottom"/>
          </w:tcPr>
          <w:p>
            <w:pPr>
              <w:spacing w:after="0"/>
              <w:rPr>
                <w:sz w:val="18"/>
                <w:szCs w:val="18"/>
                <w:color w:val="auto"/>
              </w:rPr>
            </w:pPr>
          </w:p>
        </w:tc>
        <w:tc>
          <w:tcPr>
            <w:tcW w:w="860" w:type="dxa"/>
            <w:vAlign w:val="bottom"/>
          </w:tcPr>
          <w:p>
            <w:pPr>
              <w:jc w:val="right"/>
              <w:ind w:right="24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24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21"/>
              <w:spacing w:after="0"/>
              <w:rPr>
                <w:sz w:val="20"/>
                <w:szCs w:val="20"/>
                <w:color w:val="auto"/>
              </w:rPr>
            </w:pPr>
            <w:r>
              <w:rPr>
                <w:rFonts w:ascii="Arial" w:cs="Arial" w:eastAsia="Arial" w:hAnsi="Arial"/>
                <w:sz w:val="16"/>
                <w:szCs w:val="16"/>
                <w:b w:val="1"/>
                <w:bCs w:val="1"/>
                <w:color w:val="auto"/>
                <w:w w:val="83"/>
              </w:rPr>
              <w:t>net</w:t>
            </w:r>
          </w:p>
        </w:tc>
        <w:tc>
          <w:tcPr>
            <w:tcW w:w="100" w:type="dxa"/>
            <w:vAlign w:val="bottom"/>
          </w:tcPr>
          <w:p>
            <w:pPr>
              <w:spacing w:after="0"/>
              <w:rPr>
                <w:sz w:val="18"/>
                <w:szCs w:val="18"/>
                <w:color w:val="auto"/>
              </w:rPr>
            </w:pPr>
          </w:p>
        </w:tc>
        <w:tc>
          <w:tcPr>
            <w:tcW w:w="880" w:type="dxa"/>
            <w:vAlign w:val="bottom"/>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4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241"/>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Trade names</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6,176</w:t>
            </w:r>
          </w:p>
        </w:tc>
        <w:tc>
          <w:tcPr>
            <w:tcW w:w="1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6,889</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(302)</w:t>
            </w:r>
          </w:p>
        </w:tc>
        <w:tc>
          <w:tcPr>
            <w:tcW w:w="140" w:type="dxa"/>
            <w:vAlign w:val="bottom"/>
          </w:tcPr>
          <w:p>
            <w:pPr>
              <w:spacing w:after="0"/>
              <w:rPr>
                <w:sz w:val="16"/>
                <w:szCs w:val="16"/>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5,874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6,340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Acquired developed Technology</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4,911</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1,432</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6,343</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4,720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5,897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spacing w:after="0"/>
              <w:rPr>
                <w:sz w:val="20"/>
                <w:szCs w:val="20"/>
                <w:color w:val="auto"/>
              </w:rPr>
            </w:pPr>
            <w:r>
              <w:rPr>
                <w:rFonts w:ascii="Arial" w:cs="Arial" w:eastAsia="Arial" w:hAnsi="Arial"/>
                <w:sz w:val="16"/>
                <w:szCs w:val="16"/>
                <w:color w:val="auto"/>
              </w:rPr>
              <w:t>Non-compete</w:t>
            </w: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6"/>
                <w:szCs w:val="16"/>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1,142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Capitalized website costs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gridSpan w:val="2"/>
            <w:vMerge w:val="restart"/>
          </w:tcPr>
          <w:p>
            <w:pPr>
              <w:ind w:left="14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2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66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14,952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2,462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17,414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(880</w:t>
            </w:r>
          </w:p>
        </w:tc>
        <w:tc>
          <w:tcPr>
            <w:tcW w:w="12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(1,553</w:t>
            </w: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14,072</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15,861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Intangible assets, net as of December 31, 2021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6"/>
          </w:tcPr>
          <w:p>
            <w:pPr>
              <w:jc w:val="center"/>
              <w:ind w:left="541"/>
              <w:spacing w:after="0"/>
              <w:rPr>
                <w:sz w:val="20"/>
                <w:szCs w:val="20"/>
                <w:color w:val="auto"/>
              </w:rPr>
            </w:pPr>
            <w:r>
              <w:rPr>
                <w:rFonts w:ascii="Arial" w:cs="Arial" w:eastAsia="Arial" w:hAnsi="Arial"/>
                <w:sz w:val="16"/>
                <w:szCs w:val="16"/>
                <w:b w:val="1"/>
                <w:bCs w:val="1"/>
                <w:color w:val="auto"/>
                <w:w w:val="86"/>
              </w:rPr>
              <w:t>Intangible Assets, Gross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6"/>
          </w:tcPr>
          <w:p>
            <w:pPr>
              <w:jc w:val="center"/>
              <w:ind w:left="481"/>
              <w:spacing w:after="0"/>
              <w:rPr>
                <w:sz w:val="20"/>
                <w:szCs w:val="20"/>
                <w:color w:val="auto"/>
              </w:rPr>
            </w:pPr>
            <w:r>
              <w:rPr>
                <w:rFonts w:ascii="Arial" w:cs="Arial" w:eastAsia="Arial" w:hAnsi="Arial"/>
                <w:sz w:val="16"/>
                <w:szCs w:val="16"/>
                <w:b w:val="1"/>
                <w:bCs w:val="1"/>
                <w:color w:val="auto"/>
                <w:w w:val="90"/>
              </w:rPr>
              <w:t>Accumulated Amortization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7"/>
          </w:tcPr>
          <w:p>
            <w:pPr>
              <w:ind w:left="180"/>
              <w:spacing w:after="0"/>
              <w:rPr>
                <w:sz w:val="20"/>
                <w:szCs w:val="20"/>
                <w:color w:val="auto"/>
              </w:rPr>
            </w:pPr>
            <w:r>
              <w:rPr>
                <w:rFonts w:ascii="Arial" w:cs="Arial" w:eastAsia="Arial" w:hAnsi="Arial"/>
                <w:sz w:val="16"/>
                <w:szCs w:val="16"/>
                <w:b w:val="1"/>
                <w:bCs w:val="1"/>
                <w:color w:val="auto"/>
              </w:rPr>
              <w:t>Intangible Assets, Net</w:t>
            </w: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center"/>
              <w:ind w:right="200"/>
              <w:spacing w:after="0" w:line="173" w:lineRule="exact"/>
              <w:rPr>
                <w:sz w:val="20"/>
                <w:szCs w:val="20"/>
                <w:color w:val="auto"/>
              </w:rPr>
            </w:pPr>
            <w:r>
              <w:rPr>
                <w:rFonts w:ascii="Arial" w:cs="Arial" w:eastAsia="Arial" w:hAnsi="Arial"/>
                <w:sz w:val="16"/>
                <w:szCs w:val="16"/>
                <w:b w:val="1"/>
                <w:bCs w:val="1"/>
                <w:color w:val="auto"/>
                <w:w w:val="89"/>
              </w:rPr>
              <w:t>Additions</w:t>
            </w: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center"/>
              <w:ind w:right="221"/>
              <w:spacing w:after="0" w:line="173" w:lineRule="exact"/>
              <w:rPr>
                <w:sz w:val="20"/>
                <w:szCs w:val="20"/>
                <w:color w:val="auto"/>
              </w:rPr>
            </w:pPr>
            <w:r>
              <w:rPr>
                <w:rFonts w:ascii="Arial" w:cs="Arial" w:eastAsia="Arial" w:hAnsi="Arial"/>
                <w:sz w:val="16"/>
                <w:szCs w:val="16"/>
                <w:b w:val="1"/>
                <w:bCs w:val="1"/>
                <w:color w:val="auto"/>
                <w:w w:val="85"/>
              </w:rPr>
              <w:t>Expense</w:t>
            </w:r>
          </w:p>
        </w:tc>
        <w:tc>
          <w:tcPr>
            <w:tcW w:w="3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and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01"/>
              <w:spacing w:after="0"/>
              <w:rPr>
                <w:sz w:val="20"/>
                <w:szCs w:val="20"/>
                <w:color w:val="auto"/>
              </w:rPr>
            </w:pPr>
            <w:r>
              <w:rPr>
                <w:rFonts w:ascii="Arial" w:cs="Arial" w:eastAsia="Arial" w:hAnsi="Arial"/>
                <w:sz w:val="16"/>
                <w:szCs w:val="16"/>
                <w:b w:val="1"/>
                <w:bCs w:val="1"/>
                <w:color w:val="auto"/>
                <w:w w:val="91"/>
              </w:rPr>
              <w:t>and</w:t>
            </w: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1,</w:t>
            </w:r>
          </w:p>
        </w:tc>
        <w:tc>
          <w:tcPr>
            <w:tcW w:w="10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Retirements,</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w:t>
            </w:r>
          </w:p>
        </w:tc>
        <w:tc>
          <w:tcPr>
            <w:tcW w:w="100" w:type="dxa"/>
            <w:vAlign w:val="bottom"/>
          </w:tcPr>
          <w:p>
            <w:pPr>
              <w:spacing w:after="0"/>
              <w:rPr>
                <w:sz w:val="16"/>
                <w:szCs w:val="16"/>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w w:val="93"/>
              </w:rPr>
              <w:t>January 1,</w:t>
            </w:r>
          </w:p>
        </w:tc>
        <w:tc>
          <w:tcPr>
            <w:tcW w:w="1080" w:type="dxa"/>
            <w:vAlign w:val="bottom"/>
            <w:gridSpan w:val="3"/>
          </w:tcPr>
          <w:p>
            <w:pPr>
              <w:jc w:val="center"/>
              <w:ind w:right="61"/>
              <w:spacing w:after="0"/>
              <w:rPr>
                <w:sz w:val="20"/>
                <w:szCs w:val="20"/>
                <w:color w:val="auto"/>
              </w:rPr>
            </w:pPr>
            <w:r>
              <w:rPr>
                <w:rFonts w:ascii="Arial" w:cs="Arial" w:eastAsia="Arial" w:hAnsi="Arial"/>
                <w:sz w:val="16"/>
                <w:szCs w:val="16"/>
                <w:b w:val="1"/>
                <w:bCs w:val="1"/>
                <w:color w:val="auto"/>
                <w:w w:val="88"/>
              </w:rPr>
              <w:t>Retirements,</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0"/>
              </w:rPr>
              <w:t>January 1,</w:t>
            </w:r>
          </w:p>
        </w:tc>
        <w:tc>
          <w:tcPr>
            <w:tcW w:w="20" w:type="dxa"/>
            <w:vAlign w:val="bottom"/>
          </w:tcPr>
          <w:p>
            <w:pPr>
              <w:spacing w:after="0"/>
              <w:rPr>
                <w:sz w:val="16"/>
                <w:szCs w:val="16"/>
                <w:color w:val="auto"/>
              </w:rPr>
            </w:pPr>
          </w:p>
        </w:tc>
        <w:tc>
          <w:tcPr>
            <w:tcW w:w="1020" w:type="dxa"/>
            <w:vAlign w:val="bottom"/>
            <w:gridSpan w:val="4"/>
          </w:tcPr>
          <w:p>
            <w:pPr>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09"/>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880" w:type="dxa"/>
            <w:vAlign w:val="bottom"/>
          </w:tcPr>
          <w:p>
            <w:pPr>
              <w:jc w:val="right"/>
              <w:ind w:right="26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net</w:t>
            </w:r>
          </w:p>
        </w:tc>
        <w:tc>
          <w:tcPr>
            <w:tcW w:w="280" w:type="dxa"/>
            <w:vAlign w:val="bottom"/>
          </w:tcPr>
          <w:p>
            <w:pPr>
              <w:spacing w:after="0"/>
              <w:rPr>
                <w:sz w:val="18"/>
                <w:szCs w:val="18"/>
                <w:color w:val="auto"/>
              </w:rPr>
            </w:pPr>
          </w:p>
        </w:tc>
        <w:tc>
          <w:tcPr>
            <w:tcW w:w="700" w:type="dxa"/>
            <w:vAlign w:val="bottom"/>
          </w:tcPr>
          <w:p>
            <w:pPr>
              <w:jc w:val="right"/>
              <w:ind w:right="24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24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21"/>
              <w:spacing w:after="0"/>
              <w:rPr>
                <w:sz w:val="20"/>
                <w:szCs w:val="20"/>
                <w:color w:val="auto"/>
              </w:rPr>
            </w:pPr>
            <w:r>
              <w:rPr>
                <w:rFonts w:ascii="Arial" w:cs="Arial" w:eastAsia="Arial" w:hAnsi="Arial"/>
                <w:sz w:val="16"/>
                <w:szCs w:val="16"/>
                <w:b w:val="1"/>
                <w:bCs w:val="1"/>
                <w:color w:val="auto"/>
                <w:w w:val="83"/>
              </w:rPr>
              <w:t>net</w:t>
            </w:r>
          </w:p>
        </w:tc>
        <w:tc>
          <w:tcPr>
            <w:tcW w:w="320" w:type="dxa"/>
            <w:vAlign w:val="bottom"/>
          </w:tcPr>
          <w:p>
            <w:pPr>
              <w:spacing w:after="0"/>
              <w:rPr>
                <w:sz w:val="18"/>
                <w:szCs w:val="18"/>
                <w:color w:val="auto"/>
              </w:rPr>
            </w:pPr>
          </w:p>
        </w:tc>
        <w:tc>
          <w:tcPr>
            <w:tcW w:w="660" w:type="dxa"/>
            <w:vAlign w:val="bottom"/>
          </w:tcPr>
          <w:p>
            <w:pPr>
              <w:jc w:val="right"/>
              <w:ind w:right="261"/>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4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4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Trade names</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5,326</w:t>
            </w:r>
          </w:p>
        </w:tc>
        <w:tc>
          <w:tcPr>
            <w:tcW w:w="2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6,176</w:t>
            </w: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16"/>
                <w:szCs w:val="16"/>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6"/>
                <w:szCs w:val="16"/>
                <w:color w:val="auto"/>
              </w:rPr>
              <w:t>(213)</w:t>
            </w:r>
          </w:p>
        </w:tc>
        <w:tc>
          <w:tcPr>
            <w:tcW w:w="3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761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5,874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Acquired developed Technology</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4,911</w:t>
            </w: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4,911</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(191)</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gridSpan w:val="2"/>
          </w:tcPr>
          <w:p>
            <w:pPr>
              <w:spacing w:after="0"/>
              <w:rPr>
                <w:sz w:val="20"/>
                <w:szCs w:val="20"/>
                <w:color w:val="auto"/>
              </w:rPr>
            </w:pPr>
            <w:r>
              <w:rPr>
                <w:rFonts w:ascii="Arial" w:cs="Arial" w:eastAsia="Arial" w:hAnsi="Arial"/>
                <w:sz w:val="16"/>
                <w:szCs w:val="16"/>
                <w:color w:val="auto"/>
              </w:rPr>
              <w:t>Non-compete</w:t>
            </w: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1,202</w:t>
            </w:r>
          </w:p>
        </w:tc>
        <w:tc>
          <w:tcPr>
            <w:tcW w:w="2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16"/>
                <w:szCs w:val="16"/>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6"/>
                <w:szCs w:val="16"/>
                <w:color w:val="auto"/>
              </w:rPr>
              <w:t>(60)</w:t>
            </w:r>
          </w:p>
        </w:tc>
        <w:tc>
          <w:tcPr>
            <w:tcW w:w="3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1,142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Capitalized website costs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(52)</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gridSpan w:val="2"/>
            <w:vMerge w:val="restart"/>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21"/>
              <w:spacing w:after="0"/>
              <w:rPr>
                <w:sz w:val="20"/>
                <w:szCs w:val="20"/>
                <w:color w:val="auto"/>
              </w:rPr>
            </w:pPr>
            <w:r>
              <w:rPr>
                <w:rFonts w:ascii="Arial" w:cs="Arial" w:eastAsia="Arial" w:hAnsi="Arial"/>
                <w:sz w:val="8"/>
                <w:szCs w:val="8"/>
                <w:color w:val="auto"/>
                <w:w w:val="73"/>
              </w:rPr>
              <w:t>)</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66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1,919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13,033</w:t>
            </w:r>
          </w:p>
        </w:tc>
        <w:tc>
          <w:tcPr>
            <w:tcW w:w="8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14,952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(655</w:t>
            </w:r>
          </w:p>
        </w:tc>
        <w:tc>
          <w:tcPr>
            <w:tcW w:w="100" w:type="dxa"/>
            <w:vAlign w:val="bottom"/>
            <w:vMerge w:val="continue"/>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(880</w:t>
            </w: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1,694</w:t>
            </w:r>
          </w:p>
        </w:tc>
        <w:tc>
          <w:tcPr>
            <w:tcW w:w="220" w:type="dxa"/>
            <w:vAlign w:val="bottom"/>
            <w:gridSpan w:val="2"/>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14,072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360" w:firstLine="284"/>
        <w:spacing w:after="0" w:line="268" w:lineRule="auto"/>
        <w:rPr>
          <w:sz w:val="20"/>
          <w:szCs w:val="20"/>
          <w:color w:val="auto"/>
        </w:rPr>
      </w:pPr>
      <w:r>
        <w:rPr>
          <w:rFonts w:ascii="Arial" w:cs="Arial" w:eastAsia="Arial" w:hAnsi="Arial"/>
          <w:sz w:val="16"/>
          <w:szCs w:val="16"/>
          <w:color w:val="auto"/>
        </w:rPr>
        <w:t>Amortization expense recorded in general and administrative in the condensed consolidated statements of operations were $673 thousand and $58 thousand for the three months ended March 31, 2022 and 2021, respectively.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6" w:name="page37"/>
    <w:bookmarkEnd w:id="36"/>
    <w:tbl>
      <w:tblPr>
        <w:tblLayout w:type="fixed"/>
        <w:tblInd w:w="5" w:type="dxa"/>
        <w:tblCellMar>
          <w:top w:w="0" w:type="dxa"/>
          <w:left w:w="0" w:type="dxa"/>
          <w:bottom w:w="0" w:type="dxa"/>
          <w:right w:w="0" w:type="dxa"/>
        </w:tblCellMar>
      </w:tblPr>
      <w:tr>
        <w:trPr>
          <w:trHeight w:val="200"/>
        </w:trPr>
        <w:tc>
          <w:tcPr>
            <w:tcW w:w="9900" w:type="dxa"/>
            <w:vAlign w:val="bottom"/>
          </w:tcPr>
          <w:p>
            <w:pPr>
              <w:ind w:left="280"/>
              <w:spacing w:after="0"/>
              <w:rPr>
                <w:sz w:val="20"/>
                <w:szCs w:val="20"/>
                <w:color w:val="auto"/>
              </w:rPr>
            </w:pPr>
            <w:r>
              <w:rPr>
                <w:rFonts w:ascii="Arial" w:cs="Arial" w:eastAsia="Arial" w:hAnsi="Arial"/>
                <w:sz w:val="16"/>
                <w:szCs w:val="16"/>
                <w:color w:val="auto"/>
              </w:rPr>
              <w:t>Estimated amortization expense for the remainder of 2022 and subsequent years for acquired intangible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9900" w:type="dxa"/>
            <w:vAlign w:val="bottom"/>
          </w:tcPr>
          <w:p>
            <w:pPr>
              <w:spacing w:after="0"/>
              <w:rPr>
                <w:sz w:val="20"/>
                <w:szCs w:val="20"/>
                <w:color w:val="auto"/>
              </w:rPr>
            </w:pPr>
            <w:r>
              <w:rPr>
                <w:rFonts w:ascii="Arial" w:cs="Arial" w:eastAsia="Arial" w:hAnsi="Arial"/>
                <w:sz w:val="16"/>
                <w:szCs w:val="16"/>
                <w:b w:val="1"/>
                <w:bCs w:val="1"/>
                <w:color w:val="auto"/>
              </w:rPr>
              <w:t>Years ending December 31 (In thousands),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89"/>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Remaining 2022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tcPr>
          <w:p>
            <w:pPr>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2,763</w:t>
            </w:r>
          </w:p>
        </w:tc>
        <w:tc>
          <w:tcPr>
            <w:tcW w:w="0" w:type="dxa"/>
            <w:vAlign w:val="bottom"/>
          </w:tcPr>
          <w:p>
            <w:pPr>
              <w:spacing w:after="0"/>
              <w:rPr>
                <w:sz w:val="1"/>
                <w:szCs w:val="1"/>
                <w:color w:val="auto"/>
              </w:rPr>
            </w:pPr>
          </w:p>
        </w:tc>
      </w:tr>
      <w:tr>
        <w:trPr>
          <w:trHeight w:val="189"/>
        </w:trPr>
        <w:tc>
          <w:tcPr>
            <w:tcW w:w="9900" w:type="dxa"/>
            <w:vAlign w:val="bottom"/>
          </w:tcPr>
          <w:p>
            <w:pPr>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2,737</w:t>
            </w:r>
          </w:p>
        </w:tc>
        <w:tc>
          <w:tcPr>
            <w:tcW w:w="0" w:type="dxa"/>
            <w:vAlign w:val="bottom"/>
          </w:tcPr>
          <w:p>
            <w:pPr>
              <w:spacing w:after="0"/>
              <w:rPr>
                <w:sz w:val="1"/>
                <w:szCs w:val="1"/>
                <w:color w:val="auto"/>
              </w:rPr>
            </w:pPr>
          </w:p>
        </w:tc>
      </w:tr>
      <w:tr>
        <w:trPr>
          <w:trHeight w:val="189"/>
        </w:trPr>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01"/>
        </w:trPr>
        <w:tc>
          <w:tcPr>
            <w:tcW w:w="9900" w:type="dxa"/>
            <w:vAlign w:val="bottom"/>
          </w:tcPr>
          <w:p>
            <w:pPr>
              <w:spacing w:after="0"/>
              <w:rPr>
                <w:sz w:val="20"/>
                <w:szCs w:val="20"/>
                <w:color w:val="auto"/>
              </w:rPr>
            </w:pPr>
            <w:r>
              <w:rPr>
                <w:rFonts w:ascii="Arial" w:cs="Arial" w:eastAsia="Arial" w:hAnsi="Arial"/>
                <w:sz w:val="16"/>
                <w:szCs w:val="16"/>
                <w:color w:val="auto"/>
              </w:rPr>
              <w:t>2027 and thereafter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4"/>
        </w:trPr>
        <w:tc>
          <w:tcPr>
            <w:tcW w:w="990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9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15,861</w:t>
            </w:r>
          </w:p>
        </w:tc>
        <w:tc>
          <w:tcPr>
            <w:tcW w:w="0" w:type="dxa"/>
            <w:vAlign w:val="bottom"/>
          </w:tcPr>
          <w:p>
            <w:pPr>
              <w:spacing w:after="0"/>
              <w:rPr>
                <w:sz w:val="1"/>
                <w:szCs w:val="1"/>
                <w:color w:val="auto"/>
              </w:rPr>
            </w:pP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5"/>
        <w:spacing w:after="0"/>
        <w:rPr>
          <w:sz w:val="20"/>
          <w:szCs w:val="20"/>
          <w:color w:val="auto"/>
        </w:rPr>
      </w:pPr>
      <w:r>
        <w:rPr>
          <w:rFonts w:ascii="Arial" w:cs="Arial" w:eastAsia="Arial" w:hAnsi="Arial"/>
          <w:sz w:val="16"/>
          <w:szCs w:val="16"/>
          <w:color w:val="auto"/>
        </w:rPr>
        <w:t>Goodwill consisted of the following:</w:t>
      </w:r>
    </w:p>
    <w:p>
      <w:pPr>
        <w:sectPr>
          <w:pgSz w:w="11900" w:h="16838" w:orient="portrait"/>
          <w:cols w:equalWidth="0" w:num="1">
            <w:col w:w="11265"/>
          </w:cols>
          <w:pgMar w:left="315" w:top="78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9465" cy="135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3" w:lineRule="exact"/>
        <w:rPr>
          <w:sz w:val="20"/>
          <w:szCs w:val="20"/>
          <w:color w:val="auto"/>
        </w:rPr>
      </w:pPr>
    </w:p>
    <w:p>
      <w:pPr>
        <w:ind w:left="5"/>
        <w:spacing w:after="0"/>
        <w:rPr>
          <w:sz w:val="20"/>
          <w:szCs w:val="20"/>
          <w:color w:val="auto"/>
        </w:rPr>
      </w:pPr>
      <w:r>
        <w:rPr>
          <w:rFonts w:ascii="Arial" w:cs="Arial" w:eastAsia="Arial" w:hAnsi="Arial"/>
          <w:sz w:val="16"/>
          <w:szCs w:val="16"/>
          <w:color w:val="auto"/>
        </w:rPr>
        <w:t>Goodwill - beginning of period</w:t>
      </w:r>
    </w:p>
    <w:p>
      <w:pPr>
        <w:spacing w:after="0" w:line="16" w:lineRule="exact"/>
        <w:rPr>
          <w:sz w:val="20"/>
          <w:szCs w:val="20"/>
          <w:color w:val="auto"/>
        </w:rPr>
      </w:pPr>
    </w:p>
    <w:p>
      <w:pPr>
        <w:ind w:left="145"/>
        <w:spacing w:after="0"/>
        <w:rPr>
          <w:sz w:val="20"/>
          <w:szCs w:val="20"/>
          <w:color w:val="auto"/>
        </w:rPr>
      </w:pPr>
      <w:r>
        <w:rPr>
          <w:rFonts w:ascii="Arial" w:cs="Arial" w:eastAsia="Arial" w:hAnsi="Arial"/>
          <w:sz w:val="16"/>
          <w:szCs w:val="16"/>
          <w:color w:val="auto"/>
        </w:rPr>
        <w:t>Goodwill acquired during period</w:t>
      </w:r>
    </w:p>
    <w:p>
      <w:pPr>
        <w:spacing w:after="0" w:line="5" w:lineRule="exact"/>
        <w:rPr>
          <w:sz w:val="20"/>
          <w:szCs w:val="20"/>
          <w:color w:val="auto"/>
        </w:rPr>
      </w:pPr>
    </w:p>
    <w:p>
      <w:pPr>
        <w:ind w:left="145"/>
        <w:spacing w:after="0"/>
        <w:rPr>
          <w:sz w:val="20"/>
          <w:szCs w:val="20"/>
          <w:color w:val="auto"/>
        </w:rPr>
      </w:pPr>
      <w:r>
        <w:rPr>
          <w:rFonts w:ascii="Arial" w:cs="Arial" w:eastAsia="Arial" w:hAnsi="Arial"/>
          <w:sz w:val="16"/>
          <w:szCs w:val="16"/>
          <w:color w:val="auto"/>
        </w:rPr>
        <w:t>Goodwill purchase accounting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9465" cy="142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42875"/>
                    </a:xfrm>
                    <a:prstGeom prst="rect">
                      <a:avLst/>
                    </a:prstGeom>
                    <a:noFill/>
                  </pic:spPr>
                </pic:pic>
              </a:graphicData>
            </a:graphic>
          </wp:anchor>
        </w:drawing>
      </w:r>
    </w:p>
    <w:p>
      <w:pPr>
        <w:ind w:left="5"/>
        <w:spacing w:after="0"/>
        <w:rPr>
          <w:sz w:val="20"/>
          <w:szCs w:val="20"/>
          <w:color w:val="auto"/>
        </w:rPr>
      </w:pPr>
      <w:r>
        <w:rPr>
          <w:rFonts w:ascii="Arial" w:cs="Arial" w:eastAsia="Arial" w:hAnsi="Arial"/>
          <w:sz w:val="16"/>
          <w:szCs w:val="16"/>
          <w:color w:val="auto"/>
        </w:rPr>
        <w:t>Goodwill - end of period</w:t>
      </w:r>
    </w:p>
    <w:p>
      <w:pPr>
        <w:spacing w:after="0" w:line="28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Note 13 — Other Non-Current Assets</w:t>
      </w:r>
    </w:p>
    <w:p>
      <w:pPr>
        <w:spacing w:after="0" w:line="198" w:lineRule="exact"/>
        <w:rPr>
          <w:sz w:val="20"/>
          <w:szCs w:val="20"/>
          <w:color w:val="auto"/>
        </w:rPr>
      </w:pPr>
    </w:p>
    <w:p>
      <w:pPr>
        <w:ind w:left="285"/>
        <w:spacing w:after="0"/>
        <w:rPr>
          <w:sz w:val="20"/>
          <w:szCs w:val="20"/>
          <w:color w:val="auto"/>
        </w:rPr>
      </w:pPr>
      <w:r>
        <w:rPr>
          <w:rFonts w:ascii="Arial" w:cs="Arial" w:eastAsia="Arial" w:hAnsi="Arial"/>
          <w:sz w:val="14"/>
          <w:szCs w:val="14"/>
          <w:color w:val="auto"/>
        </w:rPr>
        <w:t>Other non-current assets consisted of the following as of March 31, 2022 and December 31, 2021:</w:t>
      </w:r>
    </w:p>
    <w:p>
      <w:pPr>
        <w:spacing w:after="0" w:line="200" w:lineRule="exact"/>
        <w:rPr>
          <w:sz w:val="20"/>
          <w:szCs w:val="20"/>
          <w:color w:val="auto"/>
        </w:rPr>
      </w:pPr>
    </w:p>
    <w:p>
      <w:pPr>
        <w:spacing w:after="0" w:line="21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left="-4"/>
        <w:spacing w:after="0"/>
        <w:rPr>
          <w:sz w:val="20"/>
          <w:szCs w:val="20"/>
          <w:color w:val="auto"/>
        </w:rPr>
      </w:pPr>
      <w:r>
        <w:rPr>
          <w:rFonts w:ascii="Arial" w:cs="Arial" w:eastAsia="Arial" w:hAnsi="Arial"/>
          <w:sz w:val="16"/>
          <w:szCs w:val="16"/>
          <w:b w:val="1"/>
          <w:bCs w:val="1"/>
          <w:color w:val="auto"/>
        </w:rPr>
        <w:t>Three Months</w:t>
      </w:r>
    </w:p>
    <w:p>
      <w:pPr>
        <w:spacing w:after="0" w:line="20" w:lineRule="exact"/>
        <w:rPr>
          <w:sz w:val="20"/>
          <w:szCs w:val="20"/>
          <w:color w:val="auto"/>
        </w:rPr>
      </w:pPr>
    </w:p>
    <w:p>
      <w:pPr>
        <w:jc w:val="center"/>
        <w:ind w:left="-4"/>
        <w:spacing w:after="0"/>
        <w:rPr>
          <w:sz w:val="20"/>
          <w:szCs w:val="20"/>
          <w:color w:val="auto"/>
        </w:rPr>
      </w:pPr>
      <w:r>
        <w:rPr>
          <w:rFonts w:ascii="Arial" w:cs="Arial" w:eastAsia="Arial" w:hAnsi="Arial"/>
          <w:sz w:val="16"/>
          <w:szCs w:val="16"/>
          <w:b w:val="1"/>
          <w:bCs w:val="1"/>
          <w:color w:val="auto"/>
        </w:rPr>
        <w:t>ended</w:t>
      </w:r>
    </w:p>
    <w:p>
      <w:pPr>
        <w:spacing w:after="0" w:line="5" w:lineRule="exact"/>
        <w:rPr>
          <w:sz w:val="20"/>
          <w:szCs w:val="20"/>
          <w:color w:val="auto"/>
        </w:rPr>
      </w:pPr>
    </w:p>
    <w:p>
      <w:pPr>
        <w:jc w:val="center"/>
        <w:ind w:left="-4"/>
        <w:spacing w:after="0"/>
        <w:rPr>
          <w:sz w:val="20"/>
          <w:szCs w:val="20"/>
          <w:color w:val="auto"/>
        </w:rPr>
      </w:pPr>
      <w:r>
        <w:rPr>
          <w:rFonts w:ascii="Arial" w:cs="Arial" w:eastAsia="Arial" w:hAnsi="Arial"/>
          <w:sz w:val="16"/>
          <w:szCs w:val="16"/>
          <w:b w:val="1"/>
          <w:bCs w:val="1"/>
          <w:color w:val="auto"/>
        </w:rPr>
        <w:t>March 31,</w:t>
      </w:r>
    </w:p>
    <w:p>
      <w:pPr>
        <w:spacing w:after="0" w:line="5" w:lineRule="exact"/>
        <w:rPr>
          <w:sz w:val="20"/>
          <w:szCs w:val="20"/>
          <w:color w:val="auto"/>
        </w:rPr>
      </w:pPr>
    </w:p>
    <w:p>
      <w:pPr>
        <w:jc w:val="center"/>
        <w:ind w:left="-4"/>
        <w:spacing w:after="0"/>
        <w:rPr>
          <w:sz w:val="20"/>
          <w:szCs w:val="20"/>
          <w:color w:val="auto"/>
        </w:rPr>
      </w:pPr>
      <w:r>
        <w:rPr>
          <w:rFonts w:ascii="Arial" w:cs="Arial" w:eastAsia="Arial" w:hAnsi="Arial"/>
          <w:sz w:val="16"/>
          <w:szCs w:val="16"/>
          <w:b w:val="1"/>
          <w:bCs w:val="1"/>
          <w:color w:val="auto"/>
        </w:rPr>
        <w:t>2022</w:t>
      </w:r>
    </w:p>
    <w:p>
      <w:pPr>
        <w:spacing w:after="0" w:line="18" w:lineRule="exact"/>
        <w:rPr>
          <w:sz w:val="20"/>
          <w:szCs w:val="20"/>
          <w:color w:val="auto"/>
        </w:rPr>
      </w:pPr>
    </w:p>
    <w:p>
      <w:pPr>
        <w:ind w:left="705" w:hanging="705"/>
        <w:spacing w:after="0"/>
        <w:tabs>
          <w:tab w:leader="none" w:pos="705" w:val="left"/>
        </w:tabs>
        <w:numPr>
          <w:ilvl w:val="0"/>
          <w:numId w:val="22"/>
        </w:numPr>
        <w:rPr>
          <w:rFonts w:ascii="Arial" w:cs="Arial" w:eastAsia="Arial" w:hAnsi="Arial"/>
          <w:sz w:val="14"/>
          <w:szCs w:val="14"/>
          <w:color w:val="auto"/>
        </w:rPr>
      </w:pPr>
      <w:r>
        <w:rPr>
          <w:rFonts w:ascii="Arial" w:cs="Arial" w:eastAsia="Arial" w:hAnsi="Arial"/>
          <w:sz w:val="14"/>
          <w:szCs w:val="14"/>
          <w:color w:val="auto"/>
        </w:rPr>
        <w:t>50,090</w:t>
      </w:r>
    </w:p>
    <w:p>
      <w:pPr>
        <w:spacing w:after="0" w:line="39" w:lineRule="exact"/>
        <w:rPr>
          <w:rFonts w:ascii="Arial" w:cs="Arial" w:eastAsia="Arial" w:hAnsi="Arial"/>
          <w:sz w:val="14"/>
          <w:szCs w:val="14"/>
          <w:color w:val="auto"/>
        </w:rPr>
      </w:pPr>
    </w:p>
    <w:p>
      <w:pPr>
        <w:ind w:left="785"/>
        <w:spacing w:after="0"/>
        <w:rPr>
          <w:rFonts w:ascii="Arial" w:cs="Arial" w:eastAsia="Arial" w:hAnsi="Arial"/>
          <w:sz w:val="14"/>
          <w:szCs w:val="14"/>
          <w:color w:val="auto"/>
        </w:rPr>
      </w:pPr>
      <w:r>
        <w:rPr>
          <w:rFonts w:ascii="Arial" w:cs="Arial" w:eastAsia="Arial" w:hAnsi="Arial"/>
          <w:sz w:val="14"/>
          <w:szCs w:val="14"/>
          <w:color w:val="auto"/>
        </w:rPr>
        <w:t>4,368</w:t>
      </w:r>
    </w:p>
    <w:p>
      <w:pPr>
        <w:spacing w:after="0" w:line="28" w:lineRule="exact"/>
        <w:rPr>
          <w:rFonts w:ascii="Arial" w:cs="Arial" w:eastAsia="Arial" w:hAnsi="Arial"/>
          <w:sz w:val="14"/>
          <w:szCs w:val="14"/>
          <w:color w:val="auto"/>
        </w:rPr>
      </w:pPr>
    </w:p>
    <w:p>
      <w:pPr>
        <w:ind w:left="985"/>
        <w:spacing w:after="0"/>
        <w:rPr>
          <w:rFonts w:ascii="Arial" w:cs="Arial" w:eastAsia="Arial" w:hAnsi="Arial"/>
          <w:sz w:val="14"/>
          <w:szCs w:val="14"/>
          <w:color w:val="auto"/>
        </w:rPr>
      </w:pPr>
      <w:r>
        <w:rPr>
          <w:rFonts w:ascii="Arial" w:cs="Arial" w:eastAsia="Arial" w:hAnsi="Arial"/>
          <w:sz w:val="14"/>
          <w:szCs w:val="14"/>
          <w:color w:val="auto"/>
        </w:rPr>
        <w:t>86</w:t>
      </w:r>
    </w:p>
    <w:p>
      <w:pPr>
        <w:spacing w:after="0" w:line="76" w:lineRule="exact"/>
        <w:rPr>
          <w:sz w:val="20"/>
          <w:szCs w:val="20"/>
          <w:color w:val="auto"/>
        </w:rPr>
      </w:pPr>
    </w:p>
    <w:p>
      <w:pPr>
        <w:ind w:left="705" w:hanging="705"/>
        <w:spacing w:after="0"/>
        <w:tabs>
          <w:tab w:leader="none" w:pos="705" w:val="left"/>
        </w:tabs>
        <w:numPr>
          <w:ilvl w:val="0"/>
          <w:numId w:val="23"/>
        </w:numPr>
        <w:rPr>
          <w:rFonts w:ascii="Arial" w:cs="Arial" w:eastAsia="Arial" w:hAnsi="Arial"/>
          <w:sz w:val="14"/>
          <w:szCs w:val="14"/>
          <w:color w:val="auto"/>
        </w:rPr>
      </w:pPr>
      <w:r>
        <w:rPr>
          <w:rFonts w:ascii="Arial" w:cs="Arial" w:eastAsia="Arial" w:hAnsi="Arial"/>
          <w:sz w:val="14"/>
          <w:szCs w:val="14"/>
          <w:color w:val="auto"/>
        </w:rPr>
        <w:t>54,544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072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72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72072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72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4"/>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p>
    <w:p>
      <w:pPr>
        <w:jc w:val="center"/>
        <w:ind w:left="-4"/>
        <w:spacing w:after="0"/>
        <w:rPr>
          <w:sz w:val="20"/>
          <w:szCs w:val="20"/>
          <w:color w:val="auto"/>
        </w:rPr>
      </w:pP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jc w:val="center"/>
        <w:ind w:left="85" w:right="135"/>
        <w:spacing w:after="0" w:line="258" w:lineRule="auto"/>
        <w:rPr>
          <w:sz w:val="20"/>
          <w:szCs w:val="20"/>
          <w:color w:val="auto"/>
        </w:rPr>
      </w:pPr>
      <w:r>
        <w:rPr>
          <w:rFonts w:ascii="Arial" w:cs="Arial" w:eastAsia="Arial" w:hAnsi="Arial"/>
          <w:sz w:val="16"/>
          <w:szCs w:val="16"/>
          <w:b w:val="1"/>
          <w:bCs w:val="1"/>
          <w:color w:val="auto"/>
        </w:rPr>
        <w:t>Year ended December 31, 2021</w:t>
      </w:r>
    </w:p>
    <w:p>
      <w:pPr>
        <w:spacing w:after="0" w:line="2" w:lineRule="exact"/>
        <w:rPr>
          <w:sz w:val="20"/>
          <w:szCs w:val="20"/>
          <w:color w:val="auto"/>
        </w:rPr>
      </w:pPr>
    </w:p>
    <w:p>
      <w:pPr>
        <w:ind w:left="885" w:hanging="885"/>
        <w:spacing w:after="0"/>
        <w:tabs>
          <w:tab w:leader="none" w:pos="885" w:val="left"/>
        </w:tabs>
        <w:numPr>
          <w:ilvl w:val="0"/>
          <w:numId w:val="24"/>
        </w:numPr>
        <w:rPr>
          <w:rFonts w:ascii="Arial" w:cs="Arial" w:eastAsia="Arial" w:hAnsi="Arial"/>
          <w:sz w:val="12"/>
          <w:szCs w:val="12"/>
          <w:color w:val="auto"/>
        </w:rPr>
      </w:pPr>
      <w:r>
        <w:rPr>
          <w:rFonts w:ascii="Arial" w:cs="Arial" w:eastAsia="Arial" w:hAnsi="Arial"/>
          <w:sz w:val="12"/>
          <w:szCs w:val="12"/>
          <w:color w:val="auto"/>
        </w:rPr>
        <w:t>632</w:t>
      </w:r>
    </w:p>
    <w:p>
      <w:pPr>
        <w:spacing w:after="0" w:line="62" w:lineRule="exact"/>
        <w:rPr>
          <w:rFonts w:ascii="Arial" w:cs="Arial" w:eastAsia="Arial" w:hAnsi="Arial"/>
          <w:sz w:val="12"/>
          <w:szCs w:val="12"/>
          <w:color w:val="auto"/>
        </w:rPr>
      </w:pPr>
    </w:p>
    <w:p>
      <w:pPr>
        <w:ind w:left="685"/>
        <w:spacing w:after="0"/>
        <w:rPr>
          <w:rFonts w:ascii="Arial" w:cs="Arial" w:eastAsia="Arial" w:hAnsi="Arial"/>
          <w:sz w:val="12"/>
          <w:szCs w:val="12"/>
          <w:color w:val="auto"/>
        </w:rPr>
      </w:pPr>
      <w:r>
        <w:rPr>
          <w:rFonts w:ascii="Arial" w:cs="Arial" w:eastAsia="Arial" w:hAnsi="Arial"/>
          <w:sz w:val="12"/>
          <w:szCs w:val="12"/>
          <w:color w:val="auto"/>
        </w:rPr>
        <w:t>49,458</w:t>
      </w:r>
    </w:p>
    <w:p>
      <w:pPr>
        <w:spacing w:after="0" w:line="51" w:lineRule="exact"/>
        <w:rPr>
          <w:rFonts w:ascii="Arial" w:cs="Arial" w:eastAsia="Arial" w:hAnsi="Arial"/>
          <w:sz w:val="12"/>
          <w:szCs w:val="12"/>
          <w:color w:val="auto"/>
        </w:rPr>
      </w:pPr>
    </w:p>
    <w:p>
      <w:pPr>
        <w:ind w:left="945"/>
        <w:spacing w:after="0"/>
        <w:rPr>
          <w:rFonts w:ascii="Arial" w:cs="Arial" w:eastAsia="Arial" w:hAnsi="Arial"/>
          <w:sz w:val="12"/>
          <w:szCs w:val="12"/>
          <w:color w:val="auto"/>
        </w:rPr>
      </w:pPr>
      <w:r>
        <w:rPr>
          <w:rFonts w:ascii="Arial" w:cs="Arial" w:eastAsia="Arial" w:hAnsi="Arial"/>
          <w:sz w:val="16"/>
          <w:szCs w:val="16"/>
          <w:color w:val="auto"/>
        </w:rPr>
        <w:t>—</w:t>
      </w:r>
    </w:p>
    <w:p>
      <w:pPr>
        <w:spacing w:after="0" w:line="53" w:lineRule="exact"/>
        <w:rPr>
          <w:sz w:val="20"/>
          <w:szCs w:val="20"/>
          <w:color w:val="auto"/>
        </w:rPr>
      </w:pPr>
    </w:p>
    <w:p>
      <w:pPr>
        <w:ind w:left="685" w:hanging="685"/>
        <w:spacing w:after="0"/>
        <w:tabs>
          <w:tab w:leader="none" w:pos="685" w:val="left"/>
        </w:tabs>
        <w:numPr>
          <w:ilvl w:val="0"/>
          <w:numId w:val="25"/>
        </w:numPr>
        <w:rPr>
          <w:rFonts w:ascii="Arial" w:cs="Arial" w:eastAsia="Arial" w:hAnsi="Arial"/>
          <w:sz w:val="12"/>
          <w:szCs w:val="12"/>
          <w:color w:val="auto"/>
        </w:rPr>
      </w:pPr>
      <w:r>
        <w:rPr>
          <w:rFonts w:ascii="Arial" w:cs="Arial" w:eastAsia="Arial" w:hAnsi="Arial"/>
          <w:sz w:val="12"/>
          <w:szCs w:val="12"/>
          <w:color w:val="auto"/>
        </w:rPr>
        <w:t>50,090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0612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612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62865</wp:posOffset>
            </wp:positionV>
            <wp:extent cx="70612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612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5"/>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p>
    <w:p>
      <w:pPr>
        <w:jc w:val="center"/>
        <w:ind w:right="115"/>
        <w:spacing w:after="0"/>
        <w:rPr>
          <w:sz w:val="20"/>
          <w:szCs w:val="20"/>
          <w:color w:val="auto"/>
        </w:rPr>
      </w:pPr>
      <w:r>
        <w:rPr>
          <w:rFonts w:ascii="Arial" w:cs="Arial" w:eastAsia="Arial" w:hAnsi="Arial"/>
          <w:sz w:val="16"/>
          <w:szCs w:val="16"/>
          <w:b w:val="1"/>
          <w:bCs w:val="1"/>
          <w:color w:val="auto"/>
        </w:rPr>
        <w:t>2021</w:t>
      </w:r>
    </w:p>
    <w:p>
      <w:pPr>
        <w:spacing w:after="0" w:line="37" w:lineRule="exact"/>
        <w:rPr>
          <w:sz w:val="20"/>
          <w:szCs w:val="20"/>
          <w:color w:val="auto"/>
        </w:rPr>
      </w:pPr>
    </w:p>
    <w:p>
      <w:pPr>
        <w:sectPr>
          <w:pgSz w:w="11900" w:h="16838" w:orient="portrait"/>
          <w:cols w:equalWidth="0" w:num="3">
            <w:col w:w="7961" w:space="720"/>
            <w:col w:w="1145" w:space="215"/>
            <w:col w:w="1225"/>
          </w:cols>
          <w:pgMar w:left="315" w:top="789" w:right="319" w:bottom="1440" w:gutter="0" w:footer="0" w:header="0"/>
          <w:type w:val="continuous"/>
        </w:sectPr>
      </w:pPr>
    </w:p>
    <w:tbl>
      <w:tblPr>
        <w:tblLayout w:type="fixed"/>
        <w:tblInd w:w="5" w:type="dxa"/>
        <w:tblCellMar>
          <w:top w:w="0" w:type="dxa"/>
          <w:left w:w="0" w:type="dxa"/>
          <w:bottom w:w="0" w:type="dxa"/>
          <w:right w:w="0" w:type="dxa"/>
        </w:tblCellMar>
      </w:tblPr>
      <w:tr>
        <w:trPr>
          <w:trHeight w:val="20"/>
        </w:trPr>
        <w:tc>
          <w:tcPr>
            <w:tcW w:w="8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5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Long-term deferred commissions expense</w:t>
            </w:r>
          </w:p>
        </w:tc>
        <w:tc>
          <w:tcPr>
            <w:tcW w:w="2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3,008</w:t>
            </w:r>
          </w:p>
        </w:tc>
        <w:tc>
          <w:tcPr>
            <w:tcW w:w="360" w:type="dxa"/>
            <w:vAlign w:val="bottom"/>
            <w:gridSpan w:val="2"/>
            <w:shd w:val="clear" w:color="auto" w:fill="CCEEFF"/>
          </w:tcPr>
          <w:p>
            <w:pPr>
              <w:jc w:val="right"/>
              <w:ind w:right="84"/>
              <w:spacing w:after="0" w:line="175"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line="175" w:lineRule="exact"/>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01"/>
        </w:trPr>
        <w:tc>
          <w:tcPr>
            <w:tcW w:w="8560" w:type="dxa"/>
            <w:vAlign w:val="bottom"/>
          </w:tcPr>
          <w:p>
            <w:pPr>
              <w:spacing w:after="0"/>
              <w:rPr>
                <w:sz w:val="20"/>
                <w:szCs w:val="20"/>
                <w:color w:val="auto"/>
              </w:rPr>
            </w:pPr>
            <w:r>
              <w:rPr>
                <w:rFonts w:ascii="Arial" w:cs="Arial" w:eastAsia="Arial" w:hAnsi="Arial"/>
                <w:sz w:val="16"/>
                <w:szCs w:val="16"/>
                <w:color w:val="auto"/>
              </w:rPr>
              <w:t>Security deposits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4"/>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other non-current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3,105</w:t>
            </w:r>
          </w:p>
        </w:tc>
        <w:tc>
          <w:tcPr>
            <w:tcW w:w="36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Note 14 — Accrued Expenses and Other Current Liabilities</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8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60" w:type="dxa"/>
            <w:vAlign w:val="bottom"/>
          </w:tcPr>
          <w:p>
            <w:pPr>
              <w:ind w:left="280"/>
              <w:spacing w:after="0"/>
              <w:rPr>
                <w:sz w:val="20"/>
                <w:szCs w:val="20"/>
                <w:color w:val="auto"/>
              </w:rPr>
            </w:pPr>
            <w:r>
              <w:rPr>
                <w:rFonts w:ascii="Arial" w:cs="Arial" w:eastAsia="Arial" w:hAnsi="Arial"/>
                <w:sz w:val="16"/>
                <w:szCs w:val="16"/>
                <w:color w:val="auto"/>
                <w:w w:val="98"/>
              </w:rPr>
              <w:t>Accrued expenses and other current liabilities consisted of the following as of March 31, 2022 and December 31, 2021: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09"/>
        </w:trPr>
        <w:tc>
          <w:tcPr>
            <w:tcW w:w="8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Accrued acquisition liability (1)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Sales tax payable (2)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5,520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5,290</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Accrued construction costs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8,803</w:t>
            </w: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Compensation related fees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3,232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3,491</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Accrued professional fees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Accrued warranty expenses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Accrued consulting fees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Accrued inventory purchases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Financing lease liabilities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1"/>
        </w:trPr>
        <w:tc>
          <w:tcPr>
            <w:tcW w:w="8560" w:type="dxa"/>
            <w:vAlign w:val="bottom"/>
          </w:tcPr>
          <w:p>
            <w:pPr>
              <w:spacing w:after="0"/>
              <w:rPr>
                <w:sz w:val="20"/>
                <w:szCs w:val="20"/>
                <w:color w:val="auto"/>
              </w:rPr>
            </w:pPr>
            <w:r>
              <w:rPr>
                <w:rFonts w:ascii="Arial" w:cs="Arial" w:eastAsia="Arial" w:hAnsi="Arial"/>
                <w:sz w:val="16"/>
                <w:szCs w:val="16"/>
                <w:color w:val="auto"/>
              </w:rPr>
              <w:t>Accrued non-income taxes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4"/>
        </w:trPr>
        <w:tc>
          <w:tcPr>
            <w:tcW w:w="856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Total accrued expenses and other current liabilities</w:t>
            </w: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8560" w:type="dxa"/>
            <w:vAlign w:val="bottom"/>
            <w:vMerge w:val="continue"/>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30,112</w:t>
            </w:r>
          </w:p>
        </w:tc>
        <w:tc>
          <w:tcPr>
            <w:tcW w:w="36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28,764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5" w:right="20" w:hanging="285"/>
        <w:spacing w:after="0" w:line="268" w:lineRule="auto"/>
        <w:tabs>
          <w:tab w:leader="none" w:pos="2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Accrued acquisition liabilities includes both the contingent consideration and the value of held back Common Stock associated with the 2022 acquisition of Lab Society and the 2021 acquisitions of Precision, Cascade and PurePressure.</w:t>
      </w:r>
    </w:p>
    <w:p>
      <w:pPr>
        <w:spacing w:after="0" w:line="156" w:lineRule="exact"/>
        <w:rPr>
          <w:rFonts w:ascii="Arial" w:cs="Arial" w:eastAsia="Arial" w:hAnsi="Arial"/>
          <w:sz w:val="16"/>
          <w:szCs w:val="16"/>
          <w:color w:val="auto"/>
        </w:rPr>
      </w:pPr>
    </w:p>
    <w:p>
      <w:pPr>
        <w:ind w:left="285" w:hanging="285"/>
        <w:spacing w:after="0" w:line="302" w:lineRule="auto"/>
        <w:tabs>
          <w:tab w:leader="none" w:pos="285" w:val="left"/>
        </w:tabs>
        <w:numPr>
          <w:ilvl w:val="0"/>
          <w:numId w:val="26"/>
        </w:numPr>
        <w:rPr>
          <w:rFonts w:ascii="Arial" w:cs="Arial" w:eastAsia="Arial" w:hAnsi="Arial"/>
          <w:sz w:val="15"/>
          <w:szCs w:val="15"/>
          <w:color w:val="auto"/>
        </w:rPr>
      </w:pPr>
      <w:r>
        <w:rPr>
          <w:rFonts w:ascii="Arial" w:cs="Arial" w:eastAsia="Arial" w:hAnsi="Arial"/>
          <w:sz w:val="15"/>
          <w:szCs w:val="15"/>
          <w:color w:val="auto"/>
        </w:rPr>
        <w:t>Sales tax payable primarily represents identified sales and use tax liabilities arising from our acquisition of Precision and Cascade. These amounts are included as part of our initial purchase price allocations and are the subject matter of an indemnification claim under the Precision and Cascade acquisition agreement.</w:t>
      </w:r>
    </w:p>
    <w:p>
      <w:pPr>
        <w:spacing w:after="0" w:line="32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946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9" w:right="31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Note 15 — Business Combination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Lab Society</w:t>
      </w:r>
    </w:p>
    <w:p>
      <w:pPr>
        <w:spacing w:after="0" w:line="198" w:lineRule="exact"/>
        <w:rPr>
          <w:sz w:val="20"/>
          <w:szCs w:val="20"/>
          <w:color w:val="auto"/>
        </w:rPr>
      </w:pPr>
    </w:p>
    <w:p>
      <w:pPr>
        <w:ind w:right="120" w:firstLine="284"/>
        <w:spacing w:after="0" w:line="252" w:lineRule="auto"/>
        <w:rPr>
          <w:sz w:val="20"/>
          <w:szCs w:val="20"/>
          <w:color w:val="auto"/>
        </w:rPr>
      </w:pPr>
      <w:r>
        <w:rPr>
          <w:rFonts w:ascii="Arial" w:cs="Arial" w:eastAsia="Arial" w:hAnsi="Arial"/>
          <w:sz w:val="16"/>
          <w:szCs w:val="16"/>
          <w:color w:val="auto"/>
        </w:rPr>
        <w:t>On February 1, 2022, the Company entered into an Agreement and Plan of Merger (the “Merger Agreement”) with Lab Society, Lab Society NewCo, LLC, a newly-formed wholly-owned subsidiary of the Company (“Merger Sub”), Michael S. Maibach Jr., as the Owner Representative thereunder, and each of the shareholders of Lab Society (collectively, the “Owners”), pursuant to which the Company agreed to acquire Lab Society. Concurrently with the execution of the Merger Agreement, the Company consummated the merger of Lab Society with and into Merger Sub, with Merger Sub surviving such merger as a wholly-owned subsidiary of the Company (the “Lab Society Acquisition”).</w:t>
      </w:r>
    </w:p>
    <w:p>
      <w:pPr>
        <w:spacing w:after="0" w:line="169" w:lineRule="exact"/>
        <w:rPr>
          <w:sz w:val="20"/>
          <w:szCs w:val="20"/>
          <w:color w:val="auto"/>
        </w:rPr>
      </w:pPr>
    </w:p>
    <w:p>
      <w:pPr>
        <w:ind w:right="120" w:firstLine="284"/>
        <w:spacing w:after="0" w:line="340" w:lineRule="auto"/>
        <w:rPr>
          <w:sz w:val="20"/>
          <w:szCs w:val="20"/>
          <w:color w:val="auto"/>
        </w:rPr>
      </w:pPr>
      <w:r>
        <w:rPr>
          <w:rFonts w:ascii="Arial" w:cs="Arial" w:eastAsia="Arial" w:hAnsi="Arial"/>
          <w:sz w:val="14"/>
          <w:szCs w:val="14"/>
          <w:color w:val="auto"/>
        </w:rPr>
        <w:t>The aggregate consideration for the Lab Society Acquisition consisted of: (a) $4.0 million in cash, subject to certain adjustments for working capital, cash and indebtedness of Lab Society at closing; (b) 2,128 shares of Common Stock (the “Buyer Shares”); and (c) the Earn-out Consideration (as defined below), to the extent earned.</w:t>
      </w:r>
    </w:p>
    <w:p>
      <w:pPr>
        <w:spacing w:after="0" w:line="112" w:lineRule="exact"/>
        <w:rPr>
          <w:sz w:val="20"/>
          <w:szCs w:val="20"/>
          <w:color w:val="auto"/>
        </w:rPr>
      </w:pPr>
    </w:p>
    <w:p>
      <w:pPr>
        <w:ind w:right="60" w:firstLine="284"/>
        <w:spacing w:after="0" w:line="282" w:lineRule="auto"/>
        <w:rPr>
          <w:sz w:val="20"/>
          <w:szCs w:val="20"/>
          <w:color w:val="auto"/>
        </w:rPr>
      </w:pPr>
      <w:r>
        <w:rPr>
          <w:rFonts w:ascii="Arial" w:cs="Arial" w:eastAsia="Arial" w:hAnsi="Arial"/>
          <w:sz w:val="15"/>
          <w:szCs w:val="15"/>
          <w:color w:val="auto"/>
        </w:rPr>
        <w:t>The Company withheld 638 of the Buyer Shares issuable to the Owners (the “Holdback Lab Buyer Shares”) for the purpose of securing any post-closing adjustment owed to the Company and any claim for indemnification or payment of damages to which the Company may be entitled under the Merger Agreement. The Holdback Lab Buyer Shares will be released following the twelve-month anniversary of the Closing Date in accordance with and subject to the conditions of the Merger Agreement.</w:t>
      </w:r>
    </w:p>
    <w:p>
      <w:pPr>
        <w:spacing w:after="0" w:line="149" w:lineRule="exact"/>
        <w:rPr>
          <w:sz w:val="20"/>
          <w:szCs w:val="20"/>
          <w:color w:val="auto"/>
        </w:rPr>
      </w:pPr>
    </w:p>
    <w:p>
      <w:pPr>
        <w:ind w:right="180" w:firstLine="284"/>
        <w:spacing w:after="0" w:line="311" w:lineRule="auto"/>
        <w:rPr>
          <w:sz w:val="20"/>
          <w:szCs w:val="20"/>
          <w:color w:val="auto"/>
        </w:rPr>
      </w:pPr>
      <w:r>
        <w:rPr>
          <w:rFonts w:ascii="Arial" w:cs="Arial" w:eastAsia="Arial" w:hAnsi="Arial"/>
          <w:sz w:val="14"/>
          <w:szCs w:val="14"/>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131" w:lineRule="exact"/>
        <w:rPr>
          <w:sz w:val="20"/>
          <w:szCs w:val="20"/>
          <w:color w:val="auto"/>
        </w:rPr>
      </w:pPr>
    </w:p>
    <w:p>
      <w:pPr>
        <w:ind w:right="300" w:firstLine="284"/>
        <w:spacing w:after="0" w:line="302" w:lineRule="auto"/>
        <w:rPr>
          <w:sz w:val="20"/>
          <w:szCs w:val="20"/>
          <w:color w:val="auto"/>
        </w:rPr>
      </w:pPr>
      <w:r>
        <w:rPr>
          <w:rFonts w:ascii="Arial" w:cs="Arial" w:eastAsia="Arial" w:hAnsi="Arial"/>
          <w:sz w:val="15"/>
          <w:szCs w:val="15"/>
          <w:color w:val="auto"/>
        </w:rPr>
        <w:t>Transaction and related costs, consisting primarily of professional fees, directly related to the acquisition, totaled approximately $28 thousand for the three months ended March 31, 2022. All transaction and related costs were expensed as incurred and are included in general and administrative expenses.</w:t>
      </w:r>
    </w:p>
    <w:p>
      <w:pPr>
        <w:spacing w:after="0" w:line="134" w:lineRule="exact"/>
        <w:rPr>
          <w:sz w:val="20"/>
          <w:szCs w:val="20"/>
          <w:color w:val="auto"/>
        </w:rPr>
      </w:pPr>
    </w:p>
    <w:p>
      <w:pPr>
        <w:ind w:firstLine="284"/>
        <w:spacing w:after="0" w:line="257" w:lineRule="auto"/>
        <w:rPr>
          <w:sz w:val="20"/>
          <w:szCs w:val="20"/>
          <w:color w:val="auto"/>
        </w:rPr>
      </w:pPr>
      <w:r>
        <w:rPr>
          <w:rFonts w:ascii="Arial" w:cs="Arial" w:eastAsia="Arial" w:hAnsi="Arial"/>
          <w:sz w:val="16"/>
          <w:szCs w:val="16"/>
          <w:color w:val="auto"/>
        </w:rPr>
        <w:t>The Company has prepared purchase price allocations for the business combination with Lab Society on a preliminary basis. Changes to those allocations may occur as additional information becomes available during the respective measurement period (up to one year from the acquisition date). Fair values still under review as of March 31, 2022 include values assigned to identifiable intangible assets and goodwill.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9880" w:type="dxa"/>
            <w:vAlign w:val="bottom"/>
          </w:tcPr>
          <w:p>
            <w:pPr>
              <w:ind w:left="260"/>
              <w:spacing w:after="0"/>
              <w:rPr>
                <w:sz w:val="20"/>
                <w:szCs w:val="20"/>
                <w:color w:val="auto"/>
              </w:rPr>
            </w:pPr>
            <w:r>
              <w:rPr>
                <w:rFonts w:ascii="Arial" w:cs="Arial" w:eastAsia="Arial" w:hAnsi="Arial"/>
                <w:sz w:val="16"/>
                <w:szCs w:val="16"/>
                <w:color w:val="auto"/>
              </w:rPr>
              <w:t>The following table sets forth the components and the allocation of the purchase price for the business combination:</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99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rPr>
                <w:sz w:val="20"/>
                <w:szCs w:val="20"/>
                <w:color w:val="auto"/>
              </w:rPr>
            </w:pPr>
            <w:r>
              <w:rPr>
                <w:rFonts w:ascii="Arial" w:cs="Arial" w:eastAsia="Arial" w:hAnsi="Arial"/>
                <w:sz w:val="16"/>
                <w:szCs w:val="16"/>
                <w:b w:val="1"/>
                <w:bCs w:val="1"/>
                <w:color w:val="auto"/>
              </w:rPr>
              <w:t>Purchase price consideration:</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Estimated closing proceeds</w:t>
            </w:r>
          </w:p>
        </w:tc>
        <w:tc>
          <w:tcPr>
            <w:tcW w:w="520" w:type="dxa"/>
            <w:vAlign w:val="bottom"/>
            <w:gridSpan w:val="2"/>
            <w:shd w:val="clear" w:color="auto" w:fill="CCEEFF"/>
          </w:tcPr>
          <w:p>
            <w:pPr>
              <w:jc w:val="right"/>
              <w:ind w:right="247"/>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Closing buyer shares</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Holdback buyer shares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Earn-out consideration</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1,420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Estimated working capital adjustment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Fair value of total consideration transferred</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880" w:type="dxa"/>
            <w:vAlign w:val="bottom"/>
            <w:tcBorders>
              <w:bottom w:val="single" w:sz="8" w:color="CCEEFF"/>
            </w:tcBorders>
          </w:tcPr>
          <w:p>
            <w:pPr>
              <w:ind w:left="120"/>
              <w:spacing w:after="0" w:line="173" w:lineRule="exact"/>
              <w:rPr>
                <w:sz w:val="20"/>
                <w:szCs w:val="20"/>
                <w:color w:val="auto"/>
              </w:rPr>
            </w:pPr>
            <w:r>
              <w:rPr>
                <w:rFonts w:ascii="Arial" w:cs="Arial" w:eastAsia="Arial" w:hAnsi="Arial"/>
                <w:sz w:val="16"/>
                <w:szCs w:val="16"/>
                <w:color w:val="auto"/>
              </w:rPr>
              <w:t>Total purchase price, net of cash acquired</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7,402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b w:val="1"/>
                <w:bCs w:val="1"/>
                <w:color w:val="auto"/>
              </w:rPr>
              <w:t>Fair value allocation of purchase price:</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20" w:type="dxa"/>
            <w:vAlign w:val="bottom"/>
            <w:gridSpan w:val="2"/>
            <w:shd w:val="clear" w:color="auto" w:fill="CCEEFF"/>
          </w:tcPr>
          <w:p>
            <w:pPr>
              <w:jc w:val="right"/>
              <w:ind w:right="247"/>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Inventory</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Prepaid expenses and other current receivables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Right of use assets, net</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Prepaid and refundable taxes</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Accounts payable, accrued expenses, and other current liabilities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Deferred tax liability</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Finance lease liabilities, current</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Finance lease liabilities, noncurrent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current</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Operating lease liabilities, noncurrent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Acquired intangible assets</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2,462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4,368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88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Total purchase price</w:t>
            </w: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80" w:firstLine="284"/>
        <w:spacing w:after="0" w:line="268" w:lineRule="auto"/>
        <w:rPr>
          <w:sz w:val="20"/>
          <w:szCs w:val="20"/>
          <w:color w:val="auto"/>
        </w:rPr>
      </w:pPr>
      <w:r>
        <w:rPr>
          <w:rFonts w:ascii="Arial" w:cs="Arial" w:eastAsia="Arial" w:hAnsi="Arial"/>
          <w:sz w:val="16"/>
          <w:szCs w:val="16"/>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Asset</w:t>
            </w:r>
          </w:p>
        </w:tc>
        <w:tc>
          <w:tcPr>
            <w:tcW w:w="1140" w:type="dxa"/>
            <w:vAlign w:val="bottom"/>
          </w:tcPr>
          <w:p>
            <w:pPr>
              <w:spacing w:after="0"/>
              <w:rPr>
                <w:sz w:val="16"/>
                <w:szCs w:val="16"/>
                <w:color w:val="auto"/>
              </w:rPr>
            </w:pPr>
          </w:p>
        </w:tc>
      </w:tr>
      <w:tr>
        <w:trPr>
          <w:trHeight w:val="209"/>
        </w:trPr>
        <w:tc>
          <w:tcPr>
            <w:tcW w:w="880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Value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Useful Life</w:t>
            </w:r>
          </w:p>
        </w:tc>
      </w:tr>
      <w:tr>
        <w:trPr>
          <w:trHeight w:val="189"/>
        </w:trPr>
        <w:tc>
          <w:tcPr>
            <w:tcW w:w="20" w:type="dxa"/>
            <w:vAlign w:val="bottom"/>
          </w:tcPr>
          <w:p>
            <w:pPr>
              <w:spacing w:after="0"/>
              <w:rPr>
                <w:sz w:val="16"/>
                <w:szCs w:val="16"/>
                <w:color w:val="auto"/>
              </w:rPr>
            </w:pPr>
          </w:p>
        </w:tc>
        <w:tc>
          <w:tcPr>
            <w:tcW w:w="86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Identified intangible assets:</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names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317</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5 years</w:t>
            </w:r>
          </w:p>
        </w:tc>
      </w:tr>
      <w:tr>
        <w:trPr>
          <w:trHeight w:val="189"/>
        </w:trPr>
        <w:tc>
          <w:tcPr>
            <w:tcW w:w="20" w:type="dxa"/>
            <w:vAlign w:val="bottom"/>
          </w:tcPr>
          <w:p>
            <w:pPr>
              <w:spacing w:after="0"/>
              <w:rPr>
                <w:sz w:val="16"/>
                <w:szCs w:val="16"/>
                <w:color w:val="auto"/>
              </w:rPr>
            </w:pPr>
          </w:p>
        </w:tc>
        <w:tc>
          <w:tcPr>
            <w:tcW w:w="8780" w:type="dxa"/>
            <w:vAlign w:val="bottom"/>
            <w:gridSpan w:val="2"/>
          </w:tcPr>
          <w:p>
            <w:pPr>
              <w:spacing w:after="0"/>
              <w:rPr>
                <w:sz w:val="20"/>
                <w:szCs w:val="20"/>
                <w:color w:val="auto"/>
              </w:rPr>
            </w:pPr>
            <w:r>
              <w:rPr>
                <w:rFonts w:ascii="Arial" w:cs="Arial" w:eastAsia="Arial" w:hAnsi="Arial"/>
                <w:sz w:val="16"/>
                <w:szCs w:val="16"/>
                <w:color w:val="auto"/>
              </w:rPr>
              <w:t>Acquired developed technology</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1,432</w:t>
            </w: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7"/>
              </w:rPr>
              <w:t>8 years</w:t>
            </w:r>
          </w:p>
        </w:tc>
      </w:tr>
      <w:tr>
        <w:trPr>
          <w:trHeight w:val="221"/>
        </w:trPr>
        <w:tc>
          <w:tcPr>
            <w:tcW w:w="20" w:type="dxa"/>
            <w:vAlign w:val="bottom"/>
          </w:tcPr>
          <w:p>
            <w:pPr>
              <w:spacing w:after="0"/>
              <w:rPr>
                <w:sz w:val="19"/>
                <w:szCs w:val="19"/>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Customer relationships</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713</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6 years</w:t>
            </w:r>
          </w:p>
        </w:tc>
      </w:tr>
      <w:tr>
        <w:trPr>
          <w:trHeight w:val="200"/>
        </w:trPr>
        <w:tc>
          <w:tcPr>
            <w:tcW w:w="20" w:type="dxa"/>
            <w:vAlign w:val="bottom"/>
          </w:tcPr>
          <w:p>
            <w:pPr>
              <w:spacing w:after="0"/>
              <w:rPr>
                <w:sz w:val="17"/>
                <w:szCs w:val="17"/>
                <w:color w:val="auto"/>
              </w:rPr>
            </w:pPr>
          </w:p>
        </w:tc>
        <w:tc>
          <w:tcPr>
            <w:tcW w:w="8780" w:type="dxa"/>
            <w:vAlign w:val="bottom"/>
            <w:tcBorders>
              <w:top w:val="single" w:sz="8" w:color="CCEEFF"/>
            </w:tcBorders>
            <w:gridSpan w:val="2"/>
          </w:tcPr>
          <w:p>
            <w:pPr>
              <w:ind w:left="120"/>
              <w:spacing w:after="0" w:line="181" w:lineRule="exact"/>
              <w:rPr>
                <w:sz w:val="20"/>
                <w:szCs w:val="20"/>
                <w:color w:val="auto"/>
              </w:rPr>
            </w:pPr>
            <w:r>
              <w:rPr>
                <w:rFonts w:ascii="Arial" w:cs="Arial" w:eastAsia="Arial" w:hAnsi="Arial"/>
                <w:sz w:val="16"/>
                <w:szCs w:val="16"/>
                <w:color w:val="auto"/>
              </w:rPr>
              <w:t>Total identified intangible assets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2,462</w:t>
            </w: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0" w:firstLine="284"/>
        <w:spacing w:after="0" w:line="253" w:lineRule="auto"/>
        <w:rPr>
          <w:sz w:val="20"/>
          <w:szCs w:val="20"/>
          <w:color w:val="auto"/>
        </w:rPr>
      </w:pPr>
      <w:r>
        <w:rPr>
          <w:rFonts w:ascii="Arial" w:cs="Arial" w:eastAsia="Arial" w:hAnsi="Arial"/>
          <w:sz w:val="16"/>
          <w:szCs w:val="16"/>
          <w:color w:val="auto"/>
        </w:rPr>
        <w:t>The Company’s initial fair value estimates related to the various identified intangible assets of Lab Society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39" w:name="page40"/>
    <w:bookmarkEnd w:id="39"/>
    <w:p>
      <w:pPr>
        <w:ind w:left="280"/>
        <w:spacing w:after="0"/>
        <w:rPr>
          <w:sz w:val="20"/>
          <w:szCs w:val="20"/>
          <w:color w:val="auto"/>
        </w:rPr>
      </w:pPr>
      <w:r>
        <w:rPr>
          <w:rFonts w:ascii="Arial" w:cs="Arial" w:eastAsia="Arial" w:hAnsi="Arial"/>
          <w:sz w:val="16"/>
          <w:szCs w:val="16"/>
          <w:color w:val="auto"/>
        </w:rPr>
        <w:t>The Company amortizes its intangible assets assuming no residual value over periods in which the economic benefit of these assets is consumed.</w:t>
      </w:r>
    </w:p>
    <w:p>
      <w:pPr>
        <w:spacing w:after="0" w:line="194" w:lineRule="exact"/>
        <w:rPr>
          <w:sz w:val="20"/>
          <w:szCs w:val="20"/>
          <w:color w:val="auto"/>
        </w:rPr>
      </w:pPr>
    </w:p>
    <w:p>
      <w:pPr>
        <w:ind w:right="100" w:firstLine="284"/>
        <w:spacing w:after="0" w:line="268" w:lineRule="auto"/>
        <w:rPr>
          <w:sz w:val="20"/>
          <w:szCs w:val="20"/>
          <w:color w:val="auto"/>
        </w:rPr>
      </w:pPr>
      <w:r>
        <w:rPr>
          <w:rFonts w:ascii="Arial" w:cs="Arial" w:eastAsia="Arial" w:hAnsi="Arial"/>
          <w:sz w:val="16"/>
          <w:szCs w:val="16"/>
          <w:color w:val="auto"/>
        </w:rPr>
        <w:t>The amount of revenue of Lab Society included in the condensed consolidated statement of operations from the acquisition date of February 1, 2022 to March 31, 2022 was $1.5 million.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Precision and Cascade</w:t>
      </w:r>
    </w:p>
    <w:p>
      <w:pPr>
        <w:spacing w:after="0" w:line="198" w:lineRule="exact"/>
        <w:rPr>
          <w:sz w:val="20"/>
          <w:szCs w:val="20"/>
          <w:color w:val="auto"/>
        </w:rPr>
      </w:pPr>
    </w:p>
    <w:p>
      <w:pPr>
        <w:ind w:right="160" w:firstLine="284"/>
        <w:spacing w:after="0" w:line="276" w:lineRule="auto"/>
        <w:rPr>
          <w:sz w:val="20"/>
          <w:szCs w:val="20"/>
          <w:color w:val="auto"/>
        </w:rPr>
      </w:pPr>
      <w:r>
        <w:rPr>
          <w:rFonts w:ascii="Arial" w:cs="Arial" w:eastAsia="Arial" w:hAnsi="Arial"/>
          <w:sz w:val="15"/>
          <w:szCs w:val="15"/>
          <w:color w:val="auto"/>
        </w:rPr>
        <w:t>On September 29, 2021 (the “Execution Date”), the Company entered into a Plan of Merger and Equity Purchase Agreement, as amended by an amendment dated as of October 1, 2021 (as amended, the “Purchase Agreement”), with Sinclair Scientific, LLC, a Delaware limited liability company (“Sinclair”), Mass2Media, LLC, d/b/a PX2 Holdings, LLC, d/b/a Precision Extraction Solutions, a Michigan limited liability company (“Precision”); and each of the equity holders of Sinclair named therein (collectively, the “Sinclair Members”). On October 1, 2021, the Company consummated the transactions contemplated by the Purchase Agreement.</w:t>
      </w:r>
    </w:p>
    <w:p>
      <w:pPr>
        <w:spacing w:after="0" w:line="153" w:lineRule="exact"/>
        <w:rPr>
          <w:sz w:val="20"/>
          <w:szCs w:val="20"/>
          <w:color w:val="auto"/>
        </w:rPr>
      </w:pPr>
    </w:p>
    <w:p>
      <w:pPr>
        <w:ind w:right="20" w:firstLine="284"/>
        <w:spacing w:after="0" w:line="253" w:lineRule="auto"/>
        <w:rPr>
          <w:sz w:val="20"/>
          <w:szCs w:val="20"/>
          <w:color w:val="auto"/>
        </w:rPr>
      </w:pPr>
      <w:r>
        <w:rPr>
          <w:rFonts w:ascii="Arial" w:cs="Arial" w:eastAsia="Arial" w:hAnsi="Arial"/>
          <w:sz w:val="16"/>
          <w:szCs w:val="16"/>
          <w:color w:val="auto"/>
        </w:rPr>
        <w:t>Subject to the terms and conditions set forth in the Purchase Agreement, (1) Sinclair transferred, to the Company, and the Company purchased (the “Interest Purchase”) from Sinclair, 100% of the equity interests of Cascade Sciences, LLC, a Delaware limited liability company (“Cascade”), such that immediately after the consummation of such Interest Purchase, Cascade became a wholly-owned subsidiary of the Company, and (2) Precision merged (the “Merger”) with and into a newly-formed wholly-owned subsidiary of the Company, Precision Extraction NewCo, LLC.</w:t>
      </w:r>
    </w:p>
    <w:p>
      <w:pPr>
        <w:spacing w:after="0" w:line="170" w:lineRule="exact"/>
        <w:rPr>
          <w:sz w:val="20"/>
          <w:szCs w:val="20"/>
          <w:color w:val="auto"/>
        </w:rPr>
      </w:pPr>
    </w:p>
    <w:p>
      <w:pPr>
        <w:ind w:firstLine="284"/>
        <w:spacing w:after="0" w:line="252" w:lineRule="auto"/>
        <w:rPr>
          <w:sz w:val="20"/>
          <w:szCs w:val="20"/>
          <w:color w:val="auto"/>
        </w:rPr>
      </w:pPr>
      <w:r>
        <w:rPr>
          <w:rFonts w:ascii="Arial" w:cs="Arial" w:eastAsia="Arial" w:hAnsi="Arial"/>
          <w:sz w:val="16"/>
          <w:szCs w:val="16"/>
          <w:color w:val="auto"/>
        </w:rPr>
        <w:t>The aggregate consideration for the Interest Purchase and the Merger consisted of: (a) the sum of $30 million in cash, plus consideration payable to holders of outstanding Sinclair equity awards, subject to certain adjustments for working capital, cash and indebtedness, payable in connection with the Interest Purchase; (b) the number of shares of Common Stock, subject to adjustment, equal to the quotient of (i) $20.0 million divided by (ii) the volume weighted-average price per share of Common Stock on The Nasdaq Capital Market for the 30 consecutive trading days ending on the Execution Date (the “VWAP Price”), issuable in connection with the Merger; and (c) the True-Up Buyer Shares, if any (as defined below), issuable in connection with the Merger.</w:t>
      </w:r>
    </w:p>
    <w:p>
      <w:pPr>
        <w:spacing w:after="0" w:line="169" w:lineRule="exact"/>
        <w:rPr>
          <w:sz w:val="20"/>
          <w:szCs w:val="20"/>
          <w:color w:val="auto"/>
        </w:rPr>
      </w:pPr>
    </w:p>
    <w:p>
      <w:pPr>
        <w:ind w:right="40" w:firstLine="284"/>
        <w:spacing w:after="0" w:line="271" w:lineRule="auto"/>
        <w:rPr>
          <w:sz w:val="20"/>
          <w:szCs w:val="20"/>
          <w:color w:val="auto"/>
        </w:rPr>
      </w:pPr>
      <w:r>
        <w:rPr>
          <w:rFonts w:ascii="Arial" w:cs="Arial" w:eastAsia="Arial" w:hAnsi="Arial"/>
          <w:sz w:val="15"/>
          <w:szCs w:val="15"/>
          <w:color w:val="auto"/>
        </w:rPr>
        <w:t>The Purchase Agreement includes customary post-closing adjustments, representations and warranties and covenants of the parties. The Sinclair Members may become entitled to additional shares of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 However, in no event shall the aggregate purchase price paid by the Company pursuant to the terms of the Purchase Agreement, taking into account any Aggregate True-Up Payment in favor of the Sinclair Members, exceed $65.0 million. During the fourth quarter of 2021, the fair value of the contingent earn-out consideration totaled $5.4 million based on Sinclair Members achieving certain revenue targets.</w:t>
      </w:r>
    </w:p>
    <w:p>
      <w:pPr>
        <w:spacing w:after="0" w:line="156" w:lineRule="exact"/>
        <w:rPr>
          <w:sz w:val="20"/>
          <w:szCs w:val="20"/>
          <w:color w:val="auto"/>
        </w:rPr>
      </w:pPr>
    </w:p>
    <w:p>
      <w:pPr>
        <w:ind w:right="200" w:firstLine="284"/>
        <w:spacing w:after="0" w:line="253" w:lineRule="auto"/>
        <w:rPr>
          <w:sz w:val="20"/>
          <w:szCs w:val="20"/>
          <w:color w:val="auto"/>
        </w:rPr>
      </w:pPr>
      <w:r>
        <w:rPr>
          <w:rFonts w:ascii="Arial" w:cs="Arial" w:eastAsia="Arial" w:hAnsi="Arial"/>
          <w:sz w:val="16"/>
          <w:szCs w:val="16"/>
          <w:color w:val="auto"/>
        </w:rPr>
        <w:t>Transaction and related costs, consisting primarily of professional fees, directly related to the acquisition, totaled approximately $38 thousand for the three months ended March 31, 2022. All transaction and related costs were expensed as incurred and are included in selling, general and administrative expenses. The purchase price allocation for the business combination has been prepared on a preliminary basis and changes to those allocations may occur as additional information becomes available during the measurement period (up to one year from the acquisition date).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0000" w:type="dxa"/>
            <w:vAlign w:val="bottom"/>
            <w:gridSpan w:val="2"/>
          </w:tcPr>
          <w:p>
            <w:pPr>
              <w:ind w:left="260"/>
              <w:spacing w:after="0"/>
              <w:rPr>
                <w:sz w:val="20"/>
                <w:szCs w:val="20"/>
                <w:color w:val="auto"/>
              </w:rPr>
            </w:pPr>
            <w:r>
              <w:rPr>
                <w:rFonts w:ascii="Arial" w:cs="Arial" w:eastAsia="Arial" w:hAnsi="Arial"/>
                <w:sz w:val="16"/>
                <w:szCs w:val="16"/>
                <w:color w:val="auto"/>
              </w:rPr>
              <w:t>The following table sets forth the components and the allocation of the purchase price for the business combination:</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1002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90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Purchase price consideration: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to Sinclair Members at close</w:t>
            </w:r>
          </w:p>
        </w:tc>
        <w:tc>
          <w:tcPr>
            <w:tcW w:w="380" w:type="dxa"/>
            <w:vAlign w:val="bottom"/>
            <w:gridSpan w:val="2"/>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tcPr>
          <w:p>
            <w:pPr>
              <w:spacing w:after="0"/>
              <w:rPr>
                <w:sz w:val="20"/>
                <w:szCs w:val="20"/>
                <w:color w:val="auto"/>
              </w:rPr>
            </w:pPr>
            <w:r>
              <w:rPr>
                <w:rFonts w:ascii="Arial" w:cs="Arial" w:eastAsia="Arial" w:hAnsi="Arial"/>
                <w:sz w:val="16"/>
                <w:szCs w:val="16"/>
                <w:color w:val="auto"/>
              </w:rPr>
              <w:t>Cash contributed to escrow accounts at close</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for excess net working capital</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tcPr>
          <w:p>
            <w:pPr>
              <w:spacing w:after="0"/>
              <w:rPr>
                <w:sz w:val="20"/>
                <w:szCs w:val="20"/>
                <w:color w:val="auto"/>
              </w:rPr>
            </w:pPr>
            <w:r>
              <w:rPr>
                <w:rFonts w:ascii="Arial" w:cs="Arial" w:eastAsia="Arial" w:hAnsi="Arial"/>
                <w:sz w:val="16"/>
                <w:szCs w:val="16"/>
                <w:color w:val="auto"/>
              </w:rPr>
              <w:t>Stock issued at close</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14,535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Fair value of contingent consideration to be achieved</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3,953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00" w:type="dxa"/>
            <w:vAlign w:val="bottom"/>
            <w:tcBorders>
              <w:top w:val="single" w:sz="8" w:color="CCEEFF"/>
              <w:bottom w:val="single" w:sz="8" w:color="CCEEFF"/>
            </w:tcBorders>
            <w:gridSpan w:val="2"/>
          </w:tcPr>
          <w:p>
            <w:pPr>
              <w:ind w:left="120"/>
              <w:spacing w:after="0" w:line="173" w:lineRule="exact"/>
              <w:rPr>
                <w:sz w:val="20"/>
                <w:szCs w:val="20"/>
                <w:color w:val="auto"/>
              </w:rPr>
            </w:pPr>
            <w:r>
              <w:rPr>
                <w:rFonts w:ascii="Arial" w:cs="Arial" w:eastAsia="Arial" w:hAnsi="Arial"/>
                <w:sz w:val="16"/>
                <w:szCs w:val="16"/>
                <w:color w:val="auto"/>
              </w:rPr>
              <w:t>Fair value of total consideration transferred</w:t>
            </w:r>
          </w:p>
        </w:tc>
        <w:tc>
          <w:tcPr>
            <w:tcW w:w="2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49,918</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purchase price, net of cash acquired</w:t>
            </w: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48,630</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 allocation of purchase price:</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1,288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897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tcPr>
          <w:p>
            <w:pPr>
              <w:spacing w:after="0"/>
              <w:rPr>
                <w:sz w:val="20"/>
                <w:szCs w:val="20"/>
                <w:color w:val="auto"/>
              </w:rPr>
            </w:pPr>
            <w:r>
              <w:rPr>
                <w:rFonts w:ascii="Arial" w:cs="Arial" w:eastAsia="Arial" w:hAnsi="Arial"/>
                <w:sz w:val="16"/>
                <w:szCs w:val="16"/>
                <w:color w:val="auto"/>
              </w:rPr>
              <w:t>Inventory</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6,761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Prepaid expenses and other current receivables</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Right of use assets, net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tcPr>
          <w:p>
            <w:pPr>
              <w:spacing w:after="0"/>
              <w:rPr>
                <w:sz w:val="20"/>
                <w:szCs w:val="20"/>
                <w:color w:val="auto"/>
              </w:rPr>
            </w:pPr>
            <w:r>
              <w:rPr>
                <w:rFonts w:ascii="Arial" w:cs="Arial" w:eastAsia="Arial" w:hAnsi="Arial"/>
                <w:sz w:val="16"/>
                <w:szCs w:val="16"/>
                <w:color w:val="auto"/>
              </w:rPr>
              <w:t>Capitalized web costs, net</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(9,223)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tcPr>
          <w:p>
            <w:pPr>
              <w:spacing w:after="0"/>
              <w:rPr>
                <w:sz w:val="20"/>
                <w:szCs w:val="20"/>
                <w:color w:val="auto"/>
              </w:rPr>
            </w:pPr>
            <w:r>
              <w:rPr>
                <w:rFonts w:ascii="Arial" w:cs="Arial" w:eastAsia="Arial" w:hAnsi="Arial"/>
                <w:sz w:val="16"/>
                <w:szCs w:val="16"/>
                <w:color w:val="auto"/>
              </w:rPr>
              <w:t>Deferred revenue</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(5,419)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tcPr>
          <w:p>
            <w:pPr>
              <w:spacing w:after="0"/>
              <w:rPr>
                <w:sz w:val="20"/>
                <w:szCs w:val="20"/>
                <w:color w:val="auto"/>
              </w:rPr>
            </w:pPr>
            <w:r>
              <w:rPr>
                <w:rFonts w:ascii="Arial" w:cs="Arial" w:eastAsia="Arial" w:hAnsi="Arial"/>
                <w:sz w:val="16"/>
                <w:szCs w:val="16"/>
                <w:color w:val="auto"/>
              </w:rPr>
              <w:t>Operating lease liabilities, current</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liabilities, noncurrent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gridSpan w:val="2"/>
          </w:tcPr>
          <w:p>
            <w:pPr>
              <w:spacing w:after="0"/>
              <w:rPr>
                <w:sz w:val="20"/>
                <w:szCs w:val="20"/>
                <w:color w:val="auto"/>
              </w:rPr>
            </w:pPr>
            <w:r>
              <w:rPr>
                <w:rFonts w:ascii="Arial" w:cs="Arial" w:eastAsia="Arial" w:hAnsi="Arial"/>
                <w:sz w:val="16"/>
                <w:szCs w:val="16"/>
                <w:color w:val="auto"/>
              </w:rPr>
              <w:t>Acquired intangible assets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9,889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00" w:type="dxa"/>
            <w:vAlign w:val="bottom"/>
            <w:gridSpan w:val="2"/>
          </w:tcPr>
          <w:p>
            <w:pPr>
              <w:ind w:left="120"/>
              <w:spacing w:after="0" w:line="181" w:lineRule="exact"/>
              <w:rPr>
                <w:sz w:val="20"/>
                <w:szCs w:val="20"/>
                <w:color w:val="auto"/>
              </w:rPr>
            </w:pPr>
            <w:r>
              <w:rPr>
                <w:rFonts w:ascii="Arial" w:cs="Arial" w:eastAsia="Arial" w:hAnsi="Arial"/>
                <w:sz w:val="16"/>
                <w:szCs w:val="16"/>
                <w:color w:val="auto"/>
              </w:rPr>
              <w:t>Total purchase price</w:t>
            </w:r>
          </w:p>
        </w:tc>
        <w:tc>
          <w:tcPr>
            <w:tcW w:w="380" w:type="dxa"/>
            <w:vAlign w:val="bottom"/>
            <w:tcBorders>
              <w:bottom w:val="single" w:sz="8" w:color="auto"/>
            </w:tcBorders>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49,918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right="20" w:firstLine="284"/>
        <w:spacing w:after="0" w:line="268" w:lineRule="auto"/>
        <w:rPr>
          <w:sz w:val="20"/>
          <w:szCs w:val="20"/>
          <w:color w:val="auto"/>
        </w:rPr>
      </w:pPr>
      <w:r>
        <w:rPr>
          <w:rFonts w:ascii="Arial" w:cs="Arial" w:eastAsia="Arial" w:hAnsi="Arial"/>
          <w:sz w:val="16"/>
          <w:szCs w:val="16"/>
          <w:color w:val="auto"/>
        </w:rPr>
        <w:t>Identified intangible assets consist of trade names, technology, non-compete agreements, and customer relationships. The fair value of intangible assets and the determination of their respective useful lives were made in accordance with ASC 805 and are outlined in the table below:</w:t>
      </w:r>
    </w:p>
    <w:p>
      <w:pPr>
        <w:sectPr>
          <w:pgSz w:w="11900" w:h="16838" w:orient="portrait"/>
          <w:cols w:equalWidth="0" w:num="1">
            <w:col w:w="11260"/>
          </w:cols>
          <w:pgMar w:left="320" w:top="789" w:right="319" w:bottom="144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551243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243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Identified intangible assets: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Trade names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Acquired developed technology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Non-compete agreements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Customer relationships</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identified intangible assets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7" w:type="dxa"/>
        <w:tblCellMar>
          <w:top w:w="0" w:type="dxa"/>
          <w:left w:w="0" w:type="dxa"/>
          <w:bottom w:w="0" w:type="dxa"/>
          <w:right w:w="0" w:type="dxa"/>
        </w:tblCellMar>
      </w:tblPr>
      <w:tr>
        <w:trPr>
          <w:trHeight w:val="189"/>
        </w:trPr>
        <w:tc>
          <w:tcPr>
            <w:tcW w:w="220" w:type="dxa"/>
            <w:vAlign w:val="bottom"/>
          </w:tcPr>
          <w:p>
            <w:pPr>
              <w:spacing w:after="0"/>
              <w:rPr>
                <w:sz w:val="16"/>
                <w:szCs w:val="16"/>
                <w:color w:val="auto"/>
              </w:rPr>
            </w:pPr>
          </w:p>
        </w:tc>
        <w:tc>
          <w:tcPr>
            <w:tcW w:w="900" w:type="dxa"/>
            <w:vAlign w:val="bottom"/>
          </w:tcPr>
          <w:p>
            <w:pPr>
              <w:jc w:val="right"/>
              <w:ind w:right="301"/>
              <w:spacing w:after="0"/>
              <w:rPr>
                <w:sz w:val="20"/>
                <w:szCs w:val="20"/>
                <w:color w:val="auto"/>
              </w:rPr>
            </w:pPr>
            <w:r>
              <w:rPr>
                <w:rFonts w:ascii="Arial" w:cs="Arial" w:eastAsia="Arial" w:hAnsi="Arial"/>
                <w:sz w:val="16"/>
                <w:szCs w:val="16"/>
                <w:b w:val="1"/>
                <w:bCs w:val="1"/>
                <w:color w:val="auto"/>
              </w:rPr>
              <w:t>Asset</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9"/>
        </w:trPr>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Value</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Useful Life</w:t>
            </w:r>
          </w:p>
        </w:tc>
      </w:tr>
      <w:tr>
        <w:trPr>
          <w:trHeight w:val="366"/>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1,260</w:t>
            </w:r>
          </w:p>
        </w:tc>
        <w:tc>
          <w:tcPr>
            <w:tcW w:w="2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8"/>
              </w:rPr>
              <w:t>6 to 7 years</w:t>
            </w:r>
          </w:p>
        </w:tc>
      </w:tr>
      <w:tr>
        <w:trPr>
          <w:trHeight w:val="189"/>
        </w:trPr>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3,818</w:t>
            </w: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7"/>
              </w:rPr>
              <w:t>5 years</w:t>
            </w:r>
          </w:p>
        </w:tc>
      </w:tr>
      <w:tr>
        <w:trPr>
          <w:trHeight w:val="189"/>
        </w:trPr>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1,202</w:t>
            </w: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7"/>
              </w:rPr>
              <w:t>5 years</w:t>
            </w:r>
          </w:p>
        </w:tc>
      </w:tr>
      <w:tr>
        <w:trPr>
          <w:trHeight w:val="217"/>
        </w:trPr>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3,609</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8"/>
              </w:rPr>
              <w:t>7 to 8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-5586730</wp:posOffset>
            </wp:positionH>
            <wp:positionV relativeFrom="paragraph">
              <wp:posOffset>-502285</wp:posOffset>
            </wp:positionV>
            <wp:extent cx="7149465"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-262255</wp:posOffset>
            </wp:positionV>
            <wp:extent cx="7149465"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2001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-6985</wp:posOffset>
            </wp:positionV>
            <wp:extent cx="7149465" cy="157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57480"/>
                    </a:xfrm>
                    <a:prstGeom prst="rect">
                      <a:avLst/>
                    </a:prstGeom>
                    <a:noFill/>
                  </pic:spPr>
                </pic:pic>
              </a:graphicData>
            </a:graphic>
          </wp:anchor>
        </w:drawing>
      </w:r>
    </w:p>
    <w:p>
      <w:pPr>
        <w:ind w:left="767" w:hanging="767"/>
        <w:spacing w:after="0"/>
        <w:tabs>
          <w:tab w:leader="none" w:pos="767" w:val="left"/>
        </w:tabs>
        <w:numPr>
          <w:ilvl w:val="0"/>
          <w:numId w:val="27"/>
        </w:numPr>
        <w:rPr>
          <w:rFonts w:ascii="Arial" w:cs="Arial" w:eastAsia="Arial" w:hAnsi="Arial"/>
          <w:sz w:val="16"/>
          <w:szCs w:val="16"/>
          <w:color w:val="auto"/>
        </w:rPr>
      </w:pPr>
      <w:r>
        <w:rPr>
          <w:rFonts w:ascii="Arial" w:cs="Arial" w:eastAsia="Arial" w:hAnsi="Arial"/>
          <w:sz w:val="16"/>
          <w:szCs w:val="16"/>
          <w:color w:val="auto"/>
        </w:rPr>
        <w:t>9,889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374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74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73" w:space="720"/>
            <w:col w:w="2467"/>
          </w:cols>
          <w:pgMar w:left="320" w:top="789" w:right="319" w:bottom="1440" w:gutter="0" w:footer="0" w:header="0"/>
          <w:type w:val="continuous"/>
        </w:sectPr>
      </w:pPr>
    </w:p>
    <w:p>
      <w:pPr>
        <w:spacing w:after="0" w:line="54" w:lineRule="exact"/>
        <w:rPr>
          <w:sz w:val="20"/>
          <w:szCs w:val="20"/>
          <w:color w:val="auto"/>
        </w:rPr>
      </w:pPr>
    </w:p>
    <w:p>
      <w:pPr>
        <w:ind w:right="320" w:firstLine="284"/>
        <w:spacing w:after="0" w:line="253" w:lineRule="auto"/>
        <w:rPr>
          <w:sz w:val="20"/>
          <w:szCs w:val="20"/>
          <w:color w:val="auto"/>
        </w:rPr>
      </w:pPr>
      <w:r>
        <w:rPr>
          <w:rFonts w:ascii="Arial" w:cs="Arial" w:eastAsia="Arial" w:hAnsi="Arial"/>
          <w:sz w:val="16"/>
          <w:szCs w:val="16"/>
          <w:color w:val="auto"/>
        </w:rPr>
        <w:t>The Company’s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amortizes its intangible assets assuming no residual value over periods in which the economic benefit of these assets is consumed.</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Acquisition of PurePressure</w:t>
      </w:r>
    </w:p>
    <w:p>
      <w:pPr>
        <w:spacing w:after="0" w:line="198" w:lineRule="exact"/>
        <w:rPr>
          <w:sz w:val="20"/>
          <w:szCs w:val="20"/>
          <w:color w:val="auto"/>
        </w:rPr>
      </w:pPr>
    </w:p>
    <w:p>
      <w:pPr>
        <w:ind w:right="280" w:firstLine="284"/>
        <w:spacing w:after="0" w:line="301" w:lineRule="auto"/>
        <w:rPr>
          <w:sz w:val="20"/>
          <w:szCs w:val="20"/>
          <w:color w:val="auto"/>
        </w:rPr>
      </w:pPr>
      <w:r>
        <w:rPr>
          <w:rFonts w:ascii="Arial" w:cs="Arial" w:eastAsia="Arial" w:hAnsi="Arial"/>
          <w:sz w:val="14"/>
          <w:szCs w:val="14"/>
          <w:color w:val="auto"/>
        </w:rPr>
        <w:t>On December 31, 2021, the Company entered into a Membership Interest Purchase Agreement (the “Pure Purchase Agreement”) with PurePressure, LLC, a Colorado Limited liability company (“PurePressure”) and the members of PurePressure (collectively, the “Members”), Benjamin Britton as the Member Representative thereunder, and each of the Members. Concurrently with the execution of the Pure Purchase Agreement, the Company consummated the acquisition of all the outstanding equity interests of PurePressure, such that immediately after the consummation of such purchase, PurePressure became a wholly-owned subsidiary of the Company (the “Acquisition”).</w:t>
      </w:r>
    </w:p>
    <w:p>
      <w:pPr>
        <w:spacing w:after="0" w:line="138" w:lineRule="exact"/>
        <w:rPr>
          <w:sz w:val="20"/>
          <w:szCs w:val="20"/>
          <w:color w:val="auto"/>
        </w:rPr>
      </w:pPr>
    </w:p>
    <w:p>
      <w:pPr>
        <w:ind w:right="760" w:firstLine="284"/>
        <w:spacing w:after="0" w:line="340" w:lineRule="auto"/>
        <w:rPr>
          <w:sz w:val="20"/>
          <w:szCs w:val="20"/>
          <w:color w:val="auto"/>
        </w:rPr>
      </w:pPr>
      <w:r>
        <w:rPr>
          <w:rFonts w:ascii="Arial" w:cs="Arial" w:eastAsia="Arial" w:hAnsi="Arial"/>
          <w:sz w:val="14"/>
          <w:szCs w:val="14"/>
          <w:color w:val="auto"/>
        </w:rPr>
        <w:t>The aggregate consideration for the Acquisition consisted of: (a) $4.0 million in cash, subject to certain adjustments for working capital, cash and indebtedness of PurePressure at closing; (b) 1,646 shares of Common Stock (the “Buyer Shares”); and (c) the Earn-out Consideration (as defined below), to the extent earned.</w:t>
      </w:r>
    </w:p>
    <w:p>
      <w:pPr>
        <w:spacing w:after="0" w:line="112" w:lineRule="exact"/>
        <w:rPr>
          <w:sz w:val="20"/>
          <w:szCs w:val="20"/>
          <w:color w:val="auto"/>
        </w:rPr>
      </w:pPr>
    </w:p>
    <w:p>
      <w:pPr>
        <w:jc w:val="both"/>
        <w:ind w:firstLine="284"/>
        <w:spacing w:after="0" w:line="311" w:lineRule="auto"/>
        <w:rPr>
          <w:sz w:val="20"/>
          <w:szCs w:val="20"/>
          <w:color w:val="auto"/>
        </w:rPr>
      </w:pPr>
      <w:r>
        <w:rPr>
          <w:rFonts w:ascii="Arial" w:cs="Arial" w:eastAsia="Arial" w:hAnsi="Arial"/>
          <w:sz w:val="14"/>
          <w:szCs w:val="14"/>
          <w:color w:val="auto"/>
        </w:rPr>
        <w:t>The Company withheld 444 of the Buyer Shares issuable to certain Members (the “Holdback Buyer Shares”) for the purpose of securing any post-closing adjustment owed to the Company and any claim for indemnification or payment of damages to which the Company may be entitled under the Pure Purchase Agreement. The Holdback Buyer Shares will be released following the twelve-month anniversary of the Closing Date in accordance with and subject to the conditions of the Pure Purchase Agreement.</w:t>
      </w:r>
    </w:p>
    <w:p>
      <w:pPr>
        <w:spacing w:after="0" w:line="131" w:lineRule="exact"/>
        <w:rPr>
          <w:sz w:val="20"/>
          <w:szCs w:val="20"/>
          <w:color w:val="auto"/>
        </w:rPr>
      </w:pPr>
    </w:p>
    <w:p>
      <w:pPr>
        <w:ind w:right="80" w:firstLine="284"/>
        <w:spacing w:after="0" w:line="253" w:lineRule="auto"/>
        <w:rPr>
          <w:sz w:val="20"/>
          <w:szCs w:val="20"/>
          <w:color w:val="auto"/>
        </w:rPr>
      </w:pPr>
      <w:r>
        <w:rPr>
          <w:rFonts w:ascii="Arial" w:cs="Arial" w:eastAsia="Arial" w:hAnsi="Arial"/>
          <w:sz w:val="16"/>
          <w:szCs w:val="16"/>
          <w:color w:val="auto"/>
        </w:rPr>
        <w:t>The Pure Purchase Agreement includes customary post-closing adjustments, representations and warranties and covenants of the parties. The Members may become entitled to additional consideration with a value of up to $3.0 million based on the eligible net revenues achieved by the PurePressure business during the fiscal years ending December 31, 2022 and December 31, 2023, of which 40% will be payable in cash and the remaining 60% will be payable by issuing shares of Common Stock (collectively, the “Earn-out Consideration”).</w:t>
      </w:r>
    </w:p>
    <w:p>
      <w:pPr>
        <w:spacing w:after="0" w:line="170" w:lineRule="exact"/>
        <w:rPr>
          <w:sz w:val="20"/>
          <w:szCs w:val="20"/>
          <w:color w:val="auto"/>
        </w:rPr>
      </w:pPr>
    </w:p>
    <w:p>
      <w:pPr>
        <w:ind w:right="220" w:firstLine="284"/>
        <w:spacing w:after="0" w:line="268" w:lineRule="auto"/>
        <w:rPr>
          <w:sz w:val="20"/>
          <w:szCs w:val="20"/>
          <w:color w:val="auto"/>
        </w:rPr>
      </w:pPr>
      <w:r>
        <w:rPr>
          <w:rFonts w:ascii="Arial" w:cs="Arial" w:eastAsia="Arial" w:hAnsi="Arial"/>
          <w:sz w:val="16"/>
          <w:szCs w:val="16"/>
          <w:color w:val="auto"/>
        </w:rPr>
        <w:t>Transaction and related costs, consisting primarily of professional fees, directly related to the acquisition, totaled approximately $562 thousand for the three months ended March 31, 2022. All transaction and related costs were expensed as incurred and are included in general and administrative expenses.</w:t>
      </w:r>
    </w:p>
    <w:p>
      <w:pPr>
        <w:spacing w:after="0" w:line="157" w:lineRule="exact"/>
        <w:rPr>
          <w:sz w:val="20"/>
          <w:szCs w:val="20"/>
          <w:color w:val="auto"/>
        </w:rPr>
      </w:pPr>
    </w:p>
    <w:p>
      <w:pPr>
        <w:ind w:right="240" w:firstLine="284"/>
        <w:spacing w:after="0" w:line="257" w:lineRule="auto"/>
        <w:rPr>
          <w:sz w:val="20"/>
          <w:szCs w:val="20"/>
          <w:color w:val="auto"/>
        </w:rPr>
      </w:pPr>
      <w:r>
        <w:rPr>
          <w:rFonts w:ascii="Arial" w:cs="Arial" w:eastAsia="Arial" w:hAnsi="Arial"/>
          <w:sz w:val="16"/>
          <w:szCs w:val="16"/>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values still under review as of March 31, 2022 include values assigned to identifiable intangible assets and goodwill.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9880" w:type="dxa"/>
            <w:vAlign w:val="bottom"/>
          </w:tcPr>
          <w:p>
            <w:pPr>
              <w:ind w:left="260"/>
              <w:spacing w:after="0"/>
              <w:rPr>
                <w:sz w:val="20"/>
                <w:szCs w:val="20"/>
                <w:color w:val="auto"/>
              </w:rPr>
            </w:pPr>
            <w:r>
              <w:rPr>
                <w:rFonts w:ascii="Arial" w:cs="Arial" w:eastAsia="Arial" w:hAnsi="Arial"/>
                <w:sz w:val="16"/>
                <w:szCs w:val="16"/>
                <w:color w:val="auto"/>
              </w:rPr>
              <w:t>The following table sets forth the components and the allocation of the purchase price for the business combination:</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99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rPr>
                <w:sz w:val="20"/>
                <w:szCs w:val="20"/>
                <w:color w:val="auto"/>
              </w:rPr>
            </w:pPr>
            <w:r>
              <w:rPr>
                <w:rFonts w:ascii="Arial" w:cs="Arial" w:eastAsia="Arial" w:hAnsi="Arial"/>
                <w:sz w:val="16"/>
                <w:szCs w:val="16"/>
                <w:b w:val="1"/>
                <w:bCs w:val="1"/>
                <w:color w:val="auto"/>
              </w:rPr>
              <w:t>Purchase price consideration:</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Estimated closing proceeds</w:t>
            </w:r>
          </w:p>
        </w:tc>
        <w:tc>
          <w:tcPr>
            <w:tcW w:w="540" w:type="dxa"/>
            <w:vAlign w:val="bottom"/>
            <w:gridSpan w:val="2"/>
            <w:shd w:val="clear" w:color="auto" w:fill="CCEEFF"/>
          </w:tcPr>
          <w:p>
            <w:pPr>
              <w:jc w:val="right"/>
              <w:ind w:right="267"/>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Indebtedness paid</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Transaction expenses</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Closing buyer shares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2,211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Holdback buyer shares</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Earn-out consideration</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Estimated working capital adjustments</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880" w:type="dxa"/>
            <w:vAlign w:val="bottom"/>
            <w:tcBorders>
              <w:top w:val="single" w:sz="8" w:color="CCEEFF"/>
              <w:bottom w:val="single" w:sz="8" w:color="CCEEFF"/>
            </w:tcBorders>
          </w:tcPr>
          <w:p>
            <w:pPr>
              <w:ind w:left="120"/>
              <w:spacing w:after="0" w:line="173" w:lineRule="exact"/>
              <w:rPr>
                <w:sz w:val="20"/>
                <w:szCs w:val="20"/>
                <w:color w:val="auto"/>
              </w:rPr>
            </w:pPr>
            <w:r>
              <w:rPr>
                <w:rFonts w:ascii="Arial" w:cs="Arial" w:eastAsia="Arial" w:hAnsi="Arial"/>
                <w:sz w:val="16"/>
                <w:szCs w:val="16"/>
                <w:color w:val="auto"/>
              </w:rPr>
              <w:t>Fair value of total consideration transferred</w:t>
            </w:r>
          </w:p>
        </w:tc>
        <w:tc>
          <w:tcPr>
            <w:tcW w:w="120" w:type="dxa"/>
            <w:vAlign w:val="bottom"/>
            <w:tcBorders>
              <w:top w:val="single" w:sz="8" w:color="CCEEFF"/>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7,950</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purchase price, net of cash acquired</w:t>
            </w:r>
          </w:p>
        </w:tc>
        <w:tc>
          <w:tcPr>
            <w:tcW w:w="540" w:type="dxa"/>
            <w:vAlign w:val="bottom"/>
            <w:gridSpan w:val="2"/>
            <w:shd w:val="clear" w:color="auto" w:fill="CCEEFF"/>
          </w:tcPr>
          <w:p>
            <w:pPr>
              <w:jc w:val="right"/>
              <w:ind w:right="267"/>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restart"/>
          </w:tcPr>
          <w:p>
            <w:pPr>
              <w:spacing w:after="0"/>
              <w:rPr>
                <w:sz w:val="16"/>
                <w:szCs w:val="16"/>
                <w:color w:val="auto"/>
              </w:rPr>
            </w:pPr>
          </w:p>
        </w:tc>
        <w:tc>
          <w:tcPr>
            <w:tcW w:w="9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Fair value allocation of purchase price:</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40" w:type="dxa"/>
            <w:vAlign w:val="bottom"/>
            <w:gridSpan w:val="2"/>
          </w:tcPr>
          <w:p>
            <w:pPr>
              <w:jc w:val="right"/>
              <w:ind w:right="267"/>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Right of use assets, net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receivables</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current</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Operating lease liabilities, noncurrent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Finance lease liabilities, current</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Finance lease liabilities, noncurrent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Notes payable, current</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Notes payable, noncurrent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Acquired intangible assets</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3,037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880" w:type="dxa"/>
            <w:vAlign w:val="bottom"/>
          </w:tcPr>
          <w:p>
            <w:pPr>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4,542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88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Total purchase price</w:t>
            </w: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80" w:firstLine="284"/>
        <w:spacing w:after="0" w:line="268" w:lineRule="auto"/>
        <w:rPr>
          <w:sz w:val="20"/>
          <w:szCs w:val="20"/>
          <w:color w:val="auto"/>
        </w:rPr>
      </w:pPr>
      <w:r>
        <w:rPr>
          <w:rFonts w:ascii="Arial" w:cs="Arial" w:eastAsia="Arial" w:hAnsi="Arial"/>
          <w:sz w:val="16"/>
          <w:szCs w:val="16"/>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21"/>
              <w:spacing w:after="0"/>
              <w:rPr>
                <w:sz w:val="20"/>
                <w:szCs w:val="20"/>
                <w:color w:val="auto"/>
              </w:rPr>
            </w:pPr>
            <w:r>
              <w:rPr>
                <w:rFonts w:ascii="Arial" w:cs="Arial" w:eastAsia="Arial" w:hAnsi="Arial"/>
                <w:sz w:val="16"/>
                <w:szCs w:val="16"/>
                <w:b w:val="1"/>
                <w:bCs w:val="1"/>
                <w:color w:val="auto"/>
              </w:rPr>
              <w:t>Asset</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9"/>
        </w:trPr>
        <w:tc>
          <w:tcPr>
            <w:tcW w:w="868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920" w:type="dxa"/>
            <w:vAlign w:val="bottom"/>
          </w:tcPr>
          <w:p>
            <w:pPr>
              <w:jc w:val="right"/>
              <w:ind w:right="301"/>
              <w:spacing w:after="0"/>
              <w:rPr>
                <w:sz w:val="20"/>
                <w:szCs w:val="20"/>
                <w:color w:val="auto"/>
              </w:rPr>
            </w:pPr>
            <w:r>
              <w:rPr>
                <w:rFonts w:ascii="Arial" w:cs="Arial" w:eastAsia="Arial" w:hAnsi="Arial"/>
                <w:sz w:val="16"/>
                <w:szCs w:val="16"/>
                <w:b w:val="1"/>
                <w:bCs w:val="1"/>
                <w:color w:val="auto"/>
              </w:rPr>
              <w:t>Value</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Useful Life</w:t>
            </w:r>
          </w:p>
        </w:tc>
      </w:tr>
      <w:tr>
        <w:trPr>
          <w:trHeight w:val="189"/>
        </w:trPr>
        <w:tc>
          <w:tcPr>
            <w:tcW w:w="20" w:type="dxa"/>
            <w:vAlign w:val="bottom"/>
          </w:tcPr>
          <w:p>
            <w:pPr>
              <w:spacing w:after="0"/>
              <w:rPr>
                <w:sz w:val="16"/>
                <w:szCs w:val="16"/>
                <w:color w:val="auto"/>
              </w:rPr>
            </w:pPr>
          </w:p>
        </w:tc>
        <w:tc>
          <w:tcPr>
            <w:tcW w:w="85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Identified intangible assets:</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name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3"/>
              </w:rPr>
              <w:t>5 years</w:t>
            </w:r>
          </w:p>
        </w:tc>
      </w:tr>
      <w:tr>
        <w:trPr>
          <w:trHeight w:val="189"/>
        </w:trPr>
        <w:tc>
          <w:tcPr>
            <w:tcW w:w="20" w:type="dxa"/>
            <w:vAlign w:val="bottom"/>
          </w:tcPr>
          <w:p>
            <w:pPr>
              <w:spacing w:after="0"/>
              <w:rPr>
                <w:sz w:val="16"/>
                <w:szCs w:val="16"/>
                <w:color w:val="auto"/>
              </w:rPr>
            </w:pPr>
          </w:p>
        </w:tc>
        <w:tc>
          <w:tcPr>
            <w:tcW w:w="8660" w:type="dxa"/>
            <w:vAlign w:val="bottom"/>
            <w:gridSpan w:val="2"/>
          </w:tcPr>
          <w:p>
            <w:pPr>
              <w:spacing w:after="0"/>
              <w:rPr>
                <w:sz w:val="20"/>
                <w:szCs w:val="20"/>
                <w:color w:val="auto"/>
              </w:rPr>
            </w:pPr>
            <w:r>
              <w:rPr>
                <w:rFonts w:ascii="Arial" w:cs="Arial" w:eastAsia="Arial" w:hAnsi="Arial"/>
                <w:sz w:val="16"/>
                <w:szCs w:val="16"/>
                <w:color w:val="auto"/>
              </w:rPr>
              <w:t>Acquired developed technology</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1,093</w:t>
            </w:r>
          </w:p>
        </w:tc>
        <w:tc>
          <w:tcPr>
            <w:tcW w:w="2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3"/>
              </w:rPr>
              <w:t>8 years</w:t>
            </w:r>
          </w:p>
        </w:tc>
      </w:tr>
      <w:tr>
        <w:trPr>
          <w:trHeight w:val="221"/>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Customer relationships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3"/>
              </w:rPr>
              <w:t>5 years</w:t>
            </w:r>
          </w:p>
        </w:tc>
      </w:tr>
      <w:tr>
        <w:trPr>
          <w:trHeight w:val="200"/>
        </w:trPr>
        <w:tc>
          <w:tcPr>
            <w:tcW w:w="20" w:type="dxa"/>
            <w:vAlign w:val="bottom"/>
          </w:tcPr>
          <w:p>
            <w:pPr>
              <w:spacing w:after="0"/>
              <w:rPr>
                <w:sz w:val="17"/>
                <w:szCs w:val="17"/>
                <w:color w:val="auto"/>
              </w:rPr>
            </w:pPr>
          </w:p>
        </w:tc>
        <w:tc>
          <w:tcPr>
            <w:tcW w:w="8660" w:type="dxa"/>
            <w:vAlign w:val="bottom"/>
            <w:gridSpan w:val="2"/>
          </w:tcPr>
          <w:p>
            <w:pPr>
              <w:ind w:left="120"/>
              <w:spacing w:after="0" w:line="181" w:lineRule="exact"/>
              <w:rPr>
                <w:sz w:val="20"/>
                <w:szCs w:val="20"/>
                <w:color w:val="auto"/>
              </w:rPr>
            </w:pPr>
            <w:r>
              <w:rPr>
                <w:rFonts w:ascii="Arial" w:cs="Arial" w:eastAsia="Arial" w:hAnsi="Arial"/>
                <w:sz w:val="16"/>
                <w:szCs w:val="16"/>
                <w:color w:val="auto"/>
              </w:rPr>
              <w:t>Total identified intangible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3,037</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77" w:lineRule="exact"/>
        <w:rPr>
          <w:sz w:val="20"/>
          <w:szCs w:val="20"/>
          <w:color w:val="auto"/>
        </w:rPr>
      </w:pPr>
    </w:p>
    <w:p>
      <w:pPr>
        <w:ind w:right="40" w:firstLine="284"/>
        <w:spacing w:after="0" w:line="252" w:lineRule="auto"/>
        <w:rPr>
          <w:sz w:val="20"/>
          <w:szCs w:val="20"/>
          <w:color w:val="auto"/>
        </w:rPr>
      </w:pPr>
      <w:r>
        <w:rPr>
          <w:rFonts w:ascii="Arial" w:cs="Arial" w:eastAsia="Arial" w:hAnsi="Arial"/>
          <w:sz w:val="16"/>
          <w:szCs w:val="16"/>
          <w:color w:val="auto"/>
        </w:rPr>
        <w:t>Subject to certain customary limitations, (i) the Members will indemnify the Company and its affiliates, officers, directors and other agents against certain losses related to, among other things, breaches of the Members’ and PurePressure’s representations and warranties, indebtedness, transaction expenses, pre-closing taxes and the failure to perform covenants or obligations under the Pure Purchase Agreement, and (ii) the Company will indemnify the Members and their respective affiliates, officers, directors and other agents against certain losses related to, among other things, breaches of the Company’s representations and warranties and the failure to perform covenants or obligations under the Pure Purchase Agreement.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20"/>
                <w:szCs w:val="20"/>
                <w:color w:val="auto"/>
              </w:rPr>
            </w:pPr>
            <w:r>
              <w:rPr>
                <w:rFonts w:ascii="Arial" w:cs="Arial" w:eastAsia="Arial" w:hAnsi="Arial"/>
                <w:sz w:val="16"/>
                <w:szCs w:val="16"/>
                <w:b w:val="1"/>
                <w:bCs w:val="1"/>
                <w:color w:val="auto"/>
              </w:rPr>
              <w:t>Note 16 – Debt</w:t>
            </w: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6320" w:type="dxa"/>
            <w:vAlign w:val="bottom"/>
          </w:tcPr>
          <w:p>
            <w:pPr>
              <w:ind w:left="280"/>
              <w:spacing w:after="0"/>
              <w:rPr>
                <w:sz w:val="20"/>
                <w:szCs w:val="20"/>
                <w:color w:val="auto"/>
              </w:rPr>
            </w:pPr>
            <w:r>
              <w:rPr>
                <w:rFonts w:ascii="Arial" w:cs="Arial" w:eastAsia="Arial" w:hAnsi="Arial"/>
                <w:sz w:val="16"/>
                <w:szCs w:val="16"/>
                <w:color w:val="auto"/>
              </w:rPr>
              <w:t>The Company’s debt consisted of:</w:t>
            </w: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24"/>
                <w:szCs w:val="24"/>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spacing w:after="0"/>
              <w:rPr>
                <w:sz w:val="18"/>
                <w:szCs w:val="18"/>
                <w:color w:val="auto"/>
              </w:rPr>
            </w:pPr>
          </w:p>
        </w:tc>
        <w:tc>
          <w:tcPr>
            <w:tcW w:w="2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Note payable – SPA Note</w:t>
            </w:r>
          </w:p>
        </w:tc>
        <w:tc>
          <w:tcPr>
            <w:tcW w:w="23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95"/>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20" w:type="dxa"/>
            <w:vAlign w:val="bottom"/>
          </w:tcPr>
          <w:p>
            <w:pPr>
              <w:spacing w:after="0"/>
              <w:rPr>
                <w:sz w:val="20"/>
                <w:szCs w:val="20"/>
                <w:color w:val="auto"/>
              </w:rPr>
            </w:pPr>
            <w:r>
              <w:rPr>
                <w:rFonts w:ascii="Arial" w:cs="Arial" w:eastAsia="Arial" w:hAnsi="Arial"/>
                <w:sz w:val="16"/>
                <w:szCs w:val="16"/>
                <w:color w:val="auto"/>
              </w:rPr>
              <w:t>PPP Loan</w:t>
            </w: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794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Other notes payable (1)</w:t>
            </w: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1,487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6320" w:type="dxa"/>
            <w:vAlign w:val="bottom"/>
            <w:tcBorders>
              <w:top w:val="single" w:sz="8" w:color="CCEEFF"/>
            </w:tcBorders>
          </w:tcPr>
          <w:p>
            <w:pPr>
              <w:ind w:left="140"/>
              <w:spacing w:after="0" w:line="173" w:lineRule="exact"/>
              <w:rPr>
                <w:sz w:val="20"/>
                <w:szCs w:val="20"/>
                <w:color w:val="auto"/>
              </w:rPr>
            </w:pPr>
            <w:r>
              <w:rPr>
                <w:rFonts w:ascii="Arial" w:cs="Arial" w:eastAsia="Arial" w:hAnsi="Arial"/>
                <w:sz w:val="16"/>
                <w:szCs w:val="16"/>
                <w:color w:val="auto"/>
              </w:rPr>
              <w:t>Total debt</w:t>
            </w:r>
          </w:p>
        </w:tc>
        <w:tc>
          <w:tcPr>
            <w:tcW w:w="23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67,281</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1,101</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Less: unamortized debt discount</w:t>
            </w:r>
          </w:p>
        </w:tc>
        <w:tc>
          <w:tcPr>
            <w:tcW w:w="2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(29,303)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6320" w:type="dxa"/>
            <w:vAlign w:val="bottom"/>
            <w:tcBorders>
              <w:top w:val="single" w:sz="8" w:color="CCEEFF"/>
            </w:tcBorders>
          </w:tcPr>
          <w:p>
            <w:pPr>
              <w:ind w:left="140"/>
              <w:spacing w:after="0" w:line="173" w:lineRule="exact"/>
              <w:rPr>
                <w:sz w:val="20"/>
                <w:szCs w:val="20"/>
                <w:color w:val="auto"/>
              </w:rPr>
            </w:pPr>
            <w:r>
              <w:rPr>
                <w:rFonts w:ascii="Arial" w:cs="Arial" w:eastAsia="Arial" w:hAnsi="Arial"/>
                <w:sz w:val="16"/>
                <w:szCs w:val="16"/>
                <w:color w:val="auto"/>
              </w:rPr>
              <w:t>Total debt, net of debt discount</w:t>
            </w:r>
          </w:p>
        </w:tc>
        <w:tc>
          <w:tcPr>
            <w:tcW w:w="23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37,978</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1,101</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Less: current portion, net of current unamortized debt discount</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(2,281)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(1,089)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vMerge w:val="restart"/>
          </w:tcPr>
          <w:p>
            <w:pPr>
              <w:ind w:left="140"/>
              <w:spacing w:after="0"/>
              <w:rPr>
                <w:sz w:val="20"/>
                <w:szCs w:val="20"/>
                <w:color w:val="auto"/>
              </w:rPr>
            </w:pPr>
            <w:r>
              <w:rPr>
                <w:rFonts w:ascii="Arial" w:cs="Arial" w:eastAsia="Arial" w:hAnsi="Arial"/>
                <w:sz w:val="16"/>
                <w:szCs w:val="16"/>
                <w:color w:val="auto"/>
              </w:rPr>
              <w:t>Long-term debt</w:t>
            </w:r>
          </w:p>
        </w:tc>
        <w:tc>
          <w:tcPr>
            <w:tcW w:w="2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320" w:type="dxa"/>
            <w:vAlign w:val="bottom"/>
            <w:vMerge w:val="continue"/>
          </w:tcPr>
          <w:p>
            <w:pPr>
              <w:spacing w:after="0"/>
              <w:rPr>
                <w:sz w:val="17"/>
                <w:szCs w:val="17"/>
                <w:color w:val="auto"/>
              </w:rPr>
            </w:pPr>
          </w:p>
        </w:tc>
        <w:tc>
          <w:tcPr>
            <w:tcW w:w="2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35,697</w:t>
            </w:r>
          </w:p>
        </w:tc>
        <w:tc>
          <w:tcPr>
            <w:tcW w:w="240" w:type="dxa"/>
            <w:vAlign w:val="bottom"/>
            <w:gridSpan w:val="2"/>
          </w:tcPr>
          <w:p>
            <w:pPr>
              <w:jc w:val="right"/>
              <w:ind w:right="9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(1)  Other notes payable relates to one-year insurance premium that was financed over nine-months.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Note Payable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 Purchase Agreement</w:t>
      </w:r>
    </w:p>
    <w:p>
      <w:pPr>
        <w:spacing w:after="0" w:line="194" w:lineRule="exact"/>
        <w:rPr>
          <w:sz w:val="20"/>
          <w:szCs w:val="20"/>
          <w:color w:val="auto"/>
        </w:rPr>
      </w:pPr>
    </w:p>
    <w:p>
      <w:pPr>
        <w:ind w:firstLine="284"/>
        <w:spacing w:after="0" w:line="253" w:lineRule="auto"/>
        <w:rPr>
          <w:sz w:val="20"/>
          <w:szCs w:val="20"/>
          <w:color w:val="auto"/>
        </w:rPr>
      </w:pPr>
      <w:r>
        <w:rPr>
          <w:rFonts w:ascii="Arial" w:cs="Arial" w:eastAsia="Arial" w:hAnsi="Arial"/>
          <w:sz w:val="16"/>
          <w:szCs w:val="16"/>
          <w:color w:val="auto"/>
        </w:rPr>
        <w:t>On March 14, 2022, the Company entered into a Securities Purchase Agreement (the “Securities Purchase Agreement”) with an accredited investor (the “Investor”), pursuant to which the Company agreed to issue and sell to the Investor, in a private placement transaction, in exchange for the payment by the Investor of $65 million, less applicable expenses, as set forth in the Securities Purchase Agreement, (i) a SPA Note in an aggregate principal amount of $65 million, and (ii) a warrant (the “SPA Warrant”) to purchase up to an aggregate of 34,406 shares of Common Stock.</w:t>
      </w:r>
    </w:p>
    <w:p>
      <w:pPr>
        <w:spacing w:after="0" w:line="170" w:lineRule="exact"/>
        <w:rPr>
          <w:sz w:val="20"/>
          <w:szCs w:val="20"/>
          <w:color w:val="auto"/>
        </w:rPr>
      </w:pPr>
    </w:p>
    <w:p>
      <w:pPr>
        <w:ind w:right="40" w:firstLine="284"/>
        <w:spacing w:after="0" w:line="271" w:lineRule="auto"/>
        <w:rPr>
          <w:sz w:val="20"/>
          <w:szCs w:val="20"/>
          <w:color w:val="auto"/>
        </w:rPr>
      </w:pPr>
      <w:r>
        <w:rPr>
          <w:rFonts w:ascii="Arial" w:cs="Arial" w:eastAsia="Arial" w:hAnsi="Arial"/>
          <w:sz w:val="15"/>
          <w:szCs w:val="15"/>
          <w:color w:val="auto"/>
        </w:rPr>
        <w:t>The SPA Note is a senior secured obligation of the Company and ranks senior to all indebtedness of the Company. The Company will be required to make amortization payments equal to 4.0% of the original principal amount of the SPA Note on the first day of each calendar month starting on February 1, 2023 and extending through the maturity date of March 1, 2026 (the “Maturity Date”), at which time all remaining outstanding principal and accrued but unpaid interest will be due. The SPA Note has a stated interest rate of 6.75% per year, and the Company is required to pay interest on March 1, June 1, September 1, and December 1 of each calendar year through the Maturity Date. Following the one-year anniversary of the SPA Note’s issuance, the Company may, in lieu of paying interest in cash, pay such interest in kind, in which case interest on the SPA Note will be calculated at the rate of 8.75% per year and will be added to the principal amount of the SPA Note.</w:t>
      </w:r>
    </w:p>
    <w:p>
      <w:pPr>
        <w:spacing w:after="0" w:line="156" w:lineRule="exact"/>
        <w:rPr>
          <w:sz w:val="20"/>
          <w:szCs w:val="20"/>
          <w:color w:val="auto"/>
        </w:rPr>
      </w:pPr>
    </w:p>
    <w:p>
      <w:pPr>
        <w:ind w:right="20" w:firstLine="284"/>
        <w:spacing w:after="0" w:line="253" w:lineRule="auto"/>
        <w:rPr>
          <w:sz w:val="20"/>
          <w:szCs w:val="20"/>
          <w:color w:val="auto"/>
        </w:rPr>
      </w:pPr>
      <w:r>
        <w:rPr>
          <w:rFonts w:ascii="Arial" w:cs="Arial" w:eastAsia="Arial" w:hAnsi="Arial"/>
          <w:sz w:val="16"/>
          <w:szCs w:val="16"/>
          <w:color w:val="auto"/>
        </w:rPr>
        <w:t>At any time following the one-year anniversary of the SPA Note’s issuance, the Company may prepay all (but not less than all) of the SPA Note by redemption at a price equal to 106.75% of the then-outstanding principal amount under the SPA Note, plus accrued but unpaid interest. The Investor will also have the option of requiring the Company to redeem the SPA Note if the Company undergoes a fundamental change at a price equal to 107% of the then-outstanding principal amount under the SPA Note, plus any accrued interest.</w:t>
      </w:r>
    </w:p>
    <w:p>
      <w:pPr>
        <w:spacing w:after="0" w:line="170" w:lineRule="exact"/>
        <w:rPr>
          <w:sz w:val="20"/>
          <w:szCs w:val="20"/>
          <w:color w:val="auto"/>
        </w:rPr>
      </w:pPr>
    </w:p>
    <w:p>
      <w:pPr>
        <w:ind w:right="20" w:firstLine="284"/>
        <w:spacing w:after="0" w:line="253" w:lineRule="auto"/>
        <w:rPr>
          <w:sz w:val="20"/>
          <w:szCs w:val="20"/>
          <w:color w:val="auto"/>
        </w:rPr>
      </w:pPr>
      <w:r>
        <w:rPr>
          <w:rFonts w:ascii="Arial" w:cs="Arial" w:eastAsia="Arial" w:hAnsi="Arial"/>
          <w:sz w:val="16"/>
          <w:szCs w:val="16"/>
          <w:color w:val="auto"/>
        </w:rPr>
        <w:t>The Securities Purchase Agreement provides for up to two additional closings subject to certain conditions set forth in the Securities Purchase Agreement and on substantially the same terms as the initial closing. Each subsequent closing would result in the issuance of a senior secured note with an original principal amount of $35.0 million and warrants to purchase shares of Common Stock for up to 65% of such principal amount divided by the closing price of Common Stock on the trading day immediately prior to such subsequent closing.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4" w:name="page45"/>
    <w:bookmarkEnd w:id="44"/>
    <w:p>
      <w:pPr>
        <w:ind w:right="20" w:firstLine="284"/>
        <w:spacing w:after="0" w:line="250" w:lineRule="auto"/>
        <w:rPr>
          <w:sz w:val="20"/>
          <w:szCs w:val="20"/>
          <w:color w:val="auto"/>
        </w:rPr>
      </w:pPr>
      <w:r>
        <w:rPr>
          <w:rFonts w:ascii="Arial" w:cs="Arial" w:eastAsia="Arial" w:hAnsi="Arial"/>
          <w:sz w:val="16"/>
          <w:szCs w:val="16"/>
          <w:color w:val="auto"/>
        </w:rPr>
        <w:t>The SPA Note imposes certain customary affirmative and negative covenants upon the Company, as well as covenants that (i) restrict the Company and its subsidiaries from incurring any additional indebtedness or suffering any liens, subject to specified exceptions, (ii) restrict the ability of the Company and its subsidiaries from making certain investments, subject to specified exceptions, (iii) restrict the declaration of any dividends or other distributions, subject to specified exceptions, (iv) require the Company to maintain specified earnings and adjusted EBITDA targets, and (v) require the Company to maintain minimum amounts of cash on hand. If an event of default under the SPA Note occurs, the Investor can elect to redeem the SPA Note for cash equal to 115% of the then-outstanding principal amount of the SPA Note (or such lesser principal amount accelerated by the Investor), plus accrued and unpaid interest, including default interest, which accrues at a rate per year equal to 15% from the date of a default or event of default.</w:t>
      </w:r>
    </w:p>
    <w:p>
      <w:pPr>
        <w:spacing w:after="0" w:line="172" w:lineRule="exact"/>
        <w:rPr>
          <w:sz w:val="20"/>
          <w:szCs w:val="20"/>
          <w:color w:val="auto"/>
        </w:rPr>
      </w:pPr>
    </w:p>
    <w:p>
      <w:pPr>
        <w:ind w:right="140" w:firstLine="284"/>
        <w:spacing w:after="0" w:line="268" w:lineRule="auto"/>
        <w:rPr>
          <w:sz w:val="20"/>
          <w:szCs w:val="20"/>
          <w:color w:val="auto"/>
        </w:rPr>
      </w:pPr>
      <w:r>
        <w:rPr>
          <w:rFonts w:ascii="Arial" w:cs="Arial" w:eastAsia="Arial" w:hAnsi="Arial"/>
          <w:sz w:val="16"/>
          <w:szCs w:val="16"/>
          <w:color w:val="auto"/>
        </w:rPr>
        <w:t>Until the date the SPA Note is fully repaid, the Investor has, subject to certain exceptions, the right to participate for up to 30% of any debt, Preferred Stock or equity-linked financing of the Company or its subsidiaries.</w:t>
      </w:r>
    </w:p>
    <w:p>
      <w:pPr>
        <w:spacing w:after="0" w:line="157" w:lineRule="exact"/>
        <w:rPr>
          <w:sz w:val="20"/>
          <w:szCs w:val="20"/>
          <w:color w:val="auto"/>
        </w:rPr>
      </w:pPr>
    </w:p>
    <w:p>
      <w:pPr>
        <w:ind w:right="120" w:firstLine="284"/>
        <w:spacing w:after="0" w:line="296" w:lineRule="auto"/>
        <w:rPr>
          <w:sz w:val="20"/>
          <w:szCs w:val="20"/>
          <w:color w:val="auto"/>
        </w:rPr>
      </w:pPr>
      <w:r>
        <w:rPr>
          <w:rFonts w:ascii="Arial" w:cs="Arial" w:eastAsia="Arial" w:hAnsi="Arial"/>
          <w:sz w:val="14"/>
          <w:szCs w:val="14"/>
          <w:color w:val="auto"/>
        </w:rPr>
        <w:t>Each SPA Warrant issued in the initial closing has an exercise price of $1,350.00 per share, subject to adjustment for stock splits, reverse stock splits, stock dividends and similar transactions, is immediately exercisable, has a term of five and one-half years from the date of issuance and is exercisable on a cash basis, unless there is not an effective registration statement covering the resale of the shares issuable upon exercise of the SPA Warrant (the “SPA Warrant Shares”), in which case the SPA Warrant is also exercisable on a cashless exercise basis at the Investor’s election. The Securities Purchase Agreement requires the Company to file resale registration statements with respect to the SPA Warrant Shares as soon as practicable and in any event within 45 days following the initial closing and any subsequent closings.</w:t>
      </w:r>
    </w:p>
    <w:p>
      <w:pPr>
        <w:spacing w:after="0" w:line="143" w:lineRule="exact"/>
        <w:rPr>
          <w:sz w:val="20"/>
          <w:szCs w:val="20"/>
          <w:color w:val="auto"/>
        </w:rPr>
      </w:pPr>
    </w:p>
    <w:p>
      <w:pPr>
        <w:jc w:val="both"/>
        <w:ind w:right="40" w:firstLine="284"/>
        <w:spacing w:after="0" w:line="253" w:lineRule="auto"/>
        <w:rPr>
          <w:sz w:val="20"/>
          <w:szCs w:val="20"/>
          <w:color w:val="auto"/>
        </w:rPr>
      </w:pPr>
      <w:r>
        <w:rPr>
          <w:rFonts w:ascii="Arial" w:cs="Arial" w:eastAsia="Arial" w:hAnsi="Arial"/>
          <w:sz w:val="16"/>
          <w:szCs w:val="16"/>
          <w:color w:val="auto"/>
        </w:rPr>
        <w:t>The SPA Warrant provides that in no event will the number of shares of Common Stock issued upon exercise of the SPA Warrant result in the Investor’s beneficial ownership exceeding 4.99% of the Company’s shares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the Company).</w:t>
      </w:r>
    </w:p>
    <w:p>
      <w:pPr>
        <w:spacing w:after="0" w:line="170" w:lineRule="exact"/>
        <w:rPr>
          <w:sz w:val="20"/>
          <w:szCs w:val="20"/>
          <w:color w:val="auto"/>
        </w:rPr>
      </w:pPr>
    </w:p>
    <w:p>
      <w:pPr>
        <w:ind w:right="200" w:firstLine="284"/>
        <w:spacing w:after="0" w:line="302" w:lineRule="auto"/>
        <w:rPr>
          <w:sz w:val="20"/>
          <w:szCs w:val="20"/>
          <w:color w:val="auto"/>
        </w:rPr>
      </w:pPr>
      <w:r>
        <w:rPr>
          <w:rFonts w:ascii="Arial" w:cs="Arial" w:eastAsia="Arial" w:hAnsi="Arial"/>
          <w:sz w:val="15"/>
          <w:szCs w:val="15"/>
          <w:color w:val="auto"/>
        </w:rPr>
        <w:t>The Securities Purchase Agreement also contains customary representations and warranties of the Company and the Investor. There is no material relationship between the Company or its affiliates and the Investor other than in respect of the Securities Purchase Agreement, the SPA Note and the SPA Warrant.</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provides a breakdown of the note payable balances as of March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left="84"/>
              <w:spacing w:after="0"/>
              <w:rPr>
                <w:sz w:val="20"/>
                <w:szCs w:val="20"/>
                <w:color w:val="auto"/>
              </w:rPr>
            </w:pPr>
            <w:r>
              <w:rPr>
                <w:rFonts w:ascii="Arial" w:cs="Arial" w:eastAsia="Arial" w:hAnsi="Arial"/>
                <w:sz w:val="16"/>
                <w:szCs w:val="16"/>
                <w:b w:val="1"/>
                <w:bCs w:val="1"/>
                <w:color w:val="auto"/>
                <w:w w:val="87"/>
              </w:rPr>
              <w:t>Balance at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Amortization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1"/>
              <w:spacing w:after="0"/>
              <w:rPr>
                <w:sz w:val="20"/>
                <w:szCs w:val="20"/>
                <w:color w:val="auto"/>
              </w:rPr>
            </w:pPr>
            <w:r>
              <w:rPr>
                <w:rFonts w:ascii="Arial" w:cs="Arial" w:eastAsia="Arial" w:hAnsi="Arial"/>
                <w:sz w:val="16"/>
                <w:szCs w:val="16"/>
                <w:b w:val="1"/>
                <w:bCs w:val="1"/>
                <w:color w:val="auto"/>
                <w:w w:val="87"/>
              </w:rPr>
              <w:t>Balance at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left="64"/>
              <w:spacing w:after="0"/>
              <w:rPr>
                <w:sz w:val="20"/>
                <w:szCs w:val="20"/>
                <w:color w:val="auto"/>
              </w:rPr>
            </w:pPr>
            <w:r>
              <w:rPr>
                <w:rFonts w:ascii="Arial" w:cs="Arial" w:eastAsia="Arial" w:hAnsi="Arial"/>
                <w:sz w:val="16"/>
                <w:szCs w:val="16"/>
                <w:b w:val="1"/>
                <w:bCs w:val="1"/>
                <w:color w:val="auto"/>
                <w:w w:val="90"/>
              </w:rPr>
              <w:t>January 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of Debt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1"/>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05"/>
        </w:trPr>
        <w:tc>
          <w:tcPr>
            <w:tcW w:w="4620" w:type="dxa"/>
            <w:vAlign w:val="bottom"/>
            <w:gridSpan w:val="3"/>
          </w:tcPr>
          <w:p>
            <w:pPr>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jc w:val="center"/>
              <w:ind w:left="104"/>
              <w:spacing w:after="0"/>
              <w:rPr>
                <w:sz w:val="20"/>
                <w:szCs w:val="20"/>
                <w:color w:val="auto"/>
              </w:rPr>
            </w:pPr>
            <w:r>
              <w:rPr>
                <w:rFonts w:ascii="Arial" w:cs="Arial" w:eastAsia="Arial" w:hAnsi="Arial"/>
                <w:sz w:val="16"/>
                <w:szCs w:val="16"/>
                <w:b w:val="1"/>
                <w:bCs w:val="1"/>
                <w:color w:val="auto"/>
                <w:w w:val="89"/>
              </w:rPr>
              <w:t>2022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21"/>
              <w:spacing w:after="0"/>
              <w:rPr>
                <w:sz w:val="20"/>
                <w:szCs w:val="20"/>
                <w:color w:val="auto"/>
              </w:rPr>
            </w:pPr>
            <w:r>
              <w:rPr>
                <w:rFonts w:ascii="Arial" w:cs="Arial" w:eastAsia="Arial" w:hAnsi="Arial"/>
                <w:sz w:val="16"/>
                <w:szCs w:val="16"/>
                <w:b w:val="1"/>
                <w:bCs w:val="1"/>
                <w:color w:val="auto"/>
                <w:w w:val="97"/>
              </w:rPr>
              <w:t>Additions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Payments</w:t>
            </w:r>
          </w:p>
        </w:tc>
        <w:tc>
          <w:tcPr>
            <w:tcW w:w="8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Discount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41"/>
              <w:spacing w:after="0"/>
              <w:rPr>
                <w:sz w:val="20"/>
                <w:szCs w:val="20"/>
                <w:color w:val="auto"/>
              </w:rPr>
            </w:pPr>
            <w:r>
              <w:rPr>
                <w:rFonts w:ascii="Arial" w:cs="Arial" w:eastAsia="Arial" w:hAnsi="Arial"/>
                <w:sz w:val="16"/>
                <w:szCs w:val="16"/>
                <w:b w:val="1"/>
                <w:bCs w:val="1"/>
                <w:color w:val="auto"/>
                <w:w w:val="84"/>
              </w:rPr>
              <w:t>2022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 expense</w:t>
            </w:r>
          </w:p>
        </w:tc>
        <w:tc>
          <w:tcPr>
            <w:tcW w:w="120" w:type="dxa"/>
            <w:vAlign w:val="bottom"/>
            <w:vMerge w:val="continue"/>
            <w:shd w:val="clear" w:color="auto" w:fill="CCEEFF"/>
          </w:tcPr>
          <w:p>
            <w:pPr>
              <w:spacing w:after="0"/>
              <w:rPr>
                <w:sz w:val="19"/>
                <w:szCs w:val="19"/>
                <w:color w:val="auto"/>
              </w:rPr>
            </w:pPr>
          </w:p>
        </w:tc>
        <w:tc>
          <w:tcPr>
            <w:tcW w:w="94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Principal</w:t>
            </w:r>
          </w:p>
        </w:tc>
        <w:tc>
          <w:tcPr>
            <w:tcW w:w="94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65,000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65,000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00" w:type="dxa"/>
            <w:vAlign w:val="bottom"/>
            <w:gridSpan w:val="2"/>
          </w:tcPr>
          <w:p>
            <w:pPr>
              <w:spacing w:after="0"/>
              <w:rPr>
                <w:sz w:val="20"/>
                <w:szCs w:val="20"/>
                <w:color w:val="auto"/>
              </w:rPr>
            </w:pPr>
            <w:r>
              <w:rPr>
                <w:rFonts w:ascii="Arial" w:cs="Arial" w:eastAsia="Arial" w:hAnsi="Arial"/>
                <w:sz w:val="16"/>
                <w:szCs w:val="16"/>
                <w:color w:val="auto"/>
              </w:rPr>
              <w:t>Notes payable, discount</w:t>
            </w:r>
          </w:p>
        </w:tc>
        <w:tc>
          <w:tcPr>
            <w:tcW w:w="94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6"/>
                <w:szCs w:val="16"/>
                <w:color w:val="auto"/>
              </w:rPr>
              <w:t>(29,527)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(29,303)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0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Net carrying amount</w:t>
            </w: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gridSpan w:val="2"/>
            <w:vMerge w:val="continue"/>
            <w:shd w:val="clear" w:color="auto" w:fill="CCEEFF"/>
          </w:tcPr>
          <w:p>
            <w:pPr>
              <w:spacing w:after="0"/>
              <w:rPr>
                <w:sz w:val="18"/>
                <w:szCs w:val="18"/>
                <w:color w:val="auto"/>
              </w:rPr>
            </w:pPr>
          </w:p>
        </w:tc>
        <w:tc>
          <w:tcPr>
            <w:tcW w:w="94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35,473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35,697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short-term and long-term portion of the SPA Note as of March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Notes</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5"/>
              </w:rPr>
              <w:t>Short-Term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5"/>
              </w:rPr>
              <w:t>Long-Term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payable, net</w:t>
            </w:r>
          </w:p>
        </w:tc>
        <w:tc>
          <w:tcPr>
            <w:tcW w:w="0" w:type="dxa"/>
            <w:vAlign w:val="bottom"/>
          </w:tcPr>
          <w:p>
            <w:pPr>
              <w:spacing w:after="0"/>
              <w:rPr>
                <w:sz w:val="1"/>
                <w:szCs w:val="1"/>
                <w:color w:val="auto"/>
              </w:rPr>
            </w:pPr>
          </w:p>
        </w:tc>
      </w:tr>
      <w:tr>
        <w:trPr>
          <w:trHeight w:val="189"/>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Principal</w:t>
            </w:r>
          </w:p>
        </w:tc>
        <w:tc>
          <w:tcPr>
            <w:tcW w:w="3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5,200</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59,800</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00" w:type="dxa"/>
            <w:vAlign w:val="bottom"/>
          </w:tcPr>
          <w:p>
            <w:pPr>
              <w:spacing w:after="0"/>
              <w:rPr>
                <w:sz w:val="20"/>
                <w:szCs w:val="20"/>
                <w:color w:val="auto"/>
              </w:rPr>
            </w:pPr>
            <w:r>
              <w:rPr>
                <w:rFonts w:ascii="Arial" w:cs="Arial" w:eastAsia="Arial" w:hAnsi="Arial"/>
                <w:sz w:val="16"/>
                <w:szCs w:val="16"/>
                <w:color w:val="auto"/>
              </w:rPr>
              <w:t>Unamortized discount</w:t>
            </w:r>
          </w:p>
        </w:tc>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(24,103)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(29,303)</w:t>
            </w:r>
          </w:p>
        </w:tc>
        <w:tc>
          <w:tcPr>
            <w:tcW w:w="0" w:type="dxa"/>
            <w:vAlign w:val="bottom"/>
          </w:tcPr>
          <w:p>
            <w:pPr>
              <w:spacing w:after="0"/>
              <w:rPr>
                <w:sz w:val="1"/>
                <w:szCs w:val="1"/>
                <w:color w:val="auto"/>
              </w:rPr>
            </w:pPr>
          </w:p>
        </w:tc>
      </w:tr>
      <w:tr>
        <w:trPr>
          <w:trHeight w:val="24"/>
        </w:trPr>
        <w:tc>
          <w:tcPr>
            <w:tcW w:w="350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Net carrying amount</w:t>
            </w:r>
          </w:p>
        </w:tc>
        <w:tc>
          <w:tcPr>
            <w:tcW w:w="3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3500" w:type="dxa"/>
            <w:vAlign w:val="bottom"/>
            <w:vMerge w:val="continue"/>
            <w:shd w:val="clear" w:color="auto" w:fill="CCEEFF"/>
          </w:tcPr>
          <w:p>
            <w:pPr>
              <w:spacing w:after="0"/>
              <w:rPr>
                <w:sz w:val="18"/>
                <w:szCs w:val="18"/>
                <w:color w:val="auto"/>
              </w:rPr>
            </w:pPr>
          </w:p>
        </w:tc>
        <w:tc>
          <w:tcPr>
            <w:tcW w:w="38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35,697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35,697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bottom w:val="single" w:sz="8" w:color="CCEEFF"/>
            </w:tcBorders>
            <w:vMerge w:val="restart"/>
          </w:tcPr>
          <w:p>
            <w:pPr>
              <w:jc w:val="right"/>
              <w:ind w:right="1421"/>
              <w:spacing w:after="0"/>
              <w:rPr>
                <w:sz w:val="20"/>
                <w:szCs w:val="20"/>
                <w:color w:val="auto"/>
              </w:rPr>
            </w:pPr>
            <w:r>
              <w:rPr>
                <w:rFonts w:ascii="Arial" w:cs="Arial" w:eastAsia="Arial" w:hAnsi="Arial"/>
                <w:sz w:val="16"/>
                <w:szCs w:val="16"/>
                <w:color w:val="auto"/>
              </w:rPr>
              <w:t>42</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3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89" w:right="31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900" w:type="dxa"/>
            <w:vAlign w:val="bottom"/>
          </w:tcPr>
          <w:p>
            <w:pPr>
              <w:ind w:left="280"/>
              <w:spacing w:after="0"/>
              <w:rPr>
                <w:sz w:val="20"/>
                <w:szCs w:val="20"/>
                <w:color w:val="auto"/>
              </w:rPr>
            </w:pPr>
            <w:r>
              <w:rPr>
                <w:rFonts w:ascii="Arial" w:cs="Arial" w:eastAsia="Arial" w:hAnsi="Arial"/>
                <w:sz w:val="16"/>
                <w:szCs w:val="16"/>
                <w:color w:val="auto"/>
              </w:rPr>
              <w:t>As of March 31, 2022, future minimum payments were as follows: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5"/>
        </w:trPr>
        <w:tc>
          <w:tcPr>
            <w:tcW w:w="9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Years ending December 31 (In thousands),</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189"/>
        </w:trPr>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Remaining 2022</w:t>
            </w:r>
          </w:p>
        </w:tc>
        <w:tc>
          <w:tcPr>
            <w:tcW w:w="500" w:type="dxa"/>
            <w:vAlign w:val="bottom"/>
            <w:gridSpan w:val="2"/>
            <w:shd w:val="clear" w:color="auto" w:fill="CCEEFF"/>
          </w:tcPr>
          <w:p>
            <w:pPr>
              <w:jc w:val="right"/>
              <w:ind w:right="227"/>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9900" w:type="dxa"/>
            <w:vAlign w:val="bottom"/>
          </w:tcPr>
          <w:p>
            <w:pPr>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28,600</w:t>
            </w:r>
          </w:p>
        </w:tc>
      </w:tr>
      <w:tr>
        <w:trPr>
          <w:trHeight w:val="189"/>
        </w:trPr>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31,200</w:t>
            </w:r>
          </w:p>
        </w:tc>
      </w:tr>
      <w:tr>
        <w:trPr>
          <w:trHeight w:val="205"/>
        </w:trPr>
        <w:tc>
          <w:tcPr>
            <w:tcW w:w="9900" w:type="dxa"/>
            <w:vAlign w:val="bottom"/>
          </w:tcPr>
          <w:p>
            <w:pPr>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5,200</w:t>
            </w:r>
          </w:p>
        </w:tc>
      </w:tr>
      <w:tr>
        <w:trPr>
          <w:trHeight w:val="193"/>
        </w:trPr>
        <w:tc>
          <w:tcPr>
            <w:tcW w:w="9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future payments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Paycheck Protection Program Loan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Paycheck Protection Program Loans under the Coronavirus Aid, Relief, and Economic Security Act</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May 2020, the Company entered into a PPP Loan with Bank of America pursuant to the PPP under the CARES Act administered by the SBA.</w:t>
      </w:r>
    </w:p>
    <w:p>
      <w:pPr>
        <w:spacing w:after="0" w:line="194" w:lineRule="exact"/>
        <w:rPr>
          <w:sz w:val="20"/>
          <w:szCs w:val="20"/>
          <w:color w:val="auto"/>
        </w:rPr>
      </w:pPr>
    </w:p>
    <w:p>
      <w:pPr>
        <w:ind w:right="60" w:firstLine="284"/>
        <w:spacing w:after="0" w:line="273" w:lineRule="auto"/>
        <w:rPr>
          <w:sz w:val="20"/>
          <w:szCs w:val="20"/>
          <w:color w:val="auto"/>
        </w:rPr>
      </w:pPr>
      <w:r>
        <w:rPr>
          <w:rFonts w:ascii="Arial" w:cs="Arial" w:eastAsia="Arial" w:hAnsi="Arial"/>
          <w:sz w:val="15"/>
          <w:szCs w:val="15"/>
          <w:color w:val="auto"/>
        </w:rPr>
        <w:t>The Company received total proceeds of approximately $779 thousand from the unsecured PPP Loan, which is scheduled to mature on May 7, 2022. Subject to certain conditions, the PPP Loan may be forgiven in whole or in part by applying for forgiveness pursuant to the CARES Act and the PPP. The Company’s submission to have the remaining $779 thousand PPP Loan forgiven is currently being reviewed by the SBA. If the remaining principal amount from the $779 thousand PPP Loan is not forgiven in full, the Company would be obligated to repay any principal amount not forgiven and interest accrued thereon. As of March 31, 2022 and December 31, 2021, all of our PPP Loan balances were reported as current portion of long-term debt in the accompanying condensed consolidated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PurePressure SBA Debt</w:t>
      </w:r>
    </w:p>
    <w:p>
      <w:pPr>
        <w:spacing w:after="0" w:line="194" w:lineRule="exact"/>
        <w:rPr>
          <w:sz w:val="20"/>
          <w:szCs w:val="20"/>
          <w:color w:val="auto"/>
        </w:rPr>
      </w:pPr>
    </w:p>
    <w:p>
      <w:pPr>
        <w:ind w:right="40" w:firstLine="284"/>
        <w:spacing w:after="0" w:line="268" w:lineRule="auto"/>
        <w:rPr>
          <w:sz w:val="20"/>
          <w:szCs w:val="20"/>
          <w:color w:val="auto"/>
        </w:rPr>
      </w:pPr>
      <w:r>
        <w:rPr>
          <w:rFonts w:ascii="Arial" w:cs="Arial" w:eastAsia="Arial" w:hAnsi="Arial"/>
          <w:sz w:val="16"/>
          <w:szCs w:val="16"/>
          <w:color w:val="auto"/>
        </w:rPr>
        <w:t>As part of the acquisition of PurePressure, $159 thousand of debt remained outstanding from a standard SBA loan as of December 31, 2021. This debt has subsequently been paid as a part of the PurePressure acquisition.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 Convertible Promissory Notes</w:t>
      </w:r>
    </w:p>
    <w:p>
      <w:pPr>
        <w:spacing w:after="0" w:line="198" w:lineRule="exact"/>
        <w:rPr>
          <w:sz w:val="20"/>
          <w:szCs w:val="20"/>
          <w:color w:val="auto"/>
        </w:rPr>
      </w:pPr>
    </w:p>
    <w:p>
      <w:pPr>
        <w:ind w:right="20" w:firstLine="284"/>
        <w:spacing w:after="0" w:line="253" w:lineRule="auto"/>
        <w:rPr>
          <w:sz w:val="20"/>
          <w:szCs w:val="20"/>
          <w:color w:val="auto"/>
        </w:rPr>
      </w:pPr>
      <w:r>
        <w:rPr>
          <w:rFonts w:ascii="Arial" w:cs="Arial" w:eastAsia="Arial" w:hAnsi="Arial"/>
          <w:sz w:val="16"/>
          <w:szCs w:val="16"/>
          <w:color w:val="auto"/>
        </w:rPr>
        <w:t>On January 11, 2021, the Company’s Board of Directors and shareholders approved the amendment to the conversion formula of the Convertible Promissory Notes (the “Convertible Notes”) issued by the Company on dates between August 2020 and November 2020. Pursuant to the amendment, immediately prior to the consummation of a public transaction, the outstanding principal amount of the Convertible Notes, together with all accrued and unpaid interest, shall convert into a number of fully paid and non-assessable shares of Common Stock, at a conversion price of $1,544.00.</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While the original conversion feature was bifurcated from the host instrument, the Company determined that the amended conversion feature would not require bifurcation.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Since the accounting for the conversion feature changed because of the amendment, the Company applied extinguishment accounting pursuant to its accounting policy.</w:t>
      </w:r>
    </w:p>
    <w:p>
      <w:pPr>
        <w:spacing w:after="0" w:line="195" w:lineRule="exact"/>
        <w:rPr>
          <w:sz w:val="20"/>
          <w:szCs w:val="20"/>
          <w:color w:val="auto"/>
        </w:rPr>
      </w:pPr>
    </w:p>
    <w:p>
      <w:pPr>
        <w:ind w:right="40" w:firstLine="284"/>
        <w:spacing w:after="0" w:line="282" w:lineRule="auto"/>
        <w:rPr>
          <w:sz w:val="20"/>
          <w:szCs w:val="20"/>
          <w:color w:val="auto"/>
        </w:rPr>
      </w:pPr>
      <w:r>
        <w:rPr>
          <w:rFonts w:ascii="Arial" w:cs="Arial" w:eastAsia="Arial" w:hAnsi="Arial"/>
          <w:sz w:val="15"/>
          <w:szCs w:val="15"/>
          <w:color w:val="auto"/>
        </w:rPr>
        <w:t>Accordingly, the Company recognized a gain on extinguishment of $2.7 million in connection with the derecognition of the net carrying amount of the extinguished debt of $19.6 million (inclusive of $13.1 million of principal, $7.1 million of derivative liabilities, less $587 thousand of debt discount) and the recognition of the $16.9 million fair value of the new convertible notes (including the same principal amount of $13.1 million plus the $3.8 million fair value of the beneficial conversion feature).</w:t>
      </w:r>
    </w:p>
    <w:p>
      <w:pPr>
        <w:spacing w:after="0" w:line="149" w:lineRule="exact"/>
        <w:rPr>
          <w:sz w:val="20"/>
          <w:szCs w:val="20"/>
          <w:color w:val="auto"/>
        </w:rPr>
      </w:pPr>
    </w:p>
    <w:p>
      <w:pPr>
        <w:ind w:right="220" w:firstLine="284"/>
        <w:spacing w:after="0" w:line="268" w:lineRule="auto"/>
        <w:rPr>
          <w:sz w:val="20"/>
          <w:szCs w:val="20"/>
          <w:color w:val="auto"/>
        </w:rPr>
      </w:pPr>
      <w:r>
        <w:rPr>
          <w:rFonts w:ascii="Arial" w:cs="Arial" w:eastAsia="Arial" w:hAnsi="Arial"/>
          <w:sz w:val="16"/>
          <w:szCs w:val="16"/>
          <w:color w:val="auto"/>
        </w:rPr>
        <w:t>On February 1, 2021, in conjunction with the closing of the Company’s IPO, the Convertible Notes in the aggregate principal amount of $13.1 million were converted into 8,485 shares of Common Stock at the election of the Company at a conversion price of $1,544.00 per share.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Note 18 — Capital Structure</w:t>
      </w:r>
    </w:p>
    <w:p>
      <w:pPr>
        <w:spacing w:after="0" w:line="198" w:lineRule="exact"/>
        <w:rPr>
          <w:sz w:val="20"/>
          <w:szCs w:val="20"/>
          <w:color w:val="auto"/>
        </w:rPr>
      </w:pPr>
    </w:p>
    <w:p>
      <w:pPr>
        <w:jc w:val="both"/>
        <w:ind w:right="140" w:firstLine="284"/>
        <w:spacing w:after="0" w:line="257" w:lineRule="auto"/>
        <w:rPr>
          <w:sz w:val="20"/>
          <w:szCs w:val="20"/>
          <w:color w:val="auto"/>
        </w:rPr>
      </w:pPr>
      <w:r>
        <w:rPr>
          <w:rFonts w:ascii="Arial" w:cs="Arial" w:eastAsia="Arial" w:hAnsi="Arial"/>
          <w:sz w:val="16"/>
          <w:szCs w:val="16"/>
          <w:color w:val="auto"/>
        </w:rPr>
        <w:t>On January 9, 2020, the Company increased its authorized number of shares of Common Stock to 265,000, consisting of: 250,000 shares of Common Stock, and 3,000,000 shares of Preferred Stock. At that time, it also designated 100,000 shares of the 3,000,000 authorized shares of Preferred Stock, as Series A Convertible Preferred Stock (“Series A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A Convertible Preferred Stock</w:t>
      </w:r>
    </w:p>
    <w:p>
      <w:pPr>
        <w:spacing w:after="0" w:line="194" w:lineRule="exact"/>
        <w:rPr>
          <w:sz w:val="20"/>
          <w:szCs w:val="20"/>
          <w:color w:val="auto"/>
        </w:rPr>
      </w:pPr>
    </w:p>
    <w:p>
      <w:pPr>
        <w:ind w:right="340" w:firstLine="284"/>
        <w:spacing w:after="0" w:line="257" w:lineRule="auto"/>
        <w:rPr>
          <w:sz w:val="20"/>
          <w:szCs w:val="20"/>
          <w:color w:val="auto"/>
        </w:rPr>
      </w:pPr>
      <w:r>
        <w:rPr>
          <w:rFonts w:ascii="Arial" w:cs="Arial" w:eastAsia="Arial" w:hAnsi="Arial"/>
          <w:sz w:val="16"/>
          <w:szCs w:val="16"/>
          <w:color w:val="auto"/>
        </w:rPr>
        <w:t>Beginning in the first quarter of 2020, the Company issued an aggregate of 60,000 shares of Series A Preferred Stock, for an aggregate purchase price of $6.0 million. In May 2020, the Company completed an offering of Series A Preferred Stock with the issuance of an additional 40,000 shares of Series A Preferred Stock for an aggregate purchase price of $4.0 million.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of Conversion Formulas</w:t>
      </w:r>
    </w:p>
    <w:p>
      <w:pPr>
        <w:spacing w:after="0" w:line="198" w:lineRule="exact"/>
        <w:rPr>
          <w:sz w:val="20"/>
          <w:szCs w:val="20"/>
          <w:color w:val="auto"/>
        </w:rPr>
      </w:pPr>
    </w:p>
    <w:p>
      <w:pPr>
        <w:ind w:right="20" w:firstLine="284"/>
        <w:spacing w:after="0" w:line="268" w:lineRule="auto"/>
        <w:rPr>
          <w:sz w:val="20"/>
          <w:szCs w:val="20"/>
          <w:color w:val="auto"/>
        </w:rPr>
      </w:pPr>
      <w:r>
        <w:rPr>
          <w:rFonts w:ascii="Arial" w:cs="Arial" w:eastAsia="Arial" w:hAnsi="Arial"/>
          <w:sz w:val="16"/>
          <w:szCs w:val="16"/>
          <w:color w:val="auto"/>
        </w:rPr>
        <w:t>On January 11, 2021, the Company’s Board of Directors approved the amendment to the conversion formula of the Series A Preferred Stock and Convertible Notes. After the amendment:</w:t>
      </w:r>
    </w:p>
    <w:p>
      <w:pPr>
        <w:spacing w:after="0" w:line="157" w:lineRule="exact"/>
        <w:rPr>
          <w:sz w:val="20"/>
          <w:szCs w:val="20"/>
          <w:color w:val="auto"/>
        </w:rPr>
      </w:pPr>
    </w:p>
    <w:p>
      <w:pPr>
        <w:ind w:left="560" w:right="140" w:hanging="282"/>
        <w:spacing w:after="0" w:line="311" w:lineRule="auto"/>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 and</w:t>
      </w:r>
    </w:p>
    <w:p>
      <w:pPr>
        <w:spacing w:after="0" w:line="131" w:lineRule="exact"/>
        <w:rPr>
          <w:rFonts w:ascii="Arial" w:cs="Arial" w:eastAsia="Arial" w:hAnsi="Arial"/>
          <w:sz w:val="14"/>
          <w:szCs w:val="14"/>
          <w:color w:val="auto"/>
        </w:rPr>
      </w:pPr>
    </w:p>
    <w:p>
      <w:pPr>
        <w:ind w:left="560" w:right="140" w:hanging="282"/>
        <w:spacing w:after="0" w:line="253" w:lineRule="auto"/>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immediately prior to the consummation of a public transaction, the outstanding principal amount of the Convertible Notes together with all accrued and unpaid interest shall convert into a number of fully paid and non-assessable shares of Common Stock equal to the quotient of (i) the outstanding principal amount of the Convertible Notes together with all accrued and unpaid interest thereunder immediately prior to such public transaction divided by (ii) a conversion price of $7.72 (after the reverse split taking effect).</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On January 11, 2021, the Company’s shareholders approved the amendment to the Series A Preferred Stock.</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w:t>
      </w:r>
    </w:p>
    <w:p>
      <w:pPr>
        <w:spacing w:after="0" w:line="198" w:lineRule="exact"/>
        <w:rPr>
          <w:sz w:val="20"/>
          <w:szCs w:val="20"/>
          <w:color w:val="auto"/>
        </w:rPr>
      </w:pPr>
    </w:p>
    <w:p>
      <w:pPr>
        <w:ind w:firstLine="284"/>
        <w:spacing w:after="0" w:line="290" w:lineRule="auto"/>
        <w:rPr>
          <w:sz w:val="20"/>
          <w:szCs w:val="20"/>
          <w:color w:val="auto"/>
        </w:rPr>
      </w:pPr>
      <w:r>
        <w:rPr>
          <w:rFonts w:ascii="Arial" w:cs="Arial" w:eastAsia="Arial" w:hAnsi="Arial"/>
          <w:sz w:val="14"/>
          <w:szCs w:val="14"/>
          <w:color w:val="auto"/>
        </w:rPr>
        <w:t>On February 1, 2021, the Company completed an IPO for the sale of 27,000 shares of Common Stock at a price of $2,000.00 per share. The Company also granted the underwriters: (a) a 45-day option to purchase up to 4,050 additional shares of Common Stock on the same terms and conditions for the purpose of covering any over-allotments in connection with the IPO, and (b) warrants to purchase 810 shares of Common Stock (equal to 3% of the aggregate number of shares of Common Stock issued in the IPO) at an exercise price of $2,500.00 per share (which is equal to 125% of the IPO price). Subsequently, the underwriters exercised the over-allotment option, and on February 4, 2021, the Company closed on the sale of an additional 4,050 shares of Common Stock for a price of $2,000.00 per share and granted to the underwriters warrants to purchase 121 additional shares of Common Stock (equal to 3% of the amount of shares issued as part of the exercised of the over-allotment option) at an exercise price of $2,500.00 per share. The exercise of the over-allotment option brought the total number of shares of Common Stock sold by the Company in connection with the IPO to 31,050 shares and the total net proceeds received in connection with the IPO to approximately $57.0 million, after deducting underwriting discounts and estimated offering expenses.</w:t>
      </w:r>
    </w:p>
    <w:p>
      <w:pPr>
        <w:spacing w:after="0" w:line="147" w:lineRule="exact"/>
        <w:rPr>
          <w:sz w:val="20"/>
          <w:szCs w:val="20"/>
          <w:color w:val="auto"/>
        </w:rPr>
      </w:pPr>
    </w:p>
    <w:p>
      <w:pPr>
        <w:ind w:right="540" w:firstLine="284"/>
        <w:spacing w:after="0" w:line="268" w:lineRule="auto"/>
        <w:rPr>
          <w:sz w:val="20"/>
          <w:szCs w:val="20"/>
          <w:color w:val="auto"/>
        </w:rPr>
      </w:pPr>
      <w:r>
        <w:rPr>
          <w:rFonts w:ascii="Arial" w:cs="Arial" w:eastAsia="Arial" w:hAnsi="Arial"/>
          <w:sz w:val="16"/>
          <w:szCs w:val="16"/>
          <w:color w:val="auto"/>
        </w:rPr>
        <w:t>Immediately prior to the closing of the Company’s IPO, all outstanding shares of Series A Preferred Stock and Convertible Notes were converted into 6,865 shares of Common Stock and 8,485 shares of Common Stock, respectively, at a conversion price of $1,544.00 per share.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Subsequent Public Offering</w:t>
      </w:r>
    </w:p>
    <w:p>
      <w:pPr>
        <w:spacing w:after="0" w:line="198" w:lineRule="exact"/>
        <w:rPr>
          <w:sz w:val="20"/>
          <w:szCs w:val="20"/>
          <w:color w:val="auto"/>
        </w:rPr>
      </w:pPr>
    </w:p>
    <w:p>
      <w:pPr>
        <w:ind w:right="20" w:firstLine="284"/>
        <w:spacing w:after="0" w:line="268" w:lineRule="auto"/>
        <w:rPr>
          <w:sz w:val="20"/>
          <w:szCs w:val="20"/>
          <w:color w:val="auto"/>
        </w:rPr>
      </w:pPr>
      <w:r>
        <w:rPr>
          <w:rFonts w:ascii="Arial" w:cs="Arial" w:eastAsia="Arial" w:hAnsi="Arial"/>
          <w:sz w:val="15"/>
          <w:szCs w:val="15"/>
          <w:color w:val="auto"/>
        </w:rPr>
        <w:t>On February 19, 2021, the Company consummated a secondary public offering (the “February Offering”) for the sale of 27,778 shares of Common Stock for a price of $2,700.00 per share. The Company also granted the underwriters: (a) a 45-day option to purchase up to 4,167 additional shares of Common Stock on the same terms and conditions for the purpose of covering any over-allotments in connection with the February Offering, and (b) warrants to purchase 833 shares of Common Stock (equal to 3% of the aggregate number of shares of Common Stock issued in the February Offering) at an exercise price of $3,375.00 per share (which is equal to 125% of the February Offering). Subsequently, the underwriters exercised the over-allotment option, and on March 22, 2021, the Company closed on the sale of an additional 4,167 shares of Common Stock for a price of $2,700.00 per share and granted to the underwriters warrants to purchase 125 additional shares of Common Stock (equal to 3% of the amount of shares issued as part of the exercised of the over-allotment option) at an exercise price of $3,375 per share. The exercise of the over-allotment option brought the total number of shares of Common Stock sold by the Company in connection with the February Offering to 31,944 shares and the total net proceeds received in connection with the February Offering to approximately $80.0 million, after deducting underwriting discounts and estimated offering expenses.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Private Placement</w:t>
      </w:r>
    </w:p>
    <w:p>
      <w:pPr>
        <w:spacing w:after="0" w:line="198" w:lineRule="exact"/>
        <w:rPr>
          <w:sz w:val="20"/>
          <w:szCs w:val="20"/>
          <w:color w:val="auto"/>
        </w:rPr>
      </w:pPr>
    </w:p>
    <w:p>
      <w:pPr>
        <w:ind w:right="160" w:firstLine="284"/>
        <w:spacing w:after="0" w:line="252" w:lineRule="auto"/>
        <w:rPr>
          <w:sz w:val="20"/>
          <w:szCs w:val="20"/>
          <w:color w:val="auto"/>
        </w:rPr>
      </w:pPr>
      <w:r>
        <w:rPr>
          <w:rFonts w:ascii="Arial" w:cs="Arial" w:eastAsia="Arial" w:hAnsi="Arial"/>
          <w:sz w:val="16"/>
          <w:szCs w:val="16"/>
          <w:color w:val="auto"/>
        </w:rPr>
        <w:t>On January 25, 2022, the Company entered into a Securities Purchase Agreement (the “Securities Agreement”) with an institutional investor and other accredited investors for the sale by the Company of (i) 12,252 shares (the “SA Shares”) of Common Stock, (ii) pre-funded warrants (the “Pre-Funded Warrants”) to purchase up to an aggregate of 7,853 shares of Common Stock and (iii) warrants to purchase up to an aggregate of 15,079 shares of Common Stock (the “Common Warrants” and, collectively with the Pre-Funded Warrants, the “SA Warrants”), in a private placement offering. The combined purchase price for one share of Common Stock (or one Pre-Funded Warrant) and accompanying fraction of a Common Warrant was $1,360.00.</w:t>
      </w:r>
    </w:p>
    <w:p>
      <w:pPr>
        <w:spacing w:after="0" w:line="169" w:lineRule="exact"/>
        <w:rPr>
          <w:sz w:val="20"/>
          <w:szCs w:val="20"/>
          <w:color w:val="auto"/>
        </w:rPr>
      </w:pPr>
    </w:p>
    <w:p>
      <w:pPr>
        <w:ind w:firstLine="284"/>
        <w:spacing w:after="0" w:line="276" w:lineRule="auto"/>
        <w:rPr>
          <w:sz w:val="20"/>
          <w:szCs w:val="20"/>
          <w:color w:val="auto"/>
        </w:rPr>
      </w:pPr>
      <w:r>
        <w:rPr>
          <w:rFonts w:ascii="Arial" w:cs="Arial" w:eastAsia="Arial" w:hAnsi="Arial"/>
          <w:sz w:val="15"/>
          <w:szCs w:val="15"/>
          <w:color w:val="auto"/>
        </w:rPr>
        <w:t>Subject to certain ownership limitations, the SA Warrants are exercisable six months from issuance. Each Pre-Funded Warrant was exercisable into one share of Common Stock at a price per share of $0.00001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53" w:lineRule="exact"/>
        <w:rPr>
          <w:sz w:val="20"/>
          <w:szCs w:val="20"/>
          <w:color w:val="auto"/>
        </w:rPr>
      </w:pPr>
    </w:p>
    <w:p>
      <w:pPr>
        <w:ind w:right="340" w:firstLine="284"/>
        <w:spacing w:after="0" w:line="302" w:lineRule="auto"/>
        <w:rPr>
          <w:sz w:val="20"/>
          <w:szCs w:val="20"/>
          <w:color w:val="auto"/>
        </w:rPr>
      </w:pPr>
      <w:r>
        <w:rPr>
          <w:rFonts w:ascii="Arial" w:cs="Arial" w:eastAsia="Arial" w:hAnsi="Arial"/>
          <w:sz w:val="15"/>
          <w:szCs w:val="15"/>
          <w:color w:val="auto"/>
        </w:rPr>
        <w:t>Raymond Chang, Chairman and Chief Executive Officer of the Company, and Stuart Wilcox, a member of the Company’s Board of Directors, participated in the private placement on essentially the same terms as other investors, except for having a combined purchase price of $1,380.00 per share.</w:t>
      </w:r>
    </w:p>
    <w:p>
      <w:pPr>
        <w:spacing w:after="0" w:line="134" w:lineRule="exact"/>
        <w:rPr>
          <w:sz w:val="20"/>
          <w:szCs w:val="20"/>
          <w:color w:val="auto"/>
        </w:rPr>
      </w:pPr>
    </w:p>
    <w:p>
      <w:pPr>
        <w:ind w:right="100" w:firstLine="284"/>
        <w:spacing w:after="0" w:line="268" w:lineRule="auto"/>
        <w:rPr>
          <w:sz w:val="20"/>
          <w:szCs w:val="20"/>
          <w:color w:val="auto"/>
        </w:rPr>
      </w:pPr>
      <w:r>
        <w:rPr>
          <w:rFonts w:ascii="Arial" w:cs="Arial" w:eastAsia="Arial" w:hAnsi="Arial"/>
          <w:sz w:val="16"/>
          <w:szCs w:val="16"/>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Issuance of Common Stock in Connection with Acquisitions</w:t>
      </w:r>
    </w:p>
    <w:p>
      <w:pPr>
        <w:spacing w:after="0" w:line="198" w:lineRule="exact"/>
        <w:rPr>
          <w:sz w:val="20"/>
          <w:szCs w:val="20"/>
          <w:color w:val="auto"/>
        </w:rPr>
      </w:pPr>
    </w:p>
    <w:p>
      <w:pPr>
        <w:ind w:right="240" w:firstLine="284"/>
        <w:spacing w:after="0" w:line="340" w:lineRule="auto"/>
        <w:rPr>
          <w:sz w:val="20"/>
          <w:szCs w:val="20"/>
          <w:color w:val="auto"/>
        </w:rPr>
      </w:pPr>
      <w:r>
        <w:rPr>
          <w:rFonts w:ascii="Arial" w:cs="Arial" w:eastAsia="Arial" w:hAnsi="Arial"/>
          <w:sz w:val="14"/>
          <w:szCs w:val="14"/>
          <w:color w:val="auto"/>
        </w:rPr>
        <w:t>On October 1, 2021, the Company issued an aggregate of 3,332 shares of its Common Stock to the Precision and Cascade shareholders in connection with the Company’s acquisition of Precision and Cascade. Refer to Note 15 – Business Combinations, included elsewhere in the notes to the condensed consolidated financial statements.</w:t>
      </w:r>
    </w:p>
    <w:p>
      <w:pPr>
        <w:spacing w:after="0" w:line="112" w:lineRule="exact"/>
        <w:rPr>
          <w:sz w:val="20"/>
          <w:szCs w:val="20"/>
          <w:color w:val="auto"/>
        </w:rPr>
      </w:pPr>
    </w:p>
    <w:p>
      <w:pPr>
        <w:ind w:right="620" w:firstLine="284"/>
        <w:spacing w:after="0" w:line="340" w:lineRule="auto"/>
        <w:rPr>
          <w:sz w:val="20"/>
          <w:szCs w:val="20"/>
          <w:color w:val="auto"/>
        </w:rPr>
      </w:pPr>
      <w:r>
        <w:rPr>
          <w:rFonts w:ascii="Arial" w:cs="Arial" w:eastAsia="Arial" w:hAnsi="Arial"/>
          <w:sz w:val="14"/>
          <w:szCs w:val="14"/>
          <w:color w:val="auto"/>
        </w:rPr>
        <w:t>On December 31, 2021, the Company issued an aggregate of 1,202 shares of its Common Stock to the PurePressure shareholders in connection with the Company’s acquisition of PurePressure. Refer to Note 15 – Business Combinations, included elsewhere in the notes to the condensed consolidated financial statements.</w:t>
      </w:r>
    </w:p>
    <w:p>
      <w:pPr>
        <w:spacing w:after="0" w:line="112" w:lineRule="exact"/>
        <w:rPr>
          <w:sz w:val="20"/>
          <w:szCs w:val="20"/>
          <w:color w:val="auto"/>
        </w:rPr>
      </w:pPr>
    </w:p>
    <w:p>
      <w:pPr>
        <w:ind w:right="100" w:firstLine="284"/>
        <w:spacing w:after="0" w:line="302" w:lineRule="auto"/>
        <w:rPr>
          <w:sz w:val="20"/>
          <w:szCs w:val="20"/>
          <w:color w:val="auto"/>
        </w:rPr>
      </w:pPr>
      <w:r>
        <w:rPr>
          <w:rFonts w:ascii="Arial" w:cs="Arial" w:eastAsia="Arial" w:hAnsi="Arial"/>
          <w:sz w:val="15"/>
          <w:szCs w:val="15"/>
          <w:color w:val="auto"/>
        </w:rPr>
        <w:t>On February 1, 2022, the Company issued an aggregate of 1,491 shares of its Common Stock to the Lab Society shareholders in connection with the Company’s acquisition of Lab Society. Refer to Note 15 – Business Combinations, included elsewhere in the notes to the condensed consolidated financial statements.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2020 Omnibus Equity Incentive Plan</w:t>
      </w:r>
    </w:p>
    <w:p>
      <w:pPr>
        <w:spacing w:after="0" w:line="198" w:lineRule="exact"/>
        <w:rPr>
          <w:sz w:val="20"/>
          <w:szCs w:val="20"/>
          <w:color w:val="auto"/>
        </w:rPr>
      </w:pPr>
    </w:p>
    <w:p>
      <w:pPr>
        <w:ind w:right="20" w:firstLine="284"/>
        <w:spacing w:after="0" w:line="249" w:lineRule="auto"/>
        <w:rPr>
          <w:sz w:val="20"/>
          <w:szCs w:val="20"/>
          <w:color w:val="auto"/>
        </w:rPr>
      </w:pPr>
      <w:r>
        <w:rPr>
          <w:rFonts w:ascii="Arial" w:cs="Arial" w:eastAsia="Arial" w:hAnsi="Arial"/>
          <w:sz w:val="16"/>
          <w:szCs w:val="16"/>
          <w:color w:val="auto"/>
        </w:rPr>
        <w:t>On December 18, 2020, the Company’s Board of Directors, and on January 11, 2021, the Company’s stockholders, adopted and approved the 2020 Omnibus Equity Incentive Plan (the “2020 Plan”), which replaced the 2019 Stock Option Plan (the “2019 Plan”). The 2020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the Company or its affiliates. The aggregate number of shares of Common Stock that may be reserved and available for grant and issuance under the 2020 Plan is 22,669 shares. Shares will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 Plan. The 2020 Plan shall continue in effect, unless sooner terminated, until the tenth anniversary of the date on which it is adopted by the Board of Directors.</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Company’s stock option compensation expense was $953 thousand and $2.1 million for the three months ended March 31, 2022 and 2021, respectively, and there was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$3.4 million of total unrecognized compensation cost related to unvested options granted under the Company’s options plans as of March 31, 2022. This stock option expense will</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 recognized through 2025.</w:t>
      </w:r>
    </w:p>
    <w:p>
      <w:pPr>
        <w:spacing w:after="0" w:line="183" w:lineRule="exact"/>
        <w:rPr>
          <w:sz w:val="20"/>
          <w:szCs w:val="20"/>
          <w:color w:val="auto"/>
        </w:rPr>
      </w:pPr>
    </w:p>
    <w:p>
      <w:pPr>
        <w:ind w:right="500" w:firstLine="284"/>
        <w:spacing w:after="0" w:line="257" w:lineRule="auto"/>
        <w:rPr>
          <w:sz w:val="20"/>
          <w:szCs w:val="20"/>
          <w:color w:val="auto"/>
        </w:rPr>
      </w:pPr>
      <w:r>
        <w:rPr>
          <w:rFonts w:ascii="Arial" w:cs="Arial" w:eastAsia="Arial" w:hAnsi="Arial"/>
          <w:sz w:val="16"/>
          <w:szCs w:val="16"/>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three months ended March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9760" w:type="dxa"/>
            <w:vAlign w:val="bottom"/>
          </w:tcPr>
          <w:p>
            <w:pPr>
              <w:ind w:left="260"/>
              <w:spacing w:after="0"/>
              <w:rPr>
                <w:sz w:val="20"/>
                <w:szCs w:val="20"/>
                <w:color w:val="auto"/>
              </w:rPr>
            </w:pPr>
            <w:r>
              <w:rPr>
                <w:rFonts w:ascii="Arial" w:cs="Arial" w:eastAsia="Arial" w:hAnsi="Arial"/>
                <w:sz w:val="16"/>
                <w:szCs w:val="16"/>
                <w:color w:val="auto"/>
                <w:w w:val="92"/>
              </w:rPr>
              <w:t>The following table summarizes the Company’s assumptions used in the valuation of options granted during the year ended December 31, 2021:</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97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6"/>
                <w:szCs w:val="16"/>
                <w:color w:val="auto"/>
              </w:rPr>
              <w:t>Volatility</w:t>
            </w:r>
          </w:p>
        </w:tc>
        <w:tc>
          <w:tcPr>
            <w:tcW w:w="1480" w:type="dxa"/>
            <w:vAlign w:val="bottom"/>
            <w:shd w:val="clear" w:color="auto" w:fill="CCEEFF"/>
          </w:tcPr>
          <w:p>
            <w:pPr>
              <w:jc w:val="center"/>
              <w:ind w:left="161"/>
              <w:spacing w:after="0"/>
              <w:rPr>
                <w:sz w:val="20"/>
                <w:szCs w:val="20"/>
                <w:color w:val="auto"/>
              </w:rPr>
            </w:pPr>
            <w:r>
              <w:rPr>
                <w:rFonts w:ascii="Arial" w:cs="Arial" w:eastAsia="Arial" w:hAnsi="Arial"/>
                <w:sz w:val="16"/>
                <w:szCs w:val="16"/>
                <w:color w:val="auto"/>
                <w:w w:val="87"/>
              </w:rPr>
              <w:t>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7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480" w:type="dxa"/>
            <w:vAlign w:val="bottom"/>
          </w:tcPr>
          <w:p>
            <w:pPr>
              <w:jc w:val="center"/>
              <w:ind w:left="181"/>
              <w:spacing w:after="0"/>
              <w:rPr>
                <w:sz w:val="20"/>
                <w:szCs w:val="20"/>
                <w:color w:val="auto"/>
              </w:rPr>
            </w:pPr>
            <w:r>
              <w:rPr>
                <w:rFonts w:ascii="Arial" w:cs="Arial" w:eastAsia="Arial" w:hAnsi="Arial"/>
                <w:sz w:val="16"/>
                <w:szCs w:val="16"/>
                <w:color w:val="auto"/>
                <w:w w:val="90"/>
              </w:rPr>
              <w:t>1.10% – 1.63%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1480" w:type="dxa"/>
            <w:vAlign w:val="bottom"/>
            <w:shd w:val="clear" w:color="auto" w:fill="CCEEFF"/>
          </w:tcPr>
          <w:p>
            <w:pPr>
              <w:jc w:val="center"/>
              <w:ind w:left="161"/>
              <w:spacing w:after="0"/>
              <w:rPr>
                <w:sz w:val="20"/>
                <w:szCs w:val="20"/>
                <w:color w:val="auto"/>
              </w:rPr>
            </w:pPr>
            <w:r>
              <w:rPr>
                <w:rFonts w:ascii="Arial" w:cs="Arial" w:eastAsia="Arial" w:hAnsi="Arial"/>
                <w:sz w:val="16"/>
                <w:szCs w:val="16"/>
                <w:color w:val="auto"/>
                <w:w w:val="88"/>
              </w:rPr>
              <w:t>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760" w:type="dxa"/>
            <w:vAlign w:val="bottom"/>
          </w:tcPr>
          <w:p>
            <w:pPr>
              <w:spacing w:after="0"/>
              <w:rPr>
                <w:sz w:val="20"/>
                <w:szCs w:val="20"/>
                <w:color w:val="auto"/>
              </w:rPr>
            </w:pPr>
            <w:r>
              <w:rPr>
                <w:rFonts w:ascii="Arial" w:cs="Arial" w:eastAsia="Arial" w:hAnsi="Arial"/>
                <w:sz w:val="16"/>
                <w:szCs w:val="16"/>
                <w:color w:val="auto"/>
              </w:rPr>
              <w:t>0% Expected life (years)</w:t>
            </w:r>
          </w:p>
        </w:tc>
        <w:tc>
          <w:tcPr>
            <w:tcW w:w="1480" w:type="dxa"/>
            <w:vAlign w:val="bottom"/>
          </w:tcPr>
          <w:p>
            <w:pPr>
              <w:jc w:val="center"/>
              <w:ind w:left="161"/>
              <w:spacing w:after="0"/>
              <w:rPr>
                <w:sz w:val="20"/>
                <w:szCs w:val="20"/>
                <w:color w:val="auto"/>
              </w:rPr>
            </w:pP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6"/>
                <w:szCs w:val="16"/>
                <w:color w:val="auto"/>
              </w:rPr>
              <w:t>Forfeiture rate</w:t>
            </w:r>
          </w:p>
        </w:tc>
        <w:tc>
          <w:tcPr>
            <w:tcW w:w="1480" w:type="dxa"/>
            <w:vAlign w:val="bottom"/>
            <w:shd w:val="clear" w:color="auto" w:fill="CCEEFF"/>
          </w:tcPr>
          <w:p>
            <w:pPr>
              <w:jc w:val="center"/>
              <w:ind w:left="161"/>
              <w:spacing w:after="0"/>
              <w:rPr>
                <w:sz w:val="20"/>
                <w:szCs w:val="20"/>
                <w:color w:val="auto"/>
              </w:rPr>
            </w:pPr>
            <w:r>
              <w:rPr>
                <w:rFonts w:ascii="Arial" w:cs="Arial" w:eastAsia="Arial" w:hAnsi="Arial"/>
                <w:sz w:val="16"/>
                <w:szCs w:val="16"/>
                <w:color w:val="auto"/>
                <w:w w:val="88"/>
              </w:rPr>
              <w:t>0.00%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40" w:firstLine="284"/>
        <w:spacing w:after="0" w:line="268" w:lineRule="auto"/>
        <w:rPr>
          <w:sz w:val="20"/>
          <w:szCs w:val="20"/>
          <w:color w:val="auto"/>
        </w:rPr>
      </w:pPr>
      <w:r>
        <w:rPr>
          <w:rFonts w:ascii="Arial" w:cs="Arial" w:eastAsia="Arial" w:hAnsi="Arial"/>
          <w:sz w:val="15"/>
          <w:szCs w:val="15"/>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62" w:lineRule="exact"/>
        <w:rPr>
          <w:sz w:val="20"/>
          <w:szCs w:val="20"/>
          <w:color w:val="auto"/>
        </w:rPr>
      </w:pPr>
    </w:p>
    <w:p>
      <w:pPr>
        <w:ind w:right="100" w:firstLine="284"/>
        <w:spacing w:after="0" w:line="251" w:lineRule="auto"/>
        <w:rPr>
          <w:sz w:val="20"/>
          <w:szCs w:val="20"/>
          <w:color w:val="auto"/>
        </w:rPr>
      </w:pPr>
      <w:r>
        <w:rPr>
          <w:rFonts w:ascii="Arial" w:cs="Arial" w:eastAsia="Arial" w:hAnsi="Arial"/>
          <w:sz w:val="16"/>
          <w:szCs w:val="16"/>
          <w:color w:val="auto"/>
        </w:rPr>
        <w:t>In arriving at stock-based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9" w:name="page50"/>
    <w:bookmarkEnd w:id="49"/>
    <w:p>
      <w:pPr>
        <w:ind w:left="280"/>
        <w:spacing w:after="0"/>
        <w:rPr>
          <w:sz w:val="20"/>
          <w:szCs w:val="20"/>
          <w:color w:val="auto"/>
        </w:rPr>
      </w:pPr>
      <w:r>
        <w:rPr>
          <w:rFonts w:ascii="Arial" w:cs="Arial" w:eastAsia="Arial" w:hAnsi="Arial"/>
          <w:sz w:val="16"/>
          <w:szCs w:val="16"/>
          <w:b w:val="1"/>
          <w:bCs w:val="1"/>
          <w:i w:val="1"/>
          <w:iCs w:val="1"/>
          <w:color w:val="auto"/>
        </w:rPr>
        <w:t>Stock Option Activity</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March 31, 2022, there were 2,580 shares of Common Stock available to be granted under the Company’s 2020 Plan.</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option activity under the Company’s stock option plans for the three months ended March 31,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Weighted-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Exercise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09"/>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128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Price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Options outstanding at January 1, 2021</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15,666</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Granted</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6,005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2,558.00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Exercised</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502.00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Forfeited</w:t>
            </w: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734.00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Expired</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gridSpan w:val="2"/>
          </w:tcPr>
          <w:p>
            <w:pPr>
              <w:spacing w:after="0" w:line="181" w:lineRule="exact"/>
              <w:rPr>
                <w:sz w:val="20"/>
                <w:szCs w:val="20"/>
                <w:color w:val="auto"/>
              </w:rPr>
            </w:pPr>
            <w:r>
              <w:rPr>
                <w:rFonts w:ascii="Arial" w:cs="Arial" w:eastAsia="Arial" w:hAnsi="Arial"/>
                <w:sz w:val="16"/>
                <w:szCs w:val="16"/>
                <w:color w:val="auto"/>
              </w:rPr>
              <w:t>Options outstanding at March 31,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19,395</w:t>
            </w:r>
          </w:p>
        </w:tc>
        <w:tc>
          <w:tcPr>
            <w:tcW w:w="20" w:type="dxa"/>
            <w:vAlign w:val="bottom"/>
            <w:tcBorders>
              <w:top w:val="single" w:sz="8" w:color="CCEEFF"/>
              <w:bottom w:val="single" w:sz="8" w:color="CCEEFF"/>
            </w:tcBorders>
          </w:tcPr>
          <w:p>
            <w:pPr>
              <w:spacing w:after="0"/>
              <w:rPr>
                <w:sz w:val="20"/>
                <w:szCs w:val="20"/>
                <w:color w:val="auto"/>
              </w:rPr>
            </w:pPr>
          </w:p>
        </w:tc>
        <w:tc>
          <w:tcPr>
            <w:tcW w:w="120" w:type="dxa"/>
            <w:vAlign w:val="bottom"/>
            <w:tcBorders>
              <w:top w:val="single" w:sz="8" w:color="CCEEFF"/>
              <w:bottom w:val="single" w:sz="8" w:color="CCEEFF"/>
            </w:tcBorders>
          </w:tcPr>
          <w:p>
            <w:pPr>
              <w:spacing w:after="0"/>
              <w:rPr>
                <w:sz w:val="20"/>
                <w:szCs w:val="20"/>
                <w:color w:val="auto"/>
              </w:rPr>
            </w:pPr>
          </w:p>
        </w:tc>
        <w:tc>
          <w:tcPr>
            <w:tcW w:w="240" w:type="dxa"/>
            <w:vAlign w:val="bottom"/>
            <w:tcBorders>
              <w:top w:val="single" w:sz="8" w:color="CCEEFF"/>
              <w:bottom w:val="single" w:sz="8" w:color="CCEEFF"/>
            </w:tcBorders>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top w:val="single" w:sz="8" w:color="CCEEFF"/>
              <w:bottom w:val="single" w:sz="8" w:color="CCEEFF"/>
            </w:tcBorders>
            <w:gridSpan w:val="2"/>
          </w:tcPr>
          <w:p>
            <w:pPr>
              <w:jc w:val="right"/>
              <w:ind w:right="100"/>
              <w:spacing w:after="0" w:line="181" w:lineRule="exact"/>
              <w:rPr>
                <w:sz w:val="20"/>
                <w:szCs w:val="20"/>
                <w:color w:val="auto"/>
              </w:rPr>
            </w:pPr>
            <w:r>
              <w:rPr>
                <w:rFonts w:ascii="Arial" w:cs="Arial" w:eastAsia="Arial" w:hAnsi="Arial"/>
                <w:sz w:val="16"/>
                <w:szCs w:val="16"/>
                <w:color w:val="auto"/>
              </w:rPr>
              <w:t>1,284.00</w:t>
            </w:r>
          </w:p>
        </w:tc>
        <w:tc>
          <w:tcPr>
            <w:tcW w:w="260" w:type="dxa"/>
            <w:vAlign w:val="bottom"/>
            <w:tcBorders>
              <w:top w:val="single" w:sz="8" w:color="CCEEFF"/>
              <w:bottom w:val="single" w:sz="8" w:color="CCEEFF"/>
            </w:tcBorders>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top w:val="single" w:sz="8" w:color="CCEEFF"/>
              <w:bottom w:val="single" w:sz="8" w:color="CCEEFF"/>
            </w:tcBorders>
            <w:gridSpan w:val="2"/>
          </w:tcPr>
          <w:p>
            <w:pPr>
              <w:jc w:val="right"/>
              <w:ind w:right="12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7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Options outstanding at January 1, 2022</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17,821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1,436.00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62.64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Granted</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Exercised</w:t>
            </w: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460.00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Forfeited</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gridSpan w:val="2"/>
          </w:tcPr>
          <w:p>
            <w:pPr>
              <w:ind w:left="120"/>
              <w:spacing w:after="0"/>
              <w:rPr>
                <w:sz w:val="20"/>
                <w:szCs w:val="20"/>
                <w:color w:val="auto"/>
              </w:rPr>
            </w:pPr>
            <w:r>
              <w:rPr>
                <w:rFonts w:ascii="Arial" w:cs="Arial" w:eastAsia="Arial" w:hAnsi="Arial"/>
                <w:sz w:val="16"/>
                <w:szCs w:val="16"/>
                <w:color w:val="auto"/>
              </w:rPr>
              <w:t>Expired</w:t>
            </w: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3,546.00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Options outstanding at March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1,406.00</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restart"/>
          </w:tcPr>
          <w:p>
            <w:pPr>
              <w:spacing w:after="0"/>
              <w:rPr>
                <w:sz w:val="16"/>
                <w:szCs w:val="16"/>
                <w:color w:val="auto"/>
              </w:rPr>
            </w:pPr>
          </w:p>
        </w:tc>
        <w:tc>
          <w:tcPr>
            <w:tcW w:w="7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Options vested and exercisable as of March 31, 2022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1,108.00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gridSpan w:val="2"/>
            <w:vMerge w:val="restart"/>
          </w:tcPr>
          <w:p>
            <w:pPr>
              <w:spacing w:after="0"/>
              <w:rPr>
                <w:sz w:val="20"/>
                <w:szCs w:val="20"/>
                <w:color w:val="auto"/>
              </w:rPr>
            </w:pPr>
            <w:r>
              <w:rPr>
                <w:rFonts w:ascii="Arial" w:cs="Arial" w:eastAsia="Arial" w:hAnsi="Arial"/>
                <w:sz w:val="16"/>
                <w:szCs w:val="16"/>
                <w:color w:val="auto"/>
              </w:rPr>
              <w:t>Options vested and expected to vest as of March 31, 2022</w:t>
            </w: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1,380.00</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300" w:type="dxa"/>
            <w:vAlign w:val="bottom"/>
            <w:gridSpan w:val="2"/>
            <w:vMerge w:val="continue"/>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15,967</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0" w:type="dxa"/>
            <w:vAlign w:val="bottom"/>
          </w:tcPr>
          <w:p>
            <w:pPr>
              <w:spacing w:after="0"/>
              <w:rPr>
                <w:sz w:val="17"/>
                <w:szCs w:val="17"/>
                <w:color w:val="auto"/>
              </w:rPr>
            </w:pPr>
          </w:p>
        </w:tc>
        <w:tc>
          <w:tcPr>
            <w:tcW w:w="8380" w:type="dxa"/>
            <w:vAlign w:val="bottom"/>
            <w:gridSpan w:val="6"/>
          </w:tcPr>
          <w:p>
            <w:pPr>
              <w:ind w:left="100"/>
              <w:spacing w:after="0"/>
              <w:rPr>
                <w:sz w:val="20"/>
                <w:szCs w:val="20"/>
                <w:color w:val="auto"/>
              </w:rPr>
            </w:pPr>
            <w:r>
              <w:rPr>
                <w:rFonts w:ascii="Arial" w:cs="Arial" w:eastAsia="Arial" w:hAnsi="Arial"/>
                <w:sz w:val="16"/>
                <w:szCs w:val="16"/>
                <w:color w:val="auto"/>
              </w:rPr>
              <w:t>The following table summarizes information about options vested and exercisable at March 31, 2022:</w:t>
            </w:r>
          </w:p>
        </w:tc>
        <w:tc>
          <w:tcPr>
            <w:tcW w:w="3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3"/>
        </w:trPr>
        <w:tc>
          <w:tcPr>
            <w:tcW w:w="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6"/>
              </w:rPr>
              <w:t>Options Vested and Exercisable</w:t>
            </w: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2"/>
          </w:tcPr>
          <w:p>
            <w:pPr>
              <w:jc w:val="center"/>
              <w:ind w:right="140"/>
              <w:spacing w:after="0" w:line="173" w:lineRule="exact"/>
              <w:rPr>
                <w:sz w:val="20"/>
                <w:szCs w:val="20"/>
                <w:color w:val="auto"/>
              </w:rPr>
            </w:pPr>
            <w:r>
              <w:rPr>
                <w:rFonts w:ascii="Arial" w:cs="Arial" w:eastAsia="Arial" w:hAnsi="Arial"/>
                <w:sz w:val="16"/>
                <w:szCs w:val="16"/>
                <w:b w:val="1"/>
                <w:bCs w:val="1"/>
                <w:color w:val="auto"/>
                <w:w w:val="88"/>
              </w:rPr>
              <w:t>Weighted-Average</w:t>
            </w:r>
          </w:p>
        </w:tc>
        <w:tc>
          <w:tcPr>
            <w:tcW w:w="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1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tcPr>
          <w:p>
            <w:pPr>
              <w:jc w:val="right"/>
              <w:ind w:right="821"/>
              <w:spacing w:after="0"/>
              <w:rPr>
                <w:sz w:val="20"/>
                <w:szCs w:val="20"/>
                <w:color w:val="auto"/>
              </w:rPr>
            </w:pPr>
            <w:r>
              <w:rPr>
                <w:rFonts w:ascii="Arial" w:cs="Arial" w:eastAsia="Arial" w:hAnsi="Arial"/>
                <w:sz w:val="16"/>
                <w:szCs w:val="16"/>
                <w:b w:val="1"/>
                <w:bCs w:val="1"/>
                <w:color w:val="auto"/>
              </w:rPr>
              <w:t>Number of</w:t>
            </w:r>
          </w:p>
        </w:tc>
        <w:tc>
          <w:tcPr>
            <w:tcW w:w="240" w:type="dxa"/>
            <w:vAlign w:val="bottom"/>
          </w:tcPr>
          <w:p>
            <w:pPr>
              <w:spacing w:after="0"/>
              <w:rPr>
                <w:sz w:val="16"/>
                <w:szCs w:val="16"/>
                <w:color w:val="auto"/>
              </w:rPr>
            </w:pPr>
          </w:p>
        </w:tc>
        <w:tc>
          <w:tcPr>
            <w:tcW w:w="27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Remaining Contractual</w:t>
            </w:r>
          </w:p>
        </w:tc>
        <w:tc>
          <w:tcPr>
            <w:tcW w:w="380" w:type="dxa"/>
            <w:vAlign w:val="bottom"/>
          </w:tcPr>
          <w:p>
            <w:pPr>
              <w:spacing w:after="0"/>
              <w:rPr>
                <w:sz w:val="16"/>
                <w:szCs w:val="16"/>
                <w:color w:val="auto"/>
              </w:rPr>
            </w:pPr>
          </w:p>
        </w:tc>
        <w:tc>
          <w:tcPr>
            <w:tcW w:w="232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Weighted-Average</w:t>
            </w:r>
          </w:p>
        </w:tc>
      </w:tr>
      <w:tr>
        <w:trPr>
          <w:trHeight w:val="209"/>
        </w:trPr>
        <w:tc>
          <w:tcPr>
            <w:tcW w:w="180" w:type="dxa"/>
            <w:vAlign w:val="bottom"/>
          </w:tcPr>
          <w:p>
            <w:pPr>
              <w:spacing w:after="0"/>
              <w:rPr>
                <w:sz w:val="18"/>
                <w:szCs w:val="18"/>
                <w:color w:val="auto"/>
              </w:rPr>
            </w:pPr>
          </w:p>
        </w:tc>
        <w:tc>
          <w:tcPr>
            <w:tcW w:w="2760" w:type="dxa"/>
            <w:vAlign w:val="bottom"/>
            <w:gridSpan w:val="2"/>
          </w:tcPr>
          <w:p>
            <w:pPr>
              <w:jc w:val="right"/>
              <w:ind w:right="1240"/>
              <w:spacing w:after="0"/>
              <w:rPr>
                <w:sz w:val="20"/>
                <w:szCs w:val="20"/>
                <w:color w:val="auto"/>
              </w:rPr>
            </w:pPr>
            <w:r>
              <w:rPr>
                <w:rFonts w:ascii="Arial" w:cs="Arial" w:eastAsia="Arial" w:hAnsi="Arial"/>
                <w:sz w:val="16"/>
                <w:szCs w:val="16"/>
                <w:b w:val="1"/>
                <w:bCs w:val="1"/>
                <w:color w:val="auto"/>
              </w:rPr>
              <w:t>Price ($)</w:t>
            </w:r>
          </w:p>
        </w:tc>
        <w:tc>
          <w:tcPr>
            <w:tcW w:w="2600" w:type="dxa"/>
            <w:vAlign w:val="bottom"/>
          </w:tcPr>
          <w:p>
            <w:pPr>
              <w:jc w:val="right"/>
              <w:ind w:right="901"/>
              <w:spacing w:after="0"/>
              <w:rPr>
                <w:sz w:val="20"/>
                <w:szCs w:val="20"/>
                <w:color w:val="auto"/>
              </w:rPr>
            </w:pPr>
            <w:r>
              <w:rPr>
                <w:rFonts w:ascii="Arial" w:cs="Arial" w:eastAsia="Arial" w:hAnsi="Arial"/>
                <w:sz w:val="16"/>
                <w:szCs w:val="16"/>
                <w:b w:val="1"/>
                <w:bCs w:val="1"/>
                <w:color w:val="auto"/>
              </w:rPr>
              <w:t>Options</w:t>
            </w:r>
          </w:p>
        </w:tc>
        <w:tc>
          <w:tcPr>
            <w:tcW w:w="240" w:type="dxa"/>
            <w:vAlign w:val="bottom"/>
          </w:tcPr>
          <w:p>
            <w:pPr>
              <w:spacing w:after="0"/>
              <w:rPr>
                <w:sz w:val="18"/>
                <w:szCs w:val="18"/>
                <w:color w:val="auto"/>
              </w:rPr>
            </w:pPr>
          </w:p>
        </w:tc>
        <w:tc>
          <w:tcPr>
            <w:tcW w:w="2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380" w:type="dxa"/>
            <w:vAlign w:val="bottom"/>
          </w:tcPr>
          <w:p>
            <w:pPr>
              <w:spacing w:after="0"/>
              <w:rPr>
                <w:sz w:val="18"/>
                <w:szCs w:val="18"/>
                <w:color w:val="auto"/>
              </w:rPr>
            </w:pPr>
          </w:p>
        </w:tc>
        <w:tc>
          <w:tcPr>
            <w:tcW w:w="2320" w:type="dxa"/>
            <w:vAlign w:val="bottom"/>
            <w:gridSpan w:val="2"/>
          </w:tcPr>
          <w:p>
            <w:pPr>
              <w:jc w:val="right"/>
              <w:ind w:right="880"/>
              <w:spacing w:after="0"/>
              <w:rPr>
                <w:sz w:val="20"/>
                <w:szCs w:val="20"/>
                <w:color w:val="auto"/>
              </w:rPr>
            </w:pPr>
            <w:r>
              <w:rPr>
                <w:rFonts w:ascii="Arial" w:cs="Arial" w:eastAsia="Arial" w:hAnsi="Arial"/>
                <w:sz w:val="16"/>
                <w:szCs w:val="16"/>
                <w:b w:val="1"/>
                <w:bCs w:val="1"/>
                <w:color w:val="auto"/>
              </w:rPr>
              <w:t>Exercise Price</w:t>
            </w:r>
          </w:p>
        </w:tc>
      </w:tr>
      <w:tr>
        <w:trPr>
          <w:trHeight w:val="189"/>
        </w:trPr>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456.00</w:t>
            </w:r>
          </w:p>
        </w:tc>
        <w:tc>
          <w:tcPr>
            <w:tcW w:w="24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4,210</w:t>
            </w:r>
          </w:p>
        </w:tc>
        <w:tc>
          <w:tcPr>
            <w:tcW w:w="24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2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456.00</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2760" w:type="dxa"/>
            <w:vAlign w:val="bottom"/>
            <w:gridSpan w:val="2"/>
          </w:tcPr>
          <w:p>
            <w:pPr>
              <w:jc w:val="right"/>
              <w:ind w:right="240"/>
              <w:spacing w:after="0"/>
              <w:rPr>
                <w:sz w:val="20"/>
                <w:szCs w:val="20"/>
                <w:color w:val="auto"/>
              </w:rPr>
            </w:pPr>
            <w:r>
              <w:rPr>
                <w:rFonts w:ascii="Arial" w:cs="Arial" w:eastAsia="Arial" w:hAnsi="Arial"/>
                <w:sz w:val="16"/>
                <w:szCs w:val="16"/>
                <w:color w:val="auto"/>
              </w:rPr>
              <w:t>972.00</w:t>
            </w:r>
          </w:p>
        </w:tc>
        <w:tc>
          <w:tcPr>
            <w:tcW w:w="2600" w:type="dxa"/>
            <w:vAlign w:val="bottom"/>
          </w:tcPr>
          <w:p>
            <w:pPr>
              <w:jc w:val="right"/>
              <w:spacing w:after="0"/>
              <w:rPr>
                <w:sz w:val="20"/>
                <w:szCs w:val="20"/>
                <w:color w:val="auto"/>
              </w:rPr>
            </w:pPr>
            <w:r>
              <w:rPr>
                <w:rFonts w:ascii="Arial" w:cs="Arial" w:eastAsia="Arial" w:hAnsi="Arial"/>
                <w:sz w:val="16"/>
                <w:szCs w:val="16"/>
                <w:color w:val="auto"/>
              </w:rPr>
              <w:t>4,174</w:t>
            </w:r>
          </w:p>
        </w:tc>
        <w:tc>
          <w:tcPr>
            <w:tcW w:w="3020" w:type="dxa"/>
            <w:vAlign w:val="bottom"/>
            <w:gridSpan w:val="3"/>
          </w:tcPr>
          <w:p>
            <w:pPr>
              <w:jc w:val="right"/>
              <w:ind w:right="200"/>
              <w:spacing w:after="0"/>
              <w:rPr>
                <w:sz w:val="20"/>
                <w:szCs w:val="20"/>
                <w:color w:val="auto"/>
              </w:rPr>
            </w:pPr>
            <w:r>
              <w:rPr>
                <w:rFonts w:ascii="Arial" w:cs="Arial" w:eastAsia="Arial" w:hAnsi="Arial"/>
                <w:sz w:val="16"/>
                <w:szCs w:val="16"/>
                <w:color w:val="auto"/>
              </w:rPr>
              <w:t>8.57</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2320" w:type="dxa"/>
            <w:vAlign w:val="bottom"/>
            <w:gridSpan w:val="2"/>
          </w:tcPr>
          <w:p>
            <w:pPr>
              <w:jc w:val="right"/>
              <w:ind w:right="120"/>
              <w:spacing w:after="0"/>
              <w:rPr>
                <w:sz w:val="20"/>
                <w:szCs w:val="20"/>
                <w:color w:val="auto"/>
              </w:rPr>
            </w:pPr>
            <w:r>
              <w:rPr>
                <w:rFonts w:ascii="Arial" w:cs="Arial" w:eastAsia="Arial" w:hAnsi="Arial"/>
                <w:sz w:val="16"/>
                <w:szCs w:val="16"/>
                <w:color w:val="auto"/>
              </w:rPr>
              <w:t>972.00</w:t>
            </w:r>
          </w:p>
        </w:tc>
      </w:tr>
      <w:tr>
        <w:trPr>
          <w:trHeight w:val="189"/>
        </w:trPr>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1,536.00-$2,898.00</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w:t>
            </w:r>
          </w:p>
        </w:tc>
        <w:tc>
          <w:tcPr>
            <w:tcW w:w="30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8.82</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2,624.00</w:t>
            </w:r>
          </w:p>
        </w:tc>
      </w:tr>
      <w:tr>
        <w:trPr>
          <w:trHeight w:val="377"/>
        </w:trPr>
        <w:tc>
          <w:tcPr>
            <w:tcW w:w="180" w:type="dxa"/>
            <w:vAlign w:val="bottom"/>
          </w:tcPr>
          <w:p>
            <w:pPr>
              <w:spacing w:after="0"/>
              <w:rPr>
                <w:sz w:val="24"/>
                <w:szCs w:val="24"/>
                <w:color w:val="auto"/>
              </w:rPr>
            </w:pPr>
          </w:p>
        </w:tc>
        <w:tc>
          <w:tcPr>
            <w:tcW w:w="8380" w:type="dxa"/>
            <w:vAlign w:val="bottom"/>
            <w:gridSpan w:val="6"/>
          </w:tcPr>
          <w:p>
            <w:pPr>
              <w:ind w:left="100"/>
              <w:spacing w:after="0"/>
              <w:rPr>
                <w:sz w:val="20"/>
                <w:szCs w:val="20"/>
                <w:color w:val="auto"/>
              </w:rPr>
            </w:pPr>
            <w:r>
              <w:rPr>
                <w:rFonts w:ascii="Arial" w:cs="Arial" w:eastAsia="Arial" w:hAnsi="Arial"/>
                <w:sz w:val="16"/>
                <w:szCs w:val="16"/>
                <w:color w:val="auto"/>
              </w:rPr>
              <w:t>The following table summarizes information about options expected to vest after March 31, 2022:</w:t>
            </w: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3"/>
        </w:trPr>
        <w:tc>
          <w:tcPr>
            <w:tcW w:w="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Options Vested and Expected to Vest</w:t>
            </w: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2"/>
          </w:tcPr>
          <w:p>
            <w:pPr>
              <w:jc w:val="center"/>
              <w:ind w:right="220"/>
              <w:spacing w:after="0" w:line="173" w:lineRule="exact"/>
              <w:rPr>
                <w:sz w:val="20"/>
                <w:szCs w:val="20"/>
                <w:color w:val="auto"/>
              </w:rPr>
            </w:pPr>
            <w:r>
              <w:rPr>
                <w:rFonts w:ascii="Arial" w:cs="Arial" w:eastAsia="Arial" w:hAnsi="Arial"/>
                <w:sz w:val="16"/>
                <w:szCs w:val="16"/>
                <w:b w:val="1"/>
                <w:bCs w:val="1"/>
                <w:color w:val="auto"/>
                <w:w w:val="88"/>
              </w:rPr>
              <w:t>Weighted-Average</w:t>
            </w:r>
          </w:p>
        </w:tc>
        <w:tc>
          <w:tcPr>
            <w:tcW w:w="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1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tcPr>
          <w:p>
            <w:pPr>
              <w:jc w:val="right"/>
              <w:ind w:right="881"/>
              <w:spacing w:after="0"/>
              <w:rPr>
                <w:sz w:val="20"/>
                <w:szCs w:val="20"/>
                <w:color w:val="auto"/>
              </w:rPr>
            </w:pPr>
            <w:r>
              <w:rPr>
                <w:rFonts w:ascii="Arial" w:cs="Arial" w:eastAsia="Arial" w:hAnsi="Arial"/>
                <w:sz w:val="16"/>
                <w:szCs w:val="16"/>
                <w:b w:val="1"/>
                <w:bCs w:val="1"/>
                <w:color w:val="auto"/>
              </w:rPr>
              <w:t>Number of</w:t>
            </w:r>
          </w:p>
        </w:tc>
        <w:tc>
          <w:tcPr>
            <w:tcW w:w="240" w:type="dxa"/>
            <w:vAlign w:val="bottom"/>
          </w:tcPr>
          <w:p>
            <w:pPr>
              <w:spacing w:after="0"/>
              <w:rPr>
                <w:sz w:val="16"/>
                <w:szCs w:val="16"/>
                <w:color w:val="auto"/>
              </w:rPr>
            </w:pPr>
          </w:p>
        </w:tc>
        <w:tc>
          <w:tcPr>
            <w:tcW w:w="2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Remaining Contractual</w:t>
            </w:r>
          </w:p>
        </w:tc>
        <w:tc>
          <w:tcPr>
            <w:tcW w:w="380" w:type="dxa"/>
            <w:vAlign w:val="bottom"/>
          </w:tcPr>
          <w:p>
            <w:pPr>
              <w:spacing w:after="0"/>
              <w:rPr>
                <w:sz w:val="16"/>
                <w:szCs w:val="16"/>
                <w:color w:val="auto"/>
              </w:rPr>
            </w:pPr>
          </w:p>
        </w:tc>
        <w:tc>
          <w:tcPr>
            <w:tcW w:w="232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Weighted-Average</w:t>
            </w:r>
          </w:p>
        </w:tc>
      </w:tr>
      <w:tr>
        <w:trPr>
          <w:trHeight w:val="209"/>
        </w:trPr>
        <w:tc>
          <w:tcPr>
            <w:tcW w:w="180" w:type="dxa"/>
            <w:vAlign w:val="bottom"/>
          </w:tcPr>
          <w:p>
            <w:pPr>
              <w:spacing w:after="0"/>
              <w:rPr>
                <w:sz w:val="18"/>
                <w:szCs w:val="18"/>
                <w:color w:val="auto"/>
              </w:rPr>
            </w:pPr>
          </w:p>
        </w:tc>
        <w:tc>
          <w:tcPr>
            <w:tcW w:w="2760" w:type="dxa"/>
            <w:vAlign w:val="bottom"/>
            <w:gridSpan w:val="2"/>
          </w:tcPr>
          <w:p>
            <w:pPr>
              <w:jc w:val="right"/>
              <w:ind w:right="1300"/>
              <w:spacing w:after="0"/>
              <w:rPr>
                <w:sz w:val="20"/>
                <w:szCs w:val="20"/>
                <w:color w:val="auto"/>
              </w:rPr>
            </w:pPr>
            <w:r>
              <w:rPr>
                <w:rFonts w:ascii="Arial" w:cs="Arial" w:eastAsia="Arial" w:hAnsi="Arial"/>
                <w:sz w:val="16"/>
                <w:szCs w:val="16"/>
                <w:b w:val="1"/>
                <w:bCs w:val="1"/>
                <w:color w:val="auto"/>
              </w:rPr>
              <w:t>Price ($)</w:t>
            </w:r>
          </w:p>
        </w:tc>
        <w:tc>
          <w:tcPr>
            <w:tcW w:w="2600" w:type="dxa"/>
            <w:vAlign w:val="bottom"/>
          </w:tcPr>
          <w:p>
            <w:pPr>
              <w:jc w:val="right"/>
              <w:ind w:right="961"/>
              <w:spacing w:after="0"/>
              <w:rPr>
                <w:sz w:val="20"/>
                <w:szCs w:val="20"/>
                <w:color w:val="auto"/>
              </w:rPr>
            </w:pPr>
            <w:r>
              <w:rPr>
                <w:rFonts w:ascii="Arial" w:cs="Arial" w:eastAsia="Arial" w:hAnsi="Arial"/>
                <w:sz w:val="16"/>
                <w:szCs w:val="16"/>
                <w:b w:val="1"/>
                <w:bCs w:val="1"/>
                <w:color w:val="auto"/>
              </w:rPr>
              <w:t>Options</w:t>
            </w:r>
          </w:p>
        </w:tc>
        <w:tc>
          <w:tcPr>
            <w:tcW w:w="240" w:type="dxa"/>
            <w:vAlign w:val="bottom"/>
          </w:tcPr>
          <w:p>
            <w:pPr>
              <w:spacing w:after="0"/>
              <w:rPr>
                <w:sz w:val="18"/>
                <w:szCs w:val="18"/>
                <w:color w:val="auto"/>
              </w:rPr>
            </w:pPr>
          </w:p>
        </w:tc>
        <w:tc>
          <w:tcPr>
            <w:tcW w:w="27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Life (Years)</w:t>
            </w:r>
          </w:p>
        </w:tc>
        <w:tc>
          <w:tcPr>
            <w:tcW w:w="380" w:type="dxa"/>
            <w:vAlign w:val="bottom"/>
          </w:tcPr>
          <w:p>
            <w:pPr>
              <w:spacing w:after="0"/>
              <w:rPr>
                <w:sz w:val="18"/>
                <w:szCs w:val="18"/>
                <w:color w:val="auto"/>
              </w:rPr>
            </w:pPr>
          </w:p>
        </w:tc>
        <w:tc>
          <w:tcPr>
            <w:tcW w:w="2320" w:type="dxa"/>
            <w:vAlign w:val="bottom"/>
            <w:gridSpan w:val="2"/>
          </w:tcPr>
          <w:p>
            <w:pPr>
              <w:jc w:val="right"/>
              <w:ind w:right="920"/>
              <w:spacing w:after="0"/>
              <w:rPr>
                <w:sz w:val="20"/>
                <w:szCs w:val="20"/>
                <w:color w:val="auto"/>
              </w:rPr>
            </w:pPr>
            <w:r>
              <w:rPr>
                <w:rFonts w:ascii="Arial" w:cs="Arial" w:eastAsia="Arial" w:hAnsi="Arial"/>
                <w:sz w:val="16"/>
                <w:szCs w:val="16"/>
                <w:b w:val="1"/>
                <w:bCs w:val="1"/>
                <w:color w:val="auto"/>
              </w:rPr>
              <w:t>Exercise Price</w:t>
            </w:r>
          </w:p>
        </w:tc>
      </w:tr>
      <w:tr>
        <w:trPr>
          <w:trHeight w:val="189"/>
        </w:trPr>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456.00</w:t>
            </w:r>
          </w:p>
        </w:tc>
        <w:tc>
          <w:tcPr>
            <w:tcW w:w="24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5,073</w:t>
            </w:r>
          </w:p>
        </w:tc>
        <w:tc>
          <w:tcPr>
            <w:tcW w:w="24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2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456.00</w:t>
            </w:r>
          </w:p>
        </w:tc>
        <w:tc>
          <w:tcPr>
            <w:tcW w:w="120" w:type="dxa"/>
            <w:vAlign w:val="bottom"/>
            <w:tcBorders>
              <w:top w:val="single" w:sz="8" w:color="CCEEFF"/>
            </w:tcBorders>
            <w:shd w:val="clear" w:color="auto" w:fill="CCEEFF"/>
          </w:tcPr>
          <w:p>
            <w:pPr>
              <w:spacing w:after="0"/>
              <w:rPr>
                <w:sz w:val="16"/>
                <w:szCs w:val="16"/>
                <w:color w:val="auto"/>
              </w:rPr>
            </w:pPr>
          </w:p>
        </w:tc>
      </w:tr>
      <w:tr>
        <w:trPr>
          <w:trHeight w:val="189"/>
        </w:trPr>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2760" w:type="dxa"/>
            <w:vAlign w:val="bottom"/>
            <w:gridSpan w:val="2"/>
          </w:tcPr>
          <w:p>
            <w:pPr>
              <w:jc w:val="right"/>
              <w:ind w:right="240"/>
              <w:spacing w:after="0"/>
              <w:rPr>
                <w:sz w:val="20"/>
                <w:szCs w:val="20"/>
                <w:color w:val="auto"/>
              </w:rPr>
            </w:pPr>
            <w:r>
              <w:rPr>
                <w:rFonts w:ascii="Arial" w:cs="Arial" w:eastAsia="Arial" w:hAnsi="Arial"/>
                <w:sz w:val="16"/>
                <w:szCs w:val="16"/>
                <w:color w:val="auto"/>
              </w:rPr>
              <w:t>972.00</w:t>
            </w:r>
          </w:p>
        </w:tc>
        <w:tc>
          <w:tcPr>
            <w:tcW w:w="2600" w:type="dxa"/>
            <w:vAlign w:val="bottom"/>
          </w:tcPr>
          <w:p>
            <w:pPr>
              <w:jc w:val="right"/>
              <w:spacing w:after="0"/>
              <w:rPr>
                <w:sz w:val="20"/>
                <w:szCs w:val="20"/>
                <w:color w:val="auto"/>
              </w:rPr>
            </w:pPr>
            <w:r>
              <w:rPr>
                <w:rFonts w:ascii="Arial" w:cs="Arial" w:eastAsia="Arial" w:hAnsi="Arial"/>
                <w:sz w:val="16"/>
                <w:szCs w:val="16"/>
                <w:color w:val="auto"/>
              </w:rPr>
              <w:t>5,375</w:t>
            </w:r>
          </w:p>
        </w:tc>
        <w:tc>
          <w:tcPr>
            <w:tcW w:w="3020" w:type="dxa"/>
            <w:vAlign w:val="bottom"/>
            <w:gridSpan w:val="3"/>
          </w:tcPr>
          <w:p>
            <w:pPr>
              <w:jc w:val="right"/>
              <w:ind w:right="200"/>
              <w:spacing w:after="0"/>
              <w:rPr>
                <w:sz w:val="20"/>
                <w:szCs w:val="20"/>
                <w:color w:val="auto"/>
              </w:rPr>
            </w:pPr>
            <w:r>
              <w:rPr>
                <w:rFonts w:ascii="Arial" w:cs="Arial" w:eastAsia="Arial" w:hAnsi="Arial"/>
                <w:sz w:val="16"/>
                <w:szCs w:val="16"/>
                <w:color w:val="auto"/>
              </w:rPr>
              <w:t>8.57</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2320" w:type="dxa"/>
            <w:vAlign w:val="bottom"/>
            <w:gridSpan w:val="2"/>
          </w:tcPr>
          <w:p>
            <w:pPr>
              <w:jc w:val="right"/>
              <w:ind w:right="120"/>
              <w:spacing w:after="0"/>
              <w:rPr>
                <w:sz w:val="20"/>
                <w:szCs w:val="20"/>
                <w:color w:val="auto"/>
              </w:rPr>
            </w:pPr>
            <w:r>
              <w:rPr>
                <w:rFonts w:ascii="Arial" w:cs="Arial" w:eastAsia="Arial" w:hAnsi="Arial"/>
                <w:sz w:val="16"/>
                <w:szCs w:val="16"/>
                <w:color w:val="auto"/>
              </w:rPr>
              <w:t>972.00</w:t>
            </w:r>
          </w:p>
        </w:tc>
      </w:tr>
      <w:tr>
        <w:trPr>
          <w:trHeight w:val="189"/>
        </w:trPr>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1,536.00-$2,898.00</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30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8.82</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2,628.00</w:t>
            </w:r>
          </w:p>
        </w:tc>
      </w:tr>
      <w:tr>
        <w:trPr>
          <w:trHeight w:val="571"/>
        </w:trPr>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78"/>
              </w:rPr>
              <w:t>47</w:t>
            </w:r>
          </w:p>
        </w:tc>
        <w:tc>
          <w:tcPr>
            <w:tcW w:w="2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9" w:right="31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Warrants</w:t>
      </w:r>
    </w:p>
    <w:p>
      <w:pPr>
        <w:spacing w:after="0" w:line="198" w:lineRule="exact"/>
        <w:rPr>
          <w:sz w:val="20"/>
          <w:szCs w:val="20"/>
          <w:color w:val="auto"/>
        </w:rPr>
      </w:pPr>
    </w:p>
    <w:p>
      <w:pPr>
        <w:ind w:right="280" w:firstLine="284"/>
        <w:spacing w:after="0" w:line="268" w:lineRule="auto"/>
        <w:rPr>
          <w:sz w:val="20"/>
          <w:szCs w:val="20"/>
          <w:color w:val="auto"/>
        </w:rPr>
      </w:pPr>
      <w:r>
        <w:rPr>
          <w:rFonts w:ascii="Arial" w:cs="Arial" w:eastAsia="Arial" w:hAnsi="Arial"/>
          <w:sz w:val="16"/>
          <w:szCs w:val="16"/>
          <w:color w:val="auto"/>
        </w:rPr>
        <w:t>As of March 31, 2022, warrants to purchase 50,780 shares of Common Stock were outstanding. The following table presents the Company’s warrant activity for the three months ended March 31, 2022 and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89"/>
        </w:trPr>
        <w:tc>
          <w:tcPr>
            <w:tcW w:w="8680" w:type="dxa"/>
            <w:vAlign w:val="bottom"/>
          </w:tcPr>
          <w:p>
            <w:pPr>
              <w:spacing w:after="0"/>
              <w:rPr>
                <w:sz w:val="16"/>
                <w:szCs w:val="16"/>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5"/>
              </w:rPr>
              <w:t>Average</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of Warrants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5"/>
              </w:rPr>
              <w:t>Exercise Price</w:t>
            </w:r>
          </w:p>
        </w:tc>
        <w:tc>
          <w:tcPr>
            <w:tcW w:w="0" w:type="dxa"/>
            <w:vAlign w:val="bottom"/>
          </w:tcPr>
          <w:p>
            <w:pPr>
              <w:spacing w:after="0"/>
              <w:rPr>
                <w:sz w:val="1"/>
                <w:szCs w:val="1"/>
                <w:color w:val="auto"/>
              </w:rPr>
            </w:pPr>
          </w:p>
        </w:tc>
      </w:tr>
      <w:tr>
        <w:trPr>
          <w:trHeight w:val="189"/>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Warrants outstanding at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w w:val="76"/>
              </w:rPr>
              <w:t>4.00</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1,890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ind w:left="76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(4,672)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Warrants outstanding at March 31,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868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1,358</w:t>
            </w:r>
          </w:p>
        </w:tc>
        <w:tc>
          <w:tcPr>
            <w:tcW w:w="220" w:type="dxa"/>
            <w:vAlign w:val="bottom"/>
          </w:tcPr>
          <w:p>
            <w:pPr>
              <w:spacing w:after="0"/>
              <w:rPr>
                <w:sz w:val="20"/>
                <w:szCs w:val="20"/>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ind w:left="76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5"/>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Warrants outstanding at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w w:val="76"/>
              </w:rPr>
              <w:t>4.00</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57,339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ind w:left="480"/>
              <w:spacing w:after="0"/>
              <w:rPr>
                <w:sz w:val="20"/>
                <w:szCs w:val="20"/>
                <w:color w:val="auto"/>
              </w:rPr>
            </w:pPr>
            <w:r>
              <w:rPr>
                <w:rFonts w:ascii="Arial" w:cs="Arial" w:eastAsia="Arial" w:hAnsi="Arial"/>
                <w:sz w:val="16"/>
                <w:szCs w:val="16"/>
                <w:color w:val="auto"/>
                <w:w w:val="86"/>
              </w:rPr>
              <w:t>1,204.00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(7,917)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Warrants outstanding at March 31, 2022</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8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50,780</w:t>
            </w:r>
          </w:p>
        </w:tc>
        <w:tc>
          <w:tcPr>
            <w:tcW w:w="220" w:type="dxa"/>
            <w:vAlign w:val="bottom"/>
          </w:tcPr>
          <w:p>
            <w:pPr>
              <w:spacing w:after="0"/>
              <w:rPr>
                <w:sz w:val="17"/>
                <w:szCs w:val="17"/>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color w:val="auto"/>
                <w:w w:val="86"/>
              </w:rPr>
              <w:t>1,360.00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40" w:firstLine="284"/>
        <w:spacing w:after="0" w:line="268" w:lineRule="auto"/>
        <w:rPr>
          <w:sz w:val="20"/>
          <w:szCs w:val="20"/>
          <w:color w:val="auto"/>
        </w:rPr>
      </w:pPr>
      <w:r>
        <w:rPr>
          <w:rFonts w:ascii="Arial" w:cs="Arial" w:eastAsia="Arial" w:hAnsi="Arial"/>
          <w:sz w:val="16"/>
          <w:szCs w:val="16"/>
          <w:color w:val="auto"/>
        </w:rPr>
        <w:t>The Company received proceeds from the exercise of warrants of less than $1 thousand and $5 thousand during the three months ended March 31, 2022 and March 31, 2021,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 Employee Benefit Plan</w:t>
      </w:r>
    </w:p>
    <w:p>
      <w:pPr>
        <w:spacing w:after="0" w:line="198" w:lineRule="exact"/>
        <w:rPr>
          <w:sz w:val="20"/>
          <w:szCs w:val="20"/>
          <w:color w:val="auto"/>
        </w:rPr>
      </w:pPr>
    </w:p>
    <w:p>
      <w:pPr>
        <w:jc w:val="both"/>
        <w:ind w:right="380" w:firstLine="284"/>
        <w:spacing w:after="0" w:line="257" w:lineRule="auto"/>
        <w:rPr>
          <w:sz w:val="20"/>
          <w:szCs w:val="20"/>
          <w:color w:val="auto"/>
        </w:rPr>
      </w:pPr>
      <w:r>
        <w:rPr>
          <w:rFonts w:ascii="Arial" w:cs="Arial" w:eastAsia="Arial" w:hAnsi="Arial"/>
          <w:sz w:val="16"/>
          <w:szCs w:val="16"/>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three months ended March 31, 2022 and 2021, the Company did not contribute to the 401k Plan.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20 — Income Taxes</w:t>
      </w:r>
    </w:p>
    <w:p>
      <w:pPr>
        <w:spacing w:after="0" w:line="198" w:lineRule="exact"/>
        <w:rPr>
          <w:sz w:val="20"/>
          <w:szCs w:val="20"/>
          <w:color w:val="auto"/>
        </w:rPr>
      </w:pPr>
    </w:p>
    <w:p>
      <w:pPr>
        <w:ind w:right="20" w:firstLine="284"/>
        <w:spacing w:after="0" w:line="271" w:lineRule="auto"/>
        <w:rPr>
          <w:sz w:val="20"/>
          <w:szCs w:val="20"/>
          <w:color w:val="auto"/>
        </w:rPr>
      </w:pPr>
      <w:r>
        <w:rPr>
          <w:rFonts w:ascii="Arial" w:cs="Arial" w:eastAsia="Arial" w:hAnsi="Arial"/>
          <w:sz w:val="15"/>
          <w:szCs w:val="15"/>
          <w:color w:val="auto"/>
        </w:rPr>
        <w:t>The Company’s effective income tax rate was 2.0% and 0.0% for the three months ended March 31, 2022 and 2021, respectively. The provision for (benefit from) income taxes was approximately $(200) thousand and $0 for the three months ended March 31, 2022 and 2021, respectively. The difference between the Company’s effective tax rates for the 2022 and 2021 periods and the U.S. statutory tax rate of 21% was primarily due a valuation allowance recorded against certain deferred tax assets. The change in the provision for (benefit from) income taxes for the three months ended March 31, 2022 compared to the three months ended March 31, 2021 was primarily due to a discrete income tax benefit of approximately $(200) thousand recorded during the first quarter of 2022, which is attributable to a non-recurring partial release of the Company’s U.S. valuation allowance as a result of the Lab Society acquisition.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21 — Net Income (Loss) Per Share</w:t>
      </w:r>
    </w:p>
    <w:p>
      <w:pPr>
        <w:spacing w:after="0" w:line="198" w:lineRule="exact"/>
        <w:rPr>
          <w:sz w:val="20"/>
          <w:szCs w:val="20"/>
          <w:color w:val="auto"/>
        </w:rPr>
      </w:pPr>
    </w:p>
    <w:p>
      <w:pPr>
        <w:ind w:right="40" w:firstLine="284"/>
        <w:spacing w:after="0" w:line="268" w:lineRule="auto"/>
        <w:rPr>
          <w:sz w:val="20"/>
          <w:szCs w:val="20"/>
          <w:color w:val="auto"/>
        </w:rPr>
      </w:pPr>
      <w:r>
        <w:rPr>
          <w:rFonts w:ascii="Arial" w:cs="Arial" w:eastAsia="Arial" w:hAnsi="Arial"/>
          <w:sz w:val="16"/>
          <w:szCs w:val="16"/>
          <w:color w:val="auto"/>
        </w:rPr>
        <w:t>Net income (loss) per share calculations for all periods have been adjusted to reflect the Company’s Reverse Stock Split. Net income (loss) per share was calculated based on the weighted-average number of its Common Stock then outstanding.</w:t>
      </w:r>
    </w:p>
    <w:p>
      <w:pPr>
        <w:spacing w:after="0" w:line="157" w:lineRule="exact"/>
        <w:rPr>
          <w:sz w:val="20"/>
          <w:szCs w:val="20"/>
          <w:color w:val="auto"/>
        </w:rPr>
      </w:pPr>
    </w:p>
    <w:p>
      <w:pPr>
        <w:ind w:right="80" w:firstLine="284"/>
        <w:spacing w:after="0" w:line="301" w:lineRule="auto"/>
        <w:rPr>
          <w:sz w:val="20"/>
          <w:szCs w:val="20"/>
          <w:color w:val="auto"/>
        </w:rPr>
      </w:pPr>
      <w:r>
        <w:rPr>
          <w:rFonts w:ascii="Arial" w:cs="Arial" w:eastAsia="Arial" w:hAnsi="Arial"/>
          <w:sz w:val="14"/>
          <w:szCs w:val="14"/>
          <w:color w:val="auto"/>
        </w:rPr>
        <w:t>Basic net income (loss) per share is calculated using the weighted-average number of Common Stock outstanding during the periods. Net income (loss) per share, assuming dilution, is calculated using the weighted-average number of common shares outstanding and the dilutive effect of all potentially dilutive securities, including Common Stock equivalents and convertible securities. For periods during which the Company recorded a net income (loss), diluted net income (loss) per share is equal to basic net income (loss) per share because the effect of dilutive securities outstanding during the periods, including options and warrants computed using the treasury stock method, is anti-dilutive.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1" w:name="page52"/>
    <w:bookmarkEnd w:id="51"/>
    <w:p>
      <w:pPr>
        <w:ind w:left="285"/>
        <w:spacing w:after="0"/>
        <w:rPr>
          <w:sz w:val="20"/>
          <w:szCs w:val="20"/>
          <w:color w:val="auto"/>
        </w:rPr>
      </w:pPr>
      <w:r>
        <w:rPr>
          <w:rFonts w:ascii="Arial" w:cs="Arial" w:eastAsia="Arial" w:hAnsi="Arial"/>
          <w:sz w:val="14"/>
          <w:szCs w:val="14"/>
          <w:color w:val="auto"/>
        </w:rPr>
        <w:t>The components of basic and diluted net income (loss) per share were as follows: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543687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36870" cy="15240"/>
                    </a:xfrm>
                    <a:prstGeom prst="rect">
                      <a:avLst/>
                    </a:prstGeom>
                    <a:noFill/>
                  </pic:spPr>
                </pic:pic>
              </a:graphicData>
            </a:graphic>
          </wp:anchor>
        </w:drawing>
      </w:r>
    </w:p>
    <w:p>
      <w:pPr>
        <w:spacing w:after="0" w:line="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Numerator:</w:t>
      </w:r>
    </w:p>
    <w:p>
      <w:pPr>
        <w:spacing w:after="0" w:line="20" w:lineRule="exact"/>
        <w:rPr>
          <w:sz w:val="20"/>
          <w:szCs w:val="20"/>
          <w:color w:val="auto"/>
        </w:rPr>
      </w:pPr>
    </w:p>
    <w:p>
      <w:pPr>
        <w:ind w:left="5"/>
        <w:spacing w:after="0"/>
        <w:rPr>
          <w:sz w:val="20"/>
          <w:szCs w:val="20"/>
          <w:color w:val="auto"/>
        </w:rPr>
      </w:pPr>
      <w:r>
        <w:rPr>
          <w:rFonts w:ascii="Arial" w:cs="Arial" w:eastAsia="Arial" w:hAnsi="Arial"/>
          <w:sz w:val="16"/>
          <w:szCs w:val="16"/>
          <w:color w:val="auto"/>
        </w:rPr>
        <w:t>Net income (loss) attributable to Agrify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9465"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ind w:left="5"/>
        <w:spacing w:after="0"/>
        <w:rPr>
          <w:sz w:val="20"/>
          <w:szCs w:val="20"/>
          <w:color w:val="auto"/>
        </w:rPr>
      </w:pPr>
      <w:r>
        <w:rPr>
          <w:rFonts w:ascii="Arial" w:cs="Arial" w:eastAsia="Arial" w:hAnsi="Arial"/>
          <w:sz w:val="16"/>
          <w:szCs w:val="16"/>
          <w:color w:val="auto"/>
        </w:rPr>
        <w:t>Accrued dividend attributable to Preferred A Stockholders</w:t>
      </w:r>
    </w:p>
    <w:p>
      <w:pPr>
        <w:spacing w:after="0" w:line="18" w:lineRule="exact"/>
        <w:rPr>
          <w:sz w:val="20"/>
          <w:szCs w:val="20"/>
          <w:color w:val="auto"/>
        </w:rPr>
      </w:pPr>
    </w:p>
    <w:p>
      <w:pPr>
        <w:ind w:left="145"/>
        <w:spacing w:after="0"/>
        <w:rPr>
          <w:sz w:val="20"/>
          <w:szCs w:val="20"/>
          <w:color w:val="auto"/>
        </w:rPr>
      </w:pPr>
      <w:r>
        <w:rPr>
          <w:rFonts w:ascii="Arial" w:cs="Arial" w:eastAsia="Arial" w:hAnsi="Arial"/>
          <w:sz w:val="16"/>
          <w:szCs w:val="16"/>
          <w:color w:val="auto"/>
        </w:rPr>
        <w:t>Net income (loss) available for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9465" cy="165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65100"/>
                    </a:xfrm>
                    <a:prstGeom prst="rect">
                      <a:avLst/>
                    </a:prstGeom>
                    <a:noFill/>
                  </pic:spPr>
                </pic:pic>
              </a:graphicData>
            </a:graphic>
          </wp:anchor>
        </w:drawing>
      </w:r>
    </w:p>
    <w:p>
      <w:pPr>
        <w:spacing w:after="0" w:line="7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Denominator:</w:t>
      </w:r>
    </w:p>
    <w:p>
      <w:pPr>
        <w:ind w:left="5"/>
        <w:spacing w:after="0" w:line="199" w:lineRule="auto"/>
        <w:rPr>
          <w:sz w:val="20"/>
          <w:szCs w:val="20"/>
          <w:color w:val="auto"/>
        </w:rPr>
      </w:pPr>
      <w:r>
        <w:rPr>
          <w:rFonts w:ascii="Arial" w:cs="Arial" w:eastAsia="Arial" w:hAnsi="Arial"/>
          <w:sz w:val="16"/>
          <w:szCs w:val="16"/>
          <w:color w:val="auto"/>
        </w:rPr>
        <w:t xml:space="preserve">Weighted-average common shares outstanding – basic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9465" cy="142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42875"/>
                    </a:xfrm>
                    <a:prstGeom prst="rect">
                      <a:avLst/>
                    </a:prstGeom>
                    <a:noFill/>
                  </pic:spPr>
                </pic:pic>
              </a:graphicData>
            </a:graphic>
          </wp:anchor>
        </w:drawing>
      </w:r>
    </w:p>
    <w:p>
      <w:pPr>
        <w:ind w:left="145"/>
        <w:spacing w:after="0"/>
        <w:rPr>
          <w:sz w:val="20"/>
          <w:szCs w:val="20"/>
          <w:color w:val="auto"/>
        </w:rPr>
      </w:pPr>
      <w:r>
        <w:rPr>
          <w:rFonts w:ascii="Arial" w:cs="Arial" w:eastAsia="Arial" w:hAnsi="Arial"/>
          <w:sz w:val="16"/>
          <w:szCs w:val="16"/>
          <w:color w:val="auto"/>
        </w:rPr>
        <w:t>Effect of dilutive securities</w:t>
      </w:r>
    </w:p>
    <w:p>
      <w:pPr>
        <w:spacing w:after="0" w:line="2" w:lineRule="exact"/>
        <w:rPr>
          <w:sz w:val="20"/>
          <w:szCs w:val="20"/>
          <w:color w:val="auto"/>
        </w:rPr>
      </w:pPr>
    </w:p>
    <w:p>
      <w:pPr>
        <w:ind w:left="285"/>
        <w:spacing w:after="0"/>
        <w:rPr>
          <w:sz w:val="20"/>
          <w:szCs w:val="20"/>
          <w:color w:val="auto"/>
        </w:rPr>
      </w:pPr>
      <w:r>
        <w:rPr>
          <w:rFonts w:ascii="Arial" w:cs="Arial" w:eastAsia="Arial" w:hAnsi="Arial"/>
          <w:sz w:val="16"/>
          <w:szCs w:val="16"/>
          <w:color w:val="auto"/>
        </w:rPr>
        <w:t>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9465"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ind w:left="285"/>
        <w:spacing w:after="0"/>
        <w:rPr>
          <w:sz w:val="20"/>
          <w:szCs w:val="20"/>
          <w:color w:val="auto"/>
        </w:rPr>
      </w:pPr>
      <w:r>
        <w:rPr>
          <w:rFonts w:ascii="Arial" w:cs="Arial" w:eastAsia="Arial" w:hAnsi="Arial"/>
          <w:sz w:val="16"/>
          <w:szCs w:val="16"/>
          <w:color w:val="auto"/>
        </w:rPr>
        <w:t>Warrants outstanding</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56972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69720" cy="15240"/>
                    </a:xfrm>
                    <a:prstGeom prst="rect">
                      <a:avLst/>
                    </a:prstGeom>
                    <a:noFill/>
                  </pic:spPr>
                </pic:pic>
              </a:graphicData>
            </a:graphic>
          </wp:anchor>
        </w:drawing>
      </w:r>
    </w:p>
    <w:p>
      <w:pPr>
        <w:spacing w:after="0" w:line="5"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156972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69720" cy="15240"/>
                    </a:xfrm>
                    <a:prstGeom prst="rect">
                      <a:avLst/>
                    </a:prstGeom>
                    <a:noFill/>
                  </pic:spPr>
                </pic:pic>
              </a:graphicData>
            </a:graphic>
          </wp:anchor>
        </w:drawing>
      </w:r>
    </w:p>
    <w:p>
      <w:pPr>
        <w:spacing w:after="0" w:line="202" w:lineRule="exact"/>
        <w:rPr>
          <w:sz w:val="20"/>
          <w:szCs w:val="20"/>
          <w:color w:val="auto"/>
        </w:rPr>
      </w:pPr>
    </w:p>
    <w:p>
      <w:pPr>
        <w:spacing w:after="0"/>
        <w:tabs>
          <w:tab w:leader="none" w:pos="760" w:val="left"/>
          <w:tab w:leader="none" w:pos="1340" w:val="left"/>
          <w:tab w:leader="none" w:pos="20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1,780</w:t>
        <w:tab/>
        <w:t>$</w:t>
      </w:r>
      <w:r>
        <w:rPr>
          <w:sz w:val="20"/>
          <w:szCs w:val="20"/>
          <w:color w:val="auto"/>
        </w:rPr>
        <w:tab/>
      </w:r>
      <w:r>
        <w:rPr>
          <w:rFonts w:ascii="Arial" w:cs="Arial" w:eastAsia="Arial" w:hAnsi="Arial"/>
          <w:sz w:val="14"/>
          <w:szCs w:val="14"/>
          <w:color w:val="auto"/>
        </w:rPr>
        <w:t>(3,810)</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(61)</w:t>
      </w:r>
    </w:p>
    <w:p>
      <w:pPr>
        <w:spacing w:after="0" w:line="18" w:lineRule="exact"/>
        <w:rPr>
          <w:sz w:val="20"/>
          <w:szCs w:val="20"/>
          <w:color w:val="auto"/>
        </w:rPr>
      </w:pPr>
    </w:p>
    <w:p>
      <w:pPr>
        <w:spacing w:after="0"/>
        <w:tabs>
          <w:tab w:leader="none" w:pos="760" w:val="left"/>
          <w:tab w:leader="none" w:pos="1340" w:val="left"/>
          <w:tab w:leader="none" w:pos="20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1,780</w:t>
        <w:tab/>
        <w:t>$</w:t>
      </w:r>
      <w:r>
        <w:rPr>
          <w:sz w:val="20"/>
          <w:szCs w:val="20"/>
          <w:color w:val="auto"/>
        </w:rPr>
        <w:tab/>
      </w:r>
      <w:r>
        <w:rPr>
          <w:rFonts w:ascii="Arial" w:cs="Arial" w:eastAsia="Arial" w:hAnsi="Arial"/>
          <w:sz w:val="14"/>
          <w:szCs w:val="14"/>
          <w:color w:val="auto"/>
        </w:rPr>
        <w:t>(3,871</w:t>
      </w:r>
      <w:r>
        <w:rPr>
          <w:rFonts w:ascii="Arial" w:cs="Arial" w:eastAsia="Arial" w:hAnsi="Arial"/>
          <w:sz w:val="27"/>
          <w:szCs w:val="27"/>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56972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69720" cy="15240"/>
                    </a:xfrm>
                    <a:prstGeom prst="rect">
                      <a:avLst/>
                    </a:prstGeom>
                    <a:noFill/>
                  </pic:spPr>
                </pic:pic>
              </a:graphicData>
            </a:graphic>
          </wp:anchor>
        </w:drawing>
      </w:r>
    </w:p>
    <w:p>
      <w:pPr>
        <w:spacing w:after="0" w:line="178" w:lineRule="exact"/>
        <w:rPr>
          <w:sz w:val="20"/>
          <w:szCs w:val="20"/>
          <w:color w:val="auto"/>
        </w:rPr>
      </w:pPr>
    </w:p>
    <w:p>
      <w:pPr>
        <w:ind w:left="620"/>
        <w:spacing w:after="0"/>
        <w:tabs>
          <w:tab w:leader="none" w:pos="2020" w:val="left"/>
        </w:tabs>
        <w:rPr>
          <w:sz w:val="20"/>
          <w:szCs w:val="20"/>
          <w:color w:val="auto"/>
        </w:rPr>
      </w:pPr>
      <w:r>
        <w:rPr>
          <w:rFonts w:ascii="Arial" w:cs="Arial" w:eastAsia="Arial" w:hAnsi="Arial"/>
          <w:sz w:val="15"/>
          <w:szCs w:val="15"/>
          <w:color w:val="auto"/>
        </w:rPr>
        <w:t>122,946</w:t>
      </w:r>
      <w:r>
        <w:rPr>
          <w:sz w:val="20"/>
          <w:szCs w:val="20"/>
          <w:color w:val="auto"/>
        </w:rPr>
        <w:tab/>
      </w:r>
      <w:r>
        <w:rPr>
          <w:rFonts w:ascii="Arial" w:cs="Arial" w:eastAsia="Arial" w:hAnsi="Arial"/>
          <w:sz w:val="15"/>
          <w:szCs w:val="15"/>
          <w:color w:val="auto"/>
        </w:rPr>
        <w:t>57,841</w:t>
      </w:r>
    </w:p>
    <w:p>
      <w:pPr>
        <w:spacing w:after="0" w:line="206" w:lineRule="exact"/>
        <w:rPr>
          <w:sz w:val="20"/>
          <w:szCs w:val="20"/>
          <w:color w:val="auto"/>
        </w:rPr>
      </w:pPr>
    </w:p>
    <w:p>
      <w:pPr>
        <w:ind w:left="780"/>
        <w:spacing w:after="0"/>
        <w:tabs>
          <w:tab w:leader="none" w:pos="2280" w:val="left"/>
        </w:tabs>
        <w:rPr>
          <w:sz w:val="20"/>
          <w:szCs w:val="20"/>
          <w:color w:val="auto"/>
        </w:rPr>
      </w:pPr>
      <w:r>
        <w:rPr>
          <w:rFonts w:ascii="Arial" w:cs="Arial" w:eastAsia="Arial" w:hAnsi="Arial"/>
          <w:sz w:val="16"/>
          <w:szCs w:val="16"/>
          <w:color w:val="auto"/>
        </w:rPr>
        <w:t>4,807</w:t>
      </w:r>
      <w:r>
        <w:rPr>
          <w:sz w:val="20"/>
          <w:szCs w:val="20"/>
          <w:color w:val="auto"/>
        </w:rPr>
        <w:tab/>
      </w:r>
      <w:r>
        <w:rPr>
          <w:rFonts w:ascii="Arial" w:cs="Arial" w:eastAsia="Arial" w:hAnsi="Arial"/>
          <w:sz w:val="16"/>
          <w:szCs w:val="16"/>
          <w:color w:val="auto"/>
        </w:rPr>
        <w:t>—</w:t>
      </w:r>
    </w:p>
    <w:p>
      <w:pPr>
        <w:spacing w:after="0" w:line="17" w:lineRule="exact"/>
        <w:rPr>
          <w:sz w:val="20"/>
          <w:szCs w:val="20"/>
          <w:color w:val="auto"/>
        </w:rPr>
      </w:pPr>
    </w:p>
    <w:p>
      <w:pPr>
        <w:ind w:left="780"/>
        <w:spacing w:after="0"/>
        <w:tabs>
          <w:tab w:leader="none" w:pos="2280" w:val="left"/>
        </w:tabs>
        <w:rPr>
          <w:sz w:val="20"/>
          <w:szCs w:val="20"/>
          <w:color w:val="auto"/>
        </w:rPr>
      </w:pPr>
      <w:r>
        <w:rPr>
          <w:rFonts w:ascii="Arial" w:cs="Arial" w:eastAsia="Arial" w:hAnsi="Arial"/>
          <w:sz w:val="16"/>
          <w:szCs w:val="16"/>
          <w:color w:val="auto"/>
        </w:rPr>
        <w:t>1,292</w:t>
      </w:r>
      <w:r>
        <w:rPr>
          <w:sz w:val="20"/>
          <w:szCs w:val="20"/>
          <w:color w:val="auto"/>
        </w:rPr>
        <w:tab/>
      </w:r>
      <w:r>
        <w:rPr>
          <w:rFonts w:ascii="Arial" w:cs="Arial" w:eastAsia="Arial" w:hAnsi="Arial"/>
          <w:sz w:val="16"/>
          <w:szCs w:val="16"/>
          <w:color w:val="auto"/>
        </w:rPr>
        <w:t>—</w:t>
      </w:r>
    </w:p>
    <w:p>
      <w:pPr>
        <w:spacing w:after="0" w:line="1" w:lineRule="exact"/>
        <w:rPr>
          <w:sz w:val="20"/>
          <w:szCs w:val="20"/>
          <w:color w:val="auto"/>
        </w:rPr>
      </w:pPr>
    </w:p>
    <w:p>
      <w:pPr>
        <w:sectPr>
          <w:pgSz w:w="11900" w:h="16838" w:orient="portrait"/>
          <w:cols w:equalWidth="0" w:num="2">
            <w:col w:w="7965" w:space="720"/>
            <w:col w:w="2580"/>
          </w:cols>
          <w:pgMar w:left="315" w:top="789" w:right="319" w:bottom="1440" w:gutter="0" w:footer="0" w:header="0"/>
        </w:sectPr>
      </w:pPr>
    </w:p>
    <w:tbl>
      <w:tblPr>
        <w:tblLayout w:type="fixed"/>
        <w:tblInd w:w="5" w:type="dxa"/>
        <w:tblCellMar>
          <w:top w:w="0" w:type="dxa"/>
          <w:left w:w="0" w:type="dxa"/>
          <w:bottom w:w="0" w:type="dxa"/>
          <w:right w:w="0" w:type="dxa"/>
        </w:tblCellMar>
      </w:tblPr>
      <w:tr>
        <w:trPr>
          <w:trHeight w:val="56"/>
        </w:trPr>
        <w:tc>
          <w:tcPr>
            <w:tcW w:w="20" w:type="dxa"/>
            <w:vAlign w:val="bottom"/>
          </w:tcPr>
          <w:p>
            <w:pPr>
              <w:spacing w:after="0"/>
              <w:rPr>
                <w:sz w:val="4"/>
                <w:szCs w:val="4"/>
                <w:color w:val="auto"/>
              </w:rPr>
            </w:pPr>
          </w:p>
        </w:tc>
        <w:tc>
          <w:tcPr>
            <w:tcW w:w="6780" w:type="dxa"/>
            <w:vAlign w:val="bottom"/>
            <w:vMerge w:val="restart"/>
            <w:shd w:val="clear" w:color="auto" w:fill="CCEEFF"/>
          </w:tcPr>
          <w:p>
            <w:pPr>
              <w:spacing w:after="0" w:line="290" w:lineRule="exact"/>
              <w:rPr>
                <w:sz w:val="20"/>
                <w:szCs w:val="20"/>
                <w:color w:val="auto"/>
              </w:rPr>
            </w:pPr>
            <w:r>
              <w:rPr>
                <w:rFonts w:ascii="Arial" w:cs="Arial" w:eastAsia="Arial" w:hAnsi="Arial"/>
                <w:sz w:val="16"/>
                <w:szCs w:val="16"/>
                <w:color w:val="auto"/>
              </w:rPr>
              <w:t xml:space="preserve">Weighted-average common shares outstanding – diluted </w:t>
            </w:r>
            <w:r>
              <w:rPr>
                <w:rFonts w:ascii="Arial" w:cs="Arial" w:eastAsia="Arial" w:hAnsi="Arial"/>
                <w:sz w:val="26"/>
                <w:szCs w:val="26"/>
                <w:color w:val="auto"/>
                <w:vertAlign w:val="superscript"/>
              </w:rPr>
              <w:t>(1)</w:t>
            </w:r>
          </w:p>
        </w:tc>
        <w:tc>
          <w:tcPr>
            <w:tcW w:w="1880" w:type="dxa"/>
            <w:vAlign w:val="bottom"/>
            <w:shd w:val="clear" w:color="auto" w:fill="CCEEFF"/>
          </w:tcPr>
          <w:p>
            <w:pPr>
              <w:spacing w:after="0"/>
              <w:rPr>
                <w:sz w:val="4"/>
                <w:szCs w:val="4"/>
                <w:color w:val="auto"/>
              </w:rPr>
            </w:pPr>
          </w:p>
        </w:tc>
        <w:tc>
          <w:tcPr>
            <w:tcW w:w="340" w:type="dxa"/>
            <w:vAlign w:val="bottom"/>
            <w:shd w:val="clear" w:color="auto" w:fill="000000"/>
          </w:tcPr>
          <w:p>
            <w:pPr>
              <w:spacing w:after="0"/>
              <w:rPr>
                <w:sz w:val="4"/>
                <w:szCs w:val="4"/>
                <w:color w:val="auto"/>
              </w:rPr>
            </w:pPr>
          </w:p>
        </w:tc>
        <w:tc>
          <w:tcPr>
            <w:tcW w:w="800" w:type="dxa"/>
            <w:vAlign w:val="bottom"/>
            <w:shd w:val="clear" w:color="auto" w:fill="000000"/>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80" w:type="dxa"/>
            <w:vAlign w:val="bottom"/>
            <w:shd w:val="clear" w:color="auto" w:fill="000000"/>
          </w:tcPr>
          <w:p>
            <w:pPr>
              <w:spacing w:after="0"/>
              <w:rPr>
                <w:sz w:val="4"/>
                <w:szCs w:val="4"/>
                <w:color w:val="auto"/>
              </w:rPr>
            </w:pPr>
          </w:p>
        </w:tc>
        <w:tc>
          <w:tcPr>
            <w:tcW w:w="720" w:type="dxa"/>
            <w:vAlign w:val="bottom"/>
            <w:shd w:val="clear" w:color="auto" w:fill="000000"/>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80" w:type="dxa"/>
            <w:vAlign w:val="bottom"/>
            <w:vMerge w:val="continue"/>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57,841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bottom w:val="single" w:sz="8" w:color="CCEEFF"/>
            </w:tcBorders>
            <w:vMerge w:val="restart"/>
          </w:tcPr>
          <w:p>
            <w:pPr>
              <w:spacing w:after="0" w:line="260" w:lineRule="exact"/>
              <w:rPr>
                <w:sz w:val="20"/>
                <w:szCs w:val="20"/>
                <w:color w:val="auto"/>
              </w:rPr>
            </w:pPr>
            <w:r>
              <w:rPr>
                <w:rFonts w:ascii="Arial" w:cs="Arial" w:eastAsia="Arial" w:hAnsi="Arial"/>
                <w:sz w:val="16"/>
                <w:szCs w:val="16"/>
                <w:color w:val="auto"/>
              </w:rPr>
              <w:t xml:space="preserve">Net income (loss) per share attributable to Common Stockholders – basic </w:t>
            </w:r>
            <w:r>
              <w:rPr>
                <w:rFonts w:ascii="Arial" w:cs="Arial" w:eastAsia="Arial" w:hAnsi="Arial"/>
                <w:sz w:val="26"/>
                <w:szCs w:val="26"/>
                <w:color w:val="auto"/>
                <w:vertAlign w:val="superscript"/>
              </w:rPr>
              <w:t>(1)</w:t>
            </w:r>
          </w:p>
        </w:tc>
        <w:tc>
          <w:tcPr>
            <w:tcW w:w="1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780" w:type="dxa"/>
            <w:vAlign w:val="bottom"/>
            <w:vMerge w:val="continue"/>
          </w:tcPr>
          <w:p>
            <w:pPr>
              <w:spacing w:after="0"/>
              <w:rPr>
                <w:sz w:val="21"/>
                <w:szCs w:val="21"/>
                <w:color w:val="auto"/>
              </w:rPr>
            </w:pPr>
          </w:p>
        </w:tc>
        <w:tc>
          <w:tcPr>
            <w:tcW w:w="2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14.48</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(65.87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vMerge w:val="restart"/>
            <w:shd w:val="clear" w:color="auto" w:fill="CCEEFF"/>
          </w:tcPr>
          <w:p>
            <w:pPr>
              <w:spacing w:after="0" w:line="240" w:lineRule="exact"/>
              <w:rPr>
                <w:sz w:val="20"/>
                <w:szCs w:val="20"/>
                <w:color w:val="auto"/>
              </w:rPr>
            </w:pPr>
            <w:r>
              <w:rPr>
                <w:rFonts w:ascii="Arial" w:cs="Arial" w:eastAsia="Arial" w:hAnsi="Arial"/>
                <w:sz w:val="16"/>
                <w:szCs w:val="16"/>
                <w:color w:val="auto"/>
              </w:rPr>
              <w:t xml:space="preserve">Net income (loss) per share attributable to Common Stockholders – diluted </w:t>
            </w:r>
            <w:r>
              <w:rPr>
                <w:rFonts w:ascii="Arial" w:cs="Arial" w:eastAsia="Arial" w:hAnsi="Arial"/>
                <w:sz w:val="26"/>
                <w:szCs w:val="26"/>
                <w:color w:val="auto"/>
                <w:vertAlign w:val="superscript"/>
              </w:rPr>
              <w:t>(1)</w:t>
            </w: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780" w:type="dxa"/>
            <w:vAlign w:val="bottom"/>
            <w:vMerge w:val="continue"/>
            <w:shd w:val="clear" w:color="auto" w:fill="CCEEFF"/>
          </w:tcPr>
          <w:p>
            <w:pPr>
              <w:spacing w:after="0"/>
              <w:rPr>
                <w:sz w:val="19"/>
                <w:szCs w:val="19"/>
                <w:color w:val="auto"/>
              </w:rPr>
            </w:pPr>
          </w:p>
        </w:tc>
        <w:tc>
          <w:tcPr>
            <w:tcW w:w="22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13.79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(65.87</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5" w:right="40" w:hanging="285"/>
        <w:spacing w:after="0" w:line="257" w:lineRule="auto"/>
        <w:tabs>
          <w:tab w:leader="none" w:pos="2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Periods presented have been adjusted to reflect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166" w:lineRule="exact"/>
        <w:rPr>
          <w:sz w:val="20"/>
          <w:szCs w:val="20"/>
          <w:color w:val="auto"/>
        </w:rPr>
      </w:pPr>
    </w:p>
    <w:p>
      <w:pPr>
        <w:ind w:left="5" w:right="440" w:firstLine="284"/>
        <w:spacing w:after="0" w:line="263" w:lineRule="auto"/>
        <w:rPr>
          <w:sz w:val="20"/>
          <w:szCs w:val="20"/>
          <w:color w:val="auto"/>
        </w:rPr>
      </w:pPr>
      <w:r>
        <w:rPr>
          <w:rFonts w:ascii="Arial" w:cs="Arial" w:eastAsia="Arial" w:hAnsi="Arial"/>
          <w:sz w:val="16"/>
          <w:szCs w:val="16"/>
          <w:color w:val="auto"/>
        </w:rPr>
        <w:t>As of March 31, 2021, the Company excluded the following securities from net loss per share as the effect of including them would have been anti-dilutive. The shares shown represent the number of shares of Common Stock which would be issued upon conversion in the period shown below:  </w:t>
      </w:r>
    </w:p>
    <w:p>
      <w:pPr>
        <w:spacing w:after="0" w:line="166"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002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March 31,</w:t>
            </w:r>
          </w:p>
        </w:tc>
      </w:tr>
      <w:tr>
        <w:trPr>
          <w:trHeight w:val="209"/>
        </w:trPr>
        <w:tc>
          <w:tcPr>
            <w:tcW w:w="100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r>
      <w:tr>
        <w:trPr>
          <w:trHeight w:val="189"/>
        </w:trPr>
        <w:tc>
          <w:tcPr>
            <w:tcW w:w="10020" w:type="dxa"/>
            <w:vAlign w:val="bottom"/>
            <w:shd w:val="clear" w:color="auto" w:fill="CCEEFF"/>
          </w:tcPr>
          <w:p>
            <w:pPr>
              <w:spacing w:after="0"/>
              <w:rPr>
                <w:sz w:val="20"/>
                <w:szCs w:val="20"/>
                <w:color w:val="auto"/>
              </w:rPr>
            </w:pPr>
            <w:r>
              <w:rPr>
                <w:rFonts w:ascii="Arial" w:cs="Arial" w:eastAsia="Arial" w:hAnsi="Arial"/>
                <w:sz w:val="16"/>
                <w:szCs w:val="16"/>
                <w:color w:val="auto"/>
              </w:rPr>
              <w:t>Options outstanding</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19,395</w:t>
            </w:r>
          </w:p>
        </w:tc>
        <w:tc>
          <w:tcPr>
            <w:tcW w:w="120" w:type="dxa"/>
            <w:vAlign w:val="bottom"/>
            <w:shd w:val="clear" w:color="auto" w:fill="CCEEFF"/>
          </w:tcPr>
          <w:p>
            <w:pPr>
              <w:spacing w:after="0"/>
              <w:rPr>
                <w:sz w:val="16"/>
                <w:szCs w:val="16"/>
                <w:color w:val="auto"/>
              </w:rPr>
            </w:pPr>
          </w:p>
        </w:tc>
      </w:tr>
      <w:tr>
        <w:trPr>
          <w:trHeight w:val="201"/>
        </w:trPr>
        <w:tc>
          <w:tcPr>
            <w:tcW w:w="10020" w:type="dxa"/>
            <w:vAlign w:val="bottom"/>
          </w:tcPr>
          <w:p>
            <w:pPr>
              <w:spacing w:after="0"/>
              <w:rPr>
                <w:sz w:val="20"/>
                <w:szCs w:val="20"/>
                <w:color w:val="auto"/>
              </w:rPr>
            </w:pPr>
            <w:r>
              <w:rPr>
                <w:rFonts w:ascii="Arial" w:cs="Arial" w:eastAsia="Arial" w:hAnsi="Arial"/>
                <w:sz w:val="16"/>
                <w:szCs w:val="16"/>
                <w:color w:val="auto"/>
              </w:rPr>
              <w:t>Warrants outstanding</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4,830</w:t>
            </w:r>
          </w:p>
        </w:tc>
      </w:tr>
      <w:tr>
        <w:trPr>
          <w:trHeight w:val="24"/>
        </w:trPr>
        <w:tc>
          <w:tcPr>
            <w:tcW w:w="100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7"/>
        </w:trPr>
        <w:tc>
          <w:tcPr>
            <w:tcW w:w="100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24,225</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Note 22 — Commitments and Contingencies</w:t>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Leases</w:t>
      </w:r>
    </w:p>
    <w:p>
      <w:pPr>
        <w:spacing w:after="0" w:line="194" w:lineRule="exact"/>
        <w:rPr>
          <w:sz w:val="20"/>
          <w:szCs w:val="20"/>
          <w:color w:val="auto"/>
        </w:rPr>
      </w:pPr>
    </w:p>
    <w:p>
      <w:pPr>
        <w:ind w:left="5" w:right="60" w:firstLine="284"/>
        <w:spacing w:after="0" w:line="301" w:lineRule="auto"/>
        <w:rPr>
          <w:sz w:val="20"/>
          <w:szCs w:val="20"/>
          <w:color w:val="auto"/>
        </w:rPr>
      </w:pPr>
      <w:r>
        <w:rPr>
          <w:rFonts w:ascii="Arial" w:cs="Arial" w:eastAsia="Arial" w:hAnsi="Arial"/>
          <w:sz w:val="14"/>
          <w:szCs w:val="14"/>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condensed consolidated balance sheets.</w:t>
      </w:r>
    </w:p>
    <w:p>
      <w:pPr>
        <w:spacing w:after="0" w:line="138" w:lineRule="exact"/>
        <w:rPr>
          <w:sz w:val="20"/>
          <w:szCs w:val="20"/>
          <w:color w:val="auto"/>
        </w:rPr>
      </w:pPr>
    </w:p>
    <w:p>
      <w:pPr>
        <w:ind w:left="5" w:right="300" w:firstLine="284"/>
        <w:spacing w:after="0" w:line="268" w:lineRule="auto"/>
        <w:rPr>
          <w:sz w:val="20"/>
          <w:szCs w:val="20"/>
          <w:color w:val="auto"/>
        </w:rPr>
      </w:pPr>
      <w:r>
        <w:rPr>
          <w:rFonts w:ascii="Arial" w:cs="Arial" w:eastAsia="Arial" w:hAnsi="Arial"/>
          <w:sz w:val="16"/>
          <w:szCs w:val="16"/>
          <w:color w:val="auto"/>
        </w:rPr>
        <w:t>As the implicit interest rate in its leases was generally not known, the Company’s used its incremental borrowing rate as the discount rate for purposes of determining the present value of its lease liabilities. At March 31, 2022, the Company’s weighted-average discount rate utilized for its leases was 7.32%.</w:t>
      </w:r>
    </w:p>
    <w:p>
      <w:pPr>
        <w:spacing w:after="0" w:line="34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946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9" w:right="319" w:bottom="1440" w:gutter="0" w:footer="0" w:header="0"/>
          <w:type w:val="continuous"/>
        </w:sectPr>
      </w:pPr>
    </w:p>
    <w:bookmarkStart w:id="52" w:name="page53"/>
    <w:bookmarkEnd w:id="52"/>
    <w:p>
      <w:pPr>
        <w:ind w:left="280"/>
        <w:spacing w:after="0"/>
        <w:rPr>
          <w:sz w:val="20"/>
          <w:szCs w:val="20"/>
          <w:color w:val="auto"/>
        </w:rPr>
      </w:pPr>
      <w:r>
        <w:rPr>
          <w:rFonts w:ascii="Arial" w:cs="Arial" w:eastAsia="Arial" w:hAnsi="Arial"/>
          <w:sz w:val="16"/>
          <w:szCs w:val="16"/>
          <w:color w:val="auto"/>
        </w:rPr>
        <w:t>When a contract contained lease and non-lease elements, both were accounted as a single lease component.</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Company had several non-cancellable finance leases for machinery and equipment. The Company’s finance leases have remaining lease terms of one year to five years.</w:t>
      </w:r>
    </w:p>
    <w:p>
      <w:pPr>
        <w:spacing w:after="0" w:line="217"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The Company had several non-cancellable operating leases for corporate offices, warehouses, showrooms, research and development facilities and vehicles. The Company’s leases have remaining lease terms of one year to five years, some of which include options to extend. Some leases include payment for common area maintenance associated with the property.</w:t>
      </w:r>
    </w:p>
    <w:p>
      <w:pPr>
        <w:sectPr>
          <w:pgSz w:w="11900" w:h="16838" w:orient="portrait"/>
          <w:cols w:equalWidth="0" w:num="1">
            <w:col w:w="11240"/>
          </w:cols>
          <w:pgMar w:left="320" w:top="789" w:right="339" w:bottom="1440" w:gutter="0" w:footer="0" w:header="0"/>
        </w:sectPr>
      </w:pPr>
    </w:p>
    <w:p>
      <w:pPr>
        <w:spacing w:after="0" w:line="16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Additional information on the Company’s lease activity, for the three months ended March 31, 2022 and 2021, is as follows: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49465" cy="135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lease cost:</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Amortization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49465"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Interest on lease liabilities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49465" cy="135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Total lease cost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remaining lease term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49465" cy="1276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Weighted-average remaining lease term – finance leases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discount rate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49465"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Weighted-average discount rate – finance leases</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543687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36870"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49465"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49465"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Operating lease liabilities, non-current</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49465" cy="157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5748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Finance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49465"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Finance lease liabilities, non-current</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149465" cy="157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57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March 31,</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r>
      <w:tr>
        <w:trPr>
          <w:trHeight w:val="35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45</w:t>
            </w:r>
          </w:p>
        </w:tc>
      </w:tr>
      <w:tr>
        <w:trPr>
          <w:trHeight w:val="200"/>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206"/>
        </w:trPr>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311</w:t>
            </w: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71</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March 31,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March 31,</w:t>
            </w:r>
          </w:p>
        </w:tc>
      </w:tr>
      <w:tr>
        <w:trPr>
          <w:trHeight w:val="209"/>
        </w:trPr>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7"/>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ind w:left="300"/>
              <w:spacing w:after="0" w:line="177" w:lineRule="exact"/>
              <w:rPr>
                <w:sz w:val="20"/>
                <w:szCs w:val="20"/>
                <w:color w:val="auto"/>
              </w:rPr>
            </w:pPr>
            <w:r>
              <w:rPr>
                <w:rFonts w:ascii="Arial" w:cs="Arial" w:eastAsia="Arial" w:hAnsi="Arial"/>
                <w:sz w:val="16"/>
                <w:szCs w:val="16"/>
                <w:color w:val="auto"/>
                <w:w w:val="85"/>
              </w:rPr>
              <w:t>2.27 years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ind w:left="340"/>
              <w:spacing w:after="0" w:line="177" w:lineRule="exact"/>
              <w:rPr>
                <w:sz w:val="20"/>
                <w:szCs w:val="20"/>
                <w:color w:val="auto"/>
              </w:rPr>
            </w:pPr>
            <w:r>
              <w:rPr>
                <w:rFonts w:ascii="Arial" w:cs="Arial" w:eastAsia="Arial" w:hAnsi="Arial"/>
                <w:sz w:val="16"/>
                <w:szCs w:val="16"/>
                <w:color w:val="auto"/>
                <w:w w:val="85"/>
              </w:rPr>
              <w:t>1.81 years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ind w:left="300"/>
              <w:spacing w:after="0"/>
              <w:rPr>
                <w:sz w:val="20"/>
                <w:szCs w:val="20"/>
                <w:color w:val="auto"/>
              </w:rPr>
            </w:pPr>
            <w:r>
              <w:rPr>
                <w:rFonts w:ascii="Arial" w:cs="Arial" w:eastAsia="Arial" w:hAnsi="Arial"/>
                <w:sz w:val="16"/>
                <w:szCs w:val="16"/>
                <w:color w:val="auto"/>
              </w:rPr>
              <w:t>2.78 years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3"/>
          </w:tcPr>
          <w:p>
            <w:pPr>
              <w:ind w:left="340"/>
              <w:spacing w:after="0"/>
              <w:rPr>
                <w:sz w:val="20"/>
                <w:szCs w:val="20"/>
                <w:color w:val="auto"/>
              </w:rPr>
            </w:pPr>
            <w:r>
              <w:rPr>
                <w:rFonts w:ascii="Arial" w:cs="Arial" w:eastAsia="Arial" w:hAnsi="Arial"/>
                <w:sz w:val="16"/>
                <w:szCs w:val="16"/>
                <w:color w:val="auto"/>
              </w:rPr>
              <w:t>3.73 years</w:t>
            </w:r>
          </w:p>
        </w:tc>
      </w:tr>
      <w:tr>
        <w:trPr>
          <w:trHeight w:val="189"/>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6.63%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8.13%</w:t>
            </w:r>
          </w:p>
        </w:tc>
      </w:tr>
      <w:tr>
        <w:trPr>
          <w:trHeight w:val="200"/>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8.01%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8.10%</w:t>
            </w:r>
          </w:p>
        </w:tc>
      </w:tr>
      <w:tr>
        <w:trPr>
          <w:trHeight w:val="363"/>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December 31,</w:t>
            </w:r>
          </w:p>
        </w:tc>
      </w:tr>
      <w:tr>
        <w:trPr>
          <w:trHeight w:val="209"/>
        </w:trPr>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377"/>
        </w:trPr>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1,962</w:t>
            </w:r>
          </w:p>
        </w:tc>
        <w:tc>
          <w:tcPr>
            <w:tcW w:w="1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911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24"/>
                <w:szCs w:val="24"/>
                <w:color w:val="auto"/>
              </w:rPr>
            </w:pPr>
          </w:p>
        </w:tc>
      </w:tr>
      <w:tr>
        <w:trPr>
          <w:trHeight w:val="206"/>
        </w:trPr>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689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7"/>
                <w:szCs w:val="17"/>
                <w:color w:val="auto"/>
              </w:rPr>
            </w:pPr>
          </w:p>
        </w:tc>
      </w:tr>
      <w:tr>
        <w:trPr>
          <w:trHeight w:val="217"/>
        </w:trPr>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1,600</w:t>
            </w:r>
          </w:p>
        </w:tc>
        <w:tc>
          <w:tcPr>
            <w:tcW w:w="1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3"/>
        </w:trPr>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182</w:t>
            </w:r>
          </w:p>
        </w:tc>
        <w:tc>
          <w:tcPr>
            <w:tcW w:w="1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4"/>
                <w:szCs w:val="24"/>
                <w:color w:val="auto"/>
              </w:rPr>
            </w:pPr>
          </w:p>
        </w:tc>
      </w:tr>
      <w:tr>
        <w:trPr>
          <w:trHeight w:val="206"/>
        </w:trPr>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275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7"/>
                <w:szCs w:val="17"/>
                <w:color w:val="auto"/>
              </w:rPr>
            </w:pPr>
          </w:p>
        </w:tc>
      </w:tr>
      <w:tr>
        <w:trPr>
          <w:trHeight w:val="217"/>
        </w:trPr>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457</w:t>
            </w:r>
          </w:p>
        </w:tc>
        <w:tc>
          <w:tcPr>
            <w:tcW w:w="1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20" w:space="520"/>
            <w:col w:w="2600"/>
          </w:cols>
          <w:pgMar w:left="320" w:top="789" w:right="339" w:bottom="1440" w:gutter="0" w:footer="0" w:header="0"/>
          <w:type w:val="continuous"/>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714946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8540" w:type="dxa"/>
            <w:vAlign w:val="bottom"/>
          </w:tcPr>
          <w:p>
            <w:pPr>
              <w:ind w:left="260"/>
              <w:spacing w:after="0"/>
              <w:rPr>
                <w:sz w:val="20"/>
                <w:szCs w:val="20"/>
                <w:color w:val="auto"/>
              </w:rPr>
            </w:pPr>
            <w:r>
              <w:rPr>
                <w:rFonts w:ascii="Arial" w:cs="Arial" w:eastAsia="Arial" w:hAnsi="Arial"/>
                <w:sz w:val="16"/>
                <w:szCs w:val="16"/>
                <w:color w:val="auto"/>
              </w:rPr>
              <w:t>Maturities of operating and finance lease liabilities as of March 31, 2022 are as follows: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41"/>
              <w:spacing w:after="0"/>
              <w:rPr>
                <w:sz w:val="20"/>
                <w:szCs w:val="20"/>
                <w:color w:val="auto"/>
              </w:rPr>
            </w:pPr>
            <w:r>
              <w:rPr>
                <w:rFonts w:ascii="Arial" w:cs="Arial" w:eastAsia="Arial" w:hAnsi="Arial"/>
                <w:sz w:val="16"/>
                <w:szCs w:val="16"/>
                <w:b w:val="1"/>
                <w:bCs w:val="1"/>
                <w:color w:val="auto"/>
                <w:w w:val="89"/>
              </w:rPr>
              <w:t>Operating</w:t>
            </w:r>
          </w:p>
        </w:tc>
        <w:tc>
          <w:tcPr>
            <w:tcW w:w="180" w:type="dxa"/>
            <w:vAlign w:val="bottom"/>
          </w:tcPr>
          <w:p>
            <w:pPr>
              <w:spacing w:after="0"/>
              <w:rPr>
                <w:sz w:val="24"/>
                <w:szCs w:val="2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9"/>
              </w:rPr>
              <w:t>Finance</w:t>
            </w:r>
          </w:p>
        </w:tc>
        <w:tc>
          <w:tcPr>
            <w:tcW w:w="0" w:type="dxa"/>
            <w:vAlign w:val="bottom"/>
          </w:tcPr>
          <w:p>
            <w:pPr>
              <w:spacing w:after="0"/>
              <w:rPr>
                <w:sz w:val="1"/>
                <w:szCs w:val="1"/>
                <w:color w:val="auto"/>
              </w:rPr>
            </w:pPr>
          </w:p>
        </w:tc>
      </w:tr>
      <w:tr>
        <w:trPr>
          <w:trHeight w:val="209"/>
        </w:trPr>
        <w:tc>
          <w:tcPr>
            <w:tcW w:w="856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 (In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1"/>
              <w:spacing w:after="0"/>
              <w:rPr>
                <w:sz w:val="20"/>
                <w:szCs w:val="20"/>
                <w:color w:val="auto"/>
              </w:rPr>
            </w:pPr>
            <w:r>
              <w:rPr>
                <w:rFonts w:ascii="Arial" w:cs="Arial" w:eastAsia="Arial" w:hAnsi="Arial"/>
                <w:sz w:val="16"/>
                <w:szCs w:val="16"/>
                <w:b w:val="1"/>
                <w:bCs w:val="1"/>
                <w:color w:val="auto"/>
                <w:w w:val="79"/>
              </w:rPr>
              <w:t>lease</w:t>
            </w:r>
          </w:p>
        </w:tc>
        <w:tc>
          <w:tcPr>
            <w:tcW w:w="18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4"/>
              </w:rPr>
              <w:t>lease</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Remaining 2022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705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40" w:type="dxa"/>
            <w:vAlign w:val="bottom"/>
          </w:tcPr>
          <w:p>
            <w:pPr>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6"/>
                <w:szCs w:val="16"/>
                <w:color w:val="auto"/>
              </w:rPr>
              <w:t>606</w:t>
            </w:r>
          </w:p>
        </w:tc>
        <w:tc>
          <w:tcPr>
            <w:tcW w:w="1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250</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40" w:type="dxa"/>
            <w:vAlign w:val="bottom"/>
          </w:tcPr>
          <w:p>
            <w:pPr>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81"/>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63</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540" w:type="dxa"/>
            <w:vAlign w:val="bottom"/>
            <w:tcBorders>
              <w:top w:val="single" w:sz="8" w:color="CCEEFF"/>
              <w:bottom w:val="single" w:sz="8" w:color="CCEEFF"/>
            </w:tcBorders>
          </w:tcPr>
          <w:p>
            <w:pPr>
              <w:ind w:left="120"/>
              <w:spacing w:after="0" w:line="173" w:lineRule="exact"/>
              <w:rPr>
                <w:sz w:val="20"/>
                <w:szCs w:val="20"/>
                <w:color w:val="auto"/>
              </w:rPr>
            </w:pPr>
            <w:r>
              <w:rPr>
                <w:rFonts w:ascii="Arial" w:cs="Arial" w:eastAsia="Arial" w:hAnsi="Arial"/>
                <w:sz w:val="16"/>
                <w:szCs w:val="16"/>
                <w:color w:val="auto"/>
              </w:rPr>
              <w:t>Total minimum lease payments</w:t>
            </w:r>
          </w:p>
        </w:tc>
        <w:tc>
          <w:tcPr>
            <w:tcW w:w="12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1,731</w:t>
            </w:r>
          </w:p>
        </w:tc>
        <w:tc>
          <w:tcPr>
            <w:tcW w:w="2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515</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imputed interest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2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8"/>
                <w:szCs w:val="8"/>
                <w:color w:val="auto"/>
                <w:w w:val="73"/>
              </w:rPr>
              <w:t>)</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tcPr>
          <w:p>
            <w:pPr>
              <w:ind w:left="120"/>
              <w:spacing w:after="0" w:line="181" w:lineRule="exact"/>
              <w:rPr>
                <w:sz w:val="20"/>
                <w:szCs w:val="20"/>
                <w:color w:val="auto"/>
              </w:rPr>
            </w:pPr>
            <w:r>
              <w:rPr>
                <w:rFonts w:ascii="Arial" w:cs="Arial" w:eastAsia="Arial" w:hAnsi="Arial"/>
                <w:sz w:val="16"/>
                <w:szCs w:val="16"/>
                <w:color w:val="auto"/>
              </w:rPr>
              <w:t>Total lease liabilities</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1"/>
              <w:spacing w:after="0"/>
              <w:rPr>
                <w:sz w:val="20"/>
                <w:szCs w:val="20"/>
                <w:color w:val="auto"/>
              </w:rPr>
            </w:pPr>
            <w:r>
              <w:rPr>
                <w:rFonts w:ascii="Arial" w:cs="Arial" w:eastAsia="Arial" w:hAnsi="Arial"/>
                <w:sz w:val="16"/>
                <w:szCs w:val="16"/>
                <w:color w:val="auto"/>
              </w:rPr>
              <w:t>1,600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94" w:lineRule="exact"/>
        <w:rPr>
          <w:sz w:val="20"/>
          <w:szCs w:val="20"/>
          <w:color w:val="auto"/>
        </w:rPr>
      </w:pPr>
    </w:p>
    <w:p>
      <w:pPr>
        <w:ind w:right="60" w:firstLine="284"/>
        <w:spacing w:after="0" w:line="250" w:lineRule="auto"/>
        <w:rPr>
          <w:sz w:val="20"/>
          <w:szCs w:val="20"/>
          <w:color w:val="auto"/>
        </w:rPr>
      </w:pPr>
      <w:r>
        <w:rPr>
          <w:rFonts w:ascii="Arial" w:cs="Arial" w:eastAsia="Arial" w:hAnsi="Arial"/>
          <w:sz w:val="16"/>
          <w:szCs w:val="16"/>
          <w:color w:val="auto"/>
        </w:rPr>
        <w:t>On January 5, 2021, the Company received a demand letter from Nicholas Cooper and Richard Weinstein, (two of the Company’s former employees), and one of Mr. Cooper’s affiliated entities, asserting that Messrs. Cooper and Weinstein were entitled to compensation arising out of their employment by the Company, and their partial ownership of TriGrow Systems, LLC which had been acquired by the Company. The demand letter asserts that Messrs. Cooper and Weinstein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w:t>
      </w:r>
    </w:p>
    <w:p>
      <w:pPr>
        <w:spacing w:after="0" w:line="172" w:lineRule="exact"/>
        <w:rPr>
          <w:sz w:val="20"/>
          <w:szCs w:val="20"/>
          <w:color w:val="auto"/>
        </w:rPr>
      </w:pPr>
    </w:p>
    <w:p>
      <w:pPr>
        <w:ind w:right="80" w:firstLine="284"/>
        <w:spacing w:after="0" w:line="269" w:lineRule="auto"/>
        <w:rPr>
          <w:sz w:val="20"/>
          <w:szCs w:val="20"/>
          <w:color w:val="auto"/>
        </w:rPr>
      </w:pPr>
      <w:r>
        <w:rPr>
          <w:rFonts w:ascii="Arial" w:cs="Arial" w:eastAsia="Arial" w:hAnsi="Arial"/>
          <w:sz w:val="15"/>
          <w:szCs w:val="15"/>
          <w:color w:val="auto"/>
        </w:rPr>
        <w:t>On January 19, 2021, Messrs. Cooper and Weinstein filed a lawsuit against the Company in the United States District Court for the Western District of Washington, alleging the same claims made in their demand letter based on the facts disclosed above. The plaintiffs are seeking relief in the form of monetary damages in an amount to be determined. Messrs. Cooper and Weinstein are also seeking relief in the form of reinstatement and Mr. Weinstein is seeking rescission of his previously executed Release of Claims Agreement. On March 10, 2021, the Company moved to dismiss all Messrs. Cooper and Weinstein’s claims, asserting that the claims failed to allege legal grounds for relief. On May 12, 2021, a Magistrate issued a preliminary Report and Recommendation, which recommended dismissal of certain of Messrs. Cooper and Weinstein’s claims, and recommended others for additional factual discovery. On July 27, 2021, a District Judge entered an order partially adopting the Report and Recommendation, dismissing one claim with prejudice, dismissing a second claim with leave to amend, and permitting the remaining claims to proceed.</w:t>
      </w:r>
    </w:p>
    <w:p>
      <w:pPr>
        <w:spacing w:after="0" w:line="161" w:lineRule="exact"/>
        <w:rPr>
          <w:sz w:val="20"/>
          <w:szCs w:val="20"/>
          <w:color w:val="auto"/>
        </w:rPr>
      </w:pPr>
    </w:p>
    <w:p>
      <w:pPr>
        <w:ind w:right="80" w:firstLine="284"/>
        <w:spacing w:after="0" w:line="273" w:lineRule="auto"/>
        <w:rPr>
          <w:sz w:val="20"/>
          <w:szCs w:val="20"/>
          <w:color w:val="auto"/>
        </w:rPr>
      </w:pPr>
      <w:r>
        <w:rPr>
          <w:rFonts w:ascii="Arial" w:cs="Arial" w:eastAsia="Arial" w:hAnsi="Arial"/>
          <w:sz w:val="15"/>
          <w:szCs w:val="15"/>
          <w:color w:val="auto"/>
        </w:rPr>
        <w:t>Additionally, on July 29, 2021, the Company filed a separate arbitration in Boston, Massachusetts against Messrs. Cooper and Weinstein, in which the Company alleges that Messrs. Cooper and Weinstein were liable for certain conduct during the time they were TriGrow employees, including breach of fiduciary duty, unjust enrichment, usurpation of corporate opportunity, conversion, fraudulent concealment, and false representation. Also on July 29, 2021, the Company submitted a claim for indemnification to certain legacy TriGrow Systems, LLC. shareholders. The claim for indemnification relates to conduct by Messrs. Cooper and Weinstein during the time they were TriGrow employees. The Company does not believe these claims have any merit and intends to vigorously defend its position.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Supply Agreement with Mack Molding Co.</w:t>
      </w:r>
    </w:p>
    <w:p>
      <w:pPr>
        <w:spacing w:after="0" w:line="194" w:lineRule="exact"/>
        <w:rPr>
          <w:sz w:val="20"/>
          <w:szCs w:val="20"/>
          <w:color w:val="auto"/>
        </w:rPr>
      </w:pPr>
    </w:p>
    <w:p>
      <w:pPr>
        <w:ind w:right="80" w:firstLine="284"/>
        <w:spacing w:after="0" w:line="290" w:lineRule="auto"/>
        <w:rPr>
          <w:sz w:val="20"/>
          <w:szCs w:val="20"/>
          <w:color w:val="auto"/>
        </w:rPr>
      </w:pPr>
      <w:r>
        <w:rPr>
          <w:rFonts w:ascii="Arial" w:cs="Arial" w:eastAsia="Arial" w:hAnsi="Arial"/>
          <w:sz w:val="14"/>
          <w:szCs w:val="14"/>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initial production of VFUs during 2021. In September 2021, the Company increased the purchase order with Mack to approximately $11.5 million towards production of VFUs during 2021 and 2022. The Company believes the supply agreement with Mack will provide the Company with increased scaling capabilities and the ability to more efficiently meet the potential future demand of its customers.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believes this approach will result in both parties making a more informed decision with respect to the pricing and other terms of the supply agreement with Mack.</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54" w:name="page55"/>
    <w:bookmarkEnd w:id="54"/>
    <w:p>
      <w:pPr>
        <w:ind w:left="5"/>
        <w:spacing w:after="0"/>
        <w:rPr>
          <w:sz w:val="20"/>
          <w:szCs w:val="20"/>
          <w:color w:val="auto"/>
        </w:rPr>
      </w:pPr>
      <w:r>
        <w:rPr>
          <w:rFonts w:ascii="Arial" w:cs="Arial" w:eastAsia="Arial" w:hAnsi="Arial"/>
          <w:sz w:val="16"/>
          <w:szCs w:val="16"/>
          <w:b w:val="1"/>
          <w:bCs w:val="1"/>
          <w:i w:val="1"/>
          <w:iCs w:val="1"/>
          <w:color w:val="auto"/>
        </w:rPr>
        <w:t>Distribution Agreements with Related Party</w:t>
      </w:r>
    </w:p>
    <w:p>
      <w:pPr>
        <w:spacing w:after="0" w:line="194" w:lineRule="exact"/>
        <w:rPr>
          <w:sz w:val="20"/>
          <w:szCs w:val="20"/>
          <w:color w:val="auto"/>
        </w:rPr>
      </w:pPr>
    </w:p>
    <w:p>
      <w:pPr>
        <w:ind w:left="5" w:firstLine="284"/>
        <w:spacing w:after="0" w:line="273" w:lineRule="auto"/>
        <w:rPr>
          <w:sz w:val="20"/>
          <w:szCs w:val="20"/>
          <w:color w:val="auto"/>
        </w:rPr>
      </w:pPr>
      <w:r>
        <w:rPr>
          <w:rFonts w:ascii="Arial" w:cs="Arial" w:eastAsia="Arial" w:hAnsi="Arial"/>
          <w:sz w:val="15"/>
          <w:szCs w:val="15"/>
          <w:color w:val="auto"/>
        </w:rPr>
        <w:t>On September 7, 2019, the Company entered into a distribution agreement with Bluezone Products, Inc. (“Bluezone”) for distribution rights to the Bluezone products with certain exclusivity rights. The agreement requires minimum purchases amounting to $480 thousand and $600 thousand for the first and second contract anniversary years. The agreement auto renews for successive one-year periods unless earlier terminated. In March 2021, the Company notified Bluezone of non-renewal of the agreement which means it ended on May 31, 2021. The Company exceeded the minimum purchase amount for the first year and purchased approximately $309 thousand of the committed $660 thousand second year purchases through December 31, 2021. Bluezone is a related party to the Company.</w:t>
      </w:r>
    </w:p>
    <w:p>
      <w:pPr>
        <w:spacing w:after="0" w:line="15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Committed Purchase Agreement with Greenstone Holdings</w:t>
      </w:r>
    </w:p>
    <w:p>
      <w:pPr>
        <w:spacing w:after="0" w:line="194" w:lineRule="exact"/>
        <w:rPr>
          <w:sz w:val="20"/>
          <w:szCs w:val="20"/>
          <w:color w:val="auto"/>
        </w:rPr>
      </w:pPr>
    </w:p>
    <w:p>
      <w:pPr>
        <w:ind w:left="5" w:right="60" w:firstLine="284"/>
        <w:spacing w:after="0" w:line="301" w:lineRule="auto"/>
        <w:rPr>
          <w:sz w:val="20"/>
          <w:szCs w:val="20"/>
          <w:color w:val="auto"/>
        </w:rPr>
      </w:pPr>
      <w:r>
        <w:rPr>
          <w:rFonts w:ascii="Arial" w:cs="Arial" w:eastAsia="Arial" w:hAnsi="Arial"/>
          <w:sz w:val="14"/>
          <w:szCs w:val="14"/>
          <w:color w:val="auto"/>
        </w:rPr>
        <w:t>On December 29, 2021, Greenstone Holdings purchased 239 VFUs from the Company of which 60 VFUs were already in Greenstone Holdings possession under a lease agreement. Under the lease agreement, Greenstone Holdings owed Agrify a production service fee of $300 per pound of flower produced and contained an option to purchase the equipment within the lease agreement. The term of this agreement was for ten years, but it was terminated upon signing the purchase agreement for the 239 VFUs. There is no remaining obligation under the lease agreement. The remaining 179 VFUs were shipped to Greenstone Holdings storage facility on December 30, 2021 and December 31, 2021.</w:t>
      </w:r>
    </w:p>
    <w:p>
      <w:pPr>
        <w:spacing w:after="0" w:line="13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Note 23 — Related Parties</w:t>
      </w:r>
    </w:p>
    <w:p>
      <w:pPr>
        <w:spacing w:after="0" w:line="198" w:lineRule="exact"/>
        <w:rPr>
          <w:sz w:val="20"/>
          <w:szCs w:val="20"/>
          <w:color w:val="auto"/>
        </w:rPr>
      </w:pPr>
    </w:p>
    <w:p>
      <w:pPr>
        <w:ind w:left="5" w:right="440" w:firstLine="284"/>
        <w:spacing w:after="0" w:line="268" w:lineRule="auto"/>
        <w:rPr>
          <w:sz w:val="20"/>
          <w:szCs w:val="20"/>
          <w:color w:val="auto"/>
        </w:rPr>
      </w:pPr>
      <w:r>
        <w:rPr>
          <w:rFonts w:ascii="Arial" w:cs="Arial" w:eastAsia="Arial" w:hAnsi="Arial"/>
          <w:sz w:val="16"/>
          <w:szCs w:val="16"/>
          <w:color w:val="auto"/>
        </w:rPr>
        <w:t>Some of the officers and directors of the Company are involved in other business activities and may, in the future, become involved in other business opportunities that become available.</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200"/>
        </w:trPr>
        <w:tc>
          <w:tcPr>
            <w:tcW w:w="8560" w:type="dxa"/>
            <w:vAlign w:val="bottom"/>
          </w:tcPr>
          <w:p>
            <w:pPr>
              <w:ind w:left="280"/>
              <w:spacing w:after="0"/>
              <w:rPr>
                <w:sz w:val="20"/>
                <w:szCs w:val="20"/>
                <w:color w:val="auto"/>
              </w:rPr>
            </w:pPr>
            <w:r>
              <w:rPr>
                <w:rFonts w:ascii="Arial" w:cs="Arial" w:eastAsia="Arial" w:hAnsi="Arial"/>
                <w:sz w:val="16"/>
                <w:szCs w:val="16"/>
                <w:color w:val="auto"/>
                <w:w w:val="96"/>
              </w:rPr>
              <w:t>The following table describes the net purchasing (sales) activity with entities identified as related parties to the Company: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9"/>
              </w:rPr>
              <w:t>Three Months ended</w:t>
            </w:r>
          </w:p>
        </w:tc>
      </w:tr>
      <w:tr>
        <w:trPr>
          <w:trHeight w:val="209"/>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6"/>
                <w:szCs w:val="16"/>
                <w:b w:val="1"/>
                <w:bCs w:val="1"/>
                <w:color w:val="auto"/>
                <w:w w:val="94"/>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5"/>
        </w:trPr>
        <w:tc>
          <w:tcPr>
            <w:tcW w:w="8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Bluezone</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4D Bios (1)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447</w:t>
            </w: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Cannae Policy Group</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Topline Performance Group</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NEIA</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(634)</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(5,460)</w:t>
            </w:r>
          </w:p>
        </w:tc>
      </w:tr>
      <w:tr>
        <w:trPr>
          <w:trHeight w:val="189"/>
        </w:trPr>
        <w:tc>
          <w:tcPr>
            <w:tcW w:w="8560" w:type="dxa"/>
            <w:vAlign w:val="bottom"/>
          </w:tcPr>
          <w:p>
            <w:pPr>
              <w:spacing w:after="0"/>
              <w:rPr>
                <w:sz w:val="20"/>
                <w:szCs w:val="20"/>
                <w:color w:val="auto"/>
              </w:rPr>
            </w:pPr>
            <w:r>
              <w:rPr>
                <w:rFonts w:ascii="Arial" w:cs="Arial" w:eastAsia="Arial" w:hAnsi="Arial"/>
                <w:sz w:val="16"/>
                <w:szCs w:val="16"/>
                <w:color w:val="auto"/>
              </w:rPr>
              <w:t>Greenstone Holdings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(637)</w:t>
            </w:r>
          </w:p>
        </w:tc>
        <w:tc>
          <w:tcPr>
            <w:tcW w:w="3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Valiant Americas, LLC</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4,951</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1,077</w:t>
            </w:r>
          </w:p>
        </w:tc>
      </w:tr>
      <w:tr>
        <w:trPr>
          <w:trHeight w:val="200"/>
        </w:trPr>
        <w:tc>
          <w:tcPr>
            <w:tcW w:w="8560" w:type="dxa"/>
            <w:vAlign w:val="bottom"/>
          </w:tcPr>
          <w:p>
            <w:pPr>
              <w:spacing w:after="0"/>
              <w:rPr>
                <w:sz w:val="20"/>
                <w:szCs w:val="20"/>
                <w:color w:val="auto"/>
              </w:rPr>
            </w:pPr>
            <w:r>
              <w:rPr>
                <w:rFonts w:ascii="Arial" w:cs="Arial" w:eastAsia="Arial" w:hAnsi="Arial"/>
                <w:sz w:val="16"/>
                <w:szCs w:val="16"/>
                <w:color w:val="auto"/>
              </w:rPr>
              <w:t>Living Greens Farm</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r>
    </w:tbl>
    <w:p>
      <w:pPr>
        <w:spacing w:after="0" w:line="165" w:lineRule="exact"/>
        <w:rPr>
          <w:sz w:val="20"/>
          <w:szCs w:val="20"/>
          <w:color w:val="auto"/>
        </w:rPr>
      </w:pPr>
    </w:p>
    <w:p>
      <w:pPr>
        <w:ind w:left="285" w:right="2580" w:hanging="285"/>
        <w:spacing w:after="0" w:line="523" w:lineRule="auto"/>
        <w:tabs>
          <w:tab w:leader="none" w:pos="285" w:val="left"/>
        </w:tabs>
        <w:numPr>
          <w:ilvl w:val="0"/>
          <w:numId w:val="31"/>
        </w:numPr>
        <w:rPr>
          <w:rFonts w:ascii="Arial" w:cs="Arial" w:eastAsia="Arial" w:hAnsi="Arial"/>
          <w:sz w:val="15"/>
          <w:szCs w:val="15"/>
          <w:color w:val="auto"/>
        </w:rPr>
      </w:pPr>
      <w:r>
        <w:rPr>
          <w:rFonts w:ascii="Arial" w:cs="Arial" w:eastAsia="Arial" w:hAnsi="Arial"/>
          <w:sz w:val="15"/>
          <w:szCs w:val="15"/>
          <w:color w:val="auto"/>
        </w:rPr>
        <w:t>Purchases from 4D Bios for the three months ended March 31, 2021 include $384 thousand for a down payment on inventory orders. The following table summarizes net related party (payable) receivable as of March 31, 2022 and December 31, 2021:</w:t>
      </w:r>
    </w:p>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7"/>
              </w:rPr>
              <w:t>March 31,</w:t>
            </w:r>
          </w:p>
        </w:tc>
        <w:tc>
          <w:tcPr>
            <w:tcW w:w="12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December 31,</w:t>
            </w:r>
          </w:p>
        </w:tc>
      </w:tr>
      <w:tr>
        <w:trPr>
          <w:trHeight w:val="209"/>
        </w:trPr>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50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r>
      <w:tr>
        <w:trPr>
          <w:trHeight w:val="189"/>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Cannae Policy Group</w:t>
            </w:r>
          </w:p>
        </w:tc>
        <w:tc>
          <w:tcPr>
            <w:tcW w:w="5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r>
      <w:tr>
        <w:trPr>
          <w:trHeight w:val="189"/>
        </w:trPr>
        <w:tc>
          <w:tcPr>
            <w:tcW w:w="3500" w:type="dxa"/>
            <w:vAlign w:val="bottom"/>
          </w:tcPr>
          <w:p>
            <w:pPr>
              <w:spacing w:after="0"/>
              <w:rPr>
                <w:sz w:val="20"/>
                <w:szCs w:val="20"/>
                <w:color w:val="auto"/>
              </w:rPr>
            </w:pPr>
            <w:r>
              <w:rPr>
                <w:rFonts w:ascii="Arial" w:cs="Arial" w:eastAsia="Arial" w:hAnsi="Arial"/>
                <w:sz w:val="16"/>
                <w:szCs w:val="16"/>
                <w:color w:val="auto"/>
              </w:rPr>
              <w:t>Cannaquip</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r>
      <w:tr>
        <w:trPr>
          <w:trHeight w:val="189"/>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Greenstone Holdings</w:t>
            </w:r>
          </w:p>
        </w:tc>
        <w:tc>
          <w:tcPr>
            <w:tcW w:w="5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12,446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11,177</w:t>
            </w:r>
          </w:p>
        </w:tc>
      </w:tr>
      <w:tr>
        <w:trPr>
          <w:trHeight w:val="189"/>
        </w:trPr>
        <w:tc>
          <w:tcPr>
            <w:tcW w:w="3500" w:type="dxa"/>
            <w:vAlign w:val="bottom"/>
          </w:tcPr>
          <w:p>
            <w:pPr>
              <w:spacing w:after="0"/>
              <w:rPr>
                <w:sz w:val="20"/>
                <w:szCs w:val="20"/>
                <w:color w:val="auto"/>
              </w:rPr>
            </w:pPr>
            <w:r>
              <w:rPr>
                <w:rFonts w:ascii="Arial" w:cs="Arial" w:eastAsia="Arial" w:hAnsi="Arial"/>
                <w:sz w:val="16"/>
                <w:szCs w:val="16"/>
                <w:color w:val="auto"/>
              </w:rPr>
              <w:t>Living Greens Farm</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r>
      <w:tr>
        <w:trPr>
          <w:trHeight w:val="189"/>
        </w:trPr>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NEIA</w:t>
            </w:r>
          </w:p>
        </w:tc>
        <w:tc>
          <w:tcPr>
            <w:tcW w:w="5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1,344</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3,500</w:t>
            </w:r>
          </w:p>
        </w:tc>
      </w:tr>
      <w:tr>
        <w:trPr>
          <w:trHeight w:val="200"/>
        </w:trPr>
        <w:tc>
          <w:tcPr>
            <w:tcW w:w="3500" w:type="dxa"/>
            <w:vAlign w:val="bottom"/>
          </w:tcPr>
          <w:p>
            <w:pPr>
              <w:spacing w:after="0"/>
              <w:rPr>
                <w:sz w:val="20"/>
                <w:szCs w:val="20"/>
                <w:color w:val="auto"/>
              </w:rPr>
            </w:pPr>
            <w:r>
              <w:rPr>
                <w:rFonts w:ascii="Arial" w:cs="Arial" w:eastAsia="Arial" w:hAnsi="Arial"/>
                <w:sz w:val="16"/>
                <w:szCs w:val="16"/>
                <w:color w:val="auto"/>
              </w:rPr>
              <w:t>Valiant Americas, LLC</w:t>
            </w: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(922)</w:t>
            </w:r>
          </w:p>
        </w:tc>
      </w:tr>
      <w:tr>
        <w:trPr>
          <w:trHeight w:val="560"/>
        </w:trPr>
        <w:tc>
          <w:tcPr>
            <w:tcW w:w="35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jc w:val="right"/>
              <w:ind w:right="2781"/>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5"/>
          </w:cols>
          <w:pgMar w:left="315" w:top="789" w:right="31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Note 24 — Subsequent Events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Bud &amp; Mary’s Litigation</w:t>
      </w:r>
    </w:p>
    <w:p>
      <w:pPr>
        <w:spacing w:after="0" w:line="198" w:lineRule="exact"/>
        <w:rPr>
          <w:sz w:val="20"/>
          <w:szCs w:val="20"/>
          <w:color w:val="auto"/>
        </w:rPr>
      </w:pPr>
    </w:p>
    <w:p>
      <w:pPr>
        <w:ind w:right="60" w:firstLine="284"/>
        <w:spacing w:after="0" w:line="273" w:lineRule="auto"/>
        <w:rPr>
          <w:sz w:val="20"/>
          <w:szCs w:val="20"/>
          <w:color w:val="auto"/>
        </w:rPr>
      </w:pPr>
      <w:r>
        <w:rPr>
          <w:rFonts w:ascii="Arial" w:cs="Arial" w:eastAsia="Arial" w:hAnsi="Arial"/>
          <w:sz w:val="15"/>
          <w:szCs w:val="15"/>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w:t>
      </w:r>
    </w:p>
    <w:p>
      <w:pPr>
        <w:spacing w:after="0" w:line="154" w:lineRule="exact"/>
        <w:rPr>
          <w:sz w:val="20"/>
          <w:szCs w:val="20"/>
          <w:color w:val="auto"/>
        </w:rPr>
      </w:pPr>
    </w:p>
    <w:p>
      <w:pPr>
        <w:ind w:right="40" w:firstLine="284"/>
        <w:spacing w:after="0" w:line="269" w:lineRule="auto"/>
        <w:rPr>
          <w:sz w:val="20"/>
          <w:szCs w:val="20"/>
          <w:color w:val="auto"/>
        </w:rPr>
      </w:pPr>
      <w:r>
        <w:rPr>
          <w:rFonts w:ascii="Arial" w:cs="Arial" w:eastAsia="Arial" w:hAnsi="Arial"/>
          <w:sz w:val="15"/>
          <w:szCs w:val="15"/>
          <w:color w:val="auto"/>
        </w:rPr>
        <w:t>During the third quarter of 2022, the Company deemed it necessary to fully reserve for the outstanding $14.7 million note receivable balance outstanding due to the current litigation and the uncertainty of the customer’s ability to repay the outstanding balance. The $14.7 million represents the amount of the contingent loss that the Company has determined to be reasonably possible and estimable. The actual cost of resolving this matter may be higher or lower than the amount the Company has reserved. In addition, $5.3 million of the notes receivable balance for work performed during the third quarter of 2022 has been recorded as an unbilled note receivable and deferred the revenue to a future period. The Company has recognized the expenses associated with the work completed in the current period due to the uncertainty of the Company’s ability to recover the funds owed by the customer and its obligations to the vendors that have performed this work. The Company determined that it will only recognize unbilled notes receivable revenue if cash is collected from the customer in a future period.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 of Issuance of Shares Upon Exercise of Warrants</w:t>
      </w:r>
    </w:p>
    <w:p>
      <w:pPr>
        <w:spacing w:after="0" w:line="198" w:lineRule="exact"/>
        <w:rPr>
          <w:sz w:val="20"/>
          <w:szCs w:val="20"/>
          <w:color w:val="auto"/>
        </w:rPr>
      </w:pPr>
    </w:p>
    <w:p>
      <w:pPr>
        <w:ind w:firstLine="284"/>
        <w:spacing w:after="0" w:line="253" w:lineRule="auto"/>
        <w:rPr>
          <w:sz w:val="20"/>
          <w:szCs w:val="20"/>
          <w:color w:val="auto"/>
        </w:rPr>
      </w:pPr>
      <w:r>
        <w:rPr>
          <w:rFonts w:ascii="Arial" w:cs="Arial" w:eastAsia="Arial" w:hAnsi="Arial"/>
          <w:sz w:val="16"/>
          <w:szCs w:val="16"/>
          <w:color w:val="auto"/>
        </w:rPr>
        <w:t>On October 14, 2022, the Company received approval for the issuance of up to 105,544 shares of Common Stock upon the exercise of the SPA Warrant and Note Exchange Warrant in connection with the issuance of a senior secured note and the exchange of previously issued warrants in August 2022, and the reduction of the exercise price of certain of those warrants under certain circumstances, was approved. Additional information regarding the Warrant Liabilities may be found in Note 10 – Debt, included elsewhere in the notes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 The Marketing Offering</w:t>
      </w:r>
    </w:p>
    <w:p>
      <w:pPr>
        <w:spacing w:after="0" w:line="198" w:lineRule="exact"/>
        <w:rPr>
          <w:sz w:val="20"/>
          <w:szCs w:val="20"/>
          <w:color w:val="auto"/>
        </w:rPr>
      </w:pPr>
    </w:p>
    <w:p>
      <w:pPr>
        <w:ind w:firstLine="284"/>
        <w:spacing w:after="0" w:line="268" w:lineRule="auto"/>
        <w:rPr>
          <w:sz w:val="20"/>
          <w:szCs w:val="20"/>
          <w:color w:val="auto"/>
        </w:rPr>
      </w:pPr>
      <w:r>
        <w:rPr>
          <w:rFonts w:ascii="Arial" w:cs="Arial" w:eastAsia="Arial" w:hAnsi="Arial"/>
          <w:sz w:val="15"/>
          <w:szCs w:val="15"/>
          <w:color w:val="auto"/>
        </w:rPr>
        <w:t>In October 2022, the Company entered into the ATM Program with the Agent. The ATM Program allows the Company to sell shares of Common Stock pursuant to specific parameters defined by the Company as well as those defined by the SEC and the ATM Program agreement. Subsequent to the quarter ended September 30, 2022, as of November 7, 2022, the Company sold 306,628 shares of Common Stock, under the ATM at an average price of $50.80 per share, resulting in gross proceeds to the Company of $15.6 million, and net proceeds of $15.1 million after commissions and fees to the Agent totaling $468 thousand. $3.1 million of the proceeds under the ATM Program were used to repay amounts due to the Investor under the Exchange Note. The ATM allows for quick and agile sales of Common Stock to interested investors and provides an opportunity to raise additional capital for working capital requirements or to fund strategic opportunities that may present themselves from time to time. The Company has used, and intends to continue to use, the net proceeds generated from the ATM Program for working capital and general corporate purposes, including repayment of indebtedness, funding its transformation initiatives and product category expansion efforts and capital expenditures.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Deficiency Notices</w:t>
      </w:r>
    </w:p>
    <w:p>
      <w:pPr>
        <w:spacing w:after="0" w:line="198" w:lineRule="exact"/>
        <w:rPr>
          <w:sz w:val="20"/>
          <w:szCs w:val="20"/>
          <w:color w:val="auto"/>
        </w:rPr>
      </w:pPr>
    </w:p>
    <w:p>
      <w:pPr>
        <w:ind w:right="20" w:firstLine="284"/>
        <w:spacing w:after="0" w:line="268" w:lineRule="auto"/>
        <w:rPr>
          <w:sz w:val="20"/>
          <w:szCs w:val="20"/>
          <w:color w:val="auto"/>
        </w:rPr>
      </w:pPr>
      <w:r>
        <w:rPr>
          <w:rFonts w:ascii="Arial" w:cs="Arial" w:eastAsia="Arial" w:hAnsi="Arial"/>
          <w:sz w:val="15"/>
          <w:szCs w:val="15"/>
          <w:color w:val="auto"/>
        </w:rPr>
        <w:t>On October 4, 2022, the Company received a deficiency letter (the “Notice”)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a continued listing on The Nasdaq Capital Market under Nasdaq Listing Rule 5550(a)(2)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exercises its discretion to extend the minimum trading day period pursuant to Nasdaq Listing Rule 5810(c)(3)(G). On October 28, 2022, the Staff notified the Company that the closing bid price for its Common Stock was more than $1.00 for 10 consecutive trading days, and that the Company therefore regained compliance with the Minimum Bid Requirement.</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785" w:right="359" w:bottom="1440" w:gutter="0" w:footer="0" w:header="0"/>
        </w:sectPr>
      </w:pPr>
    </w:p>
    <w:bookmarkStart w:id="56" w:name="page57"/>
    <w:bookmarkEnd w:id="56"/>
    <w:p>
      <w:pPr>
        <w:ind w:firstLine="284"/>
        <w:spacing w:after="0" w:line="257" w:lineRule="auto"/>
        <w:rPr>
          <w:sz w:val="20"/>
          <w:szCs w:val="20"/>
          <w:color w:val="auto"/>
        </w:rPr>
      </w:pPr>
      <w:r>
        <w:rPr>
          <w:rFonts w:ascii="Arial" w:cs="Arial" w:eastAsia="Arial" w:hAnsi="Arial"/>
          <w:sz w:val="16"/>
          <w:szCs w:val="16"/>
          <w:color w:val="auto"/>
        </w:rPr>
        <w:t>On April 18, 2023, the Company received a notice from Nasdaq stating that because the Company had not yet filed its Annual Report on Form 10-K for the fiscal year ended December 31, 2022, the Company is no longer in compliance with Nasdaq Listing Rule 5250(c)(1). Nasdaq Listing Rule 5250(c)(1) requires listed companies to timely file all required periodic financial reports with the Securities and Exchange Commission.</w:t>
      </w:r>
    </w:p>
    <w:p>
      <w:pPr>
        <w:spacing w:after="0" w:line="166" w:lineRule="exact"/>
        <w:rPr>
          <w:sz w:val="20"/>
          <w:szCs w:val="20"/>
          <w:color w:val="auto"/>
        </w:rPr>
      </w:pPr>
    </w:p>
    <w:p>
      <w:pPr>
        <w:ind w:right="40" w:firstLine="284"/>
        <w:spacing w:after="0" w:line="296" w:lineRule="auto"/>
        <w:rPr>
          <w:sz w:val="20"/>
          <w:szCs w:val="20"/>
          <w:color w:val="auto"/>
        </w:rPr>
      </w:pPr>
      <w:r>
        <w:rPr>
          <w:rFonts w:ascii="Arial" w:cs="Arial" w:eastAsia="Arial" w:hAnsi="Arial"/>
          <w:sz w:val="14"/>
          <w:szCs w:val="14"/>
          <w:color w:val="auto"/>
        </w:rPr>
        <w:t>As disclosed by the Company on Form 8-K filed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Given the scope of the process for preparing the Amended 10-Qs, the Company was unable to complete and file the Form 10-K by the required due date of March 31, 2023. The Notice states that the Company has 60 calendar days from April 18, 2023, or until June 20, 2023, to regain compliance by filing the Form 10-K or to submit to Nasdaq a plan to regain compliance with the Nasdaq Listing Rules.</w:t>
      </w:r>
    </w:p>
    <w:p>
      <w:pPr>
        <w:spacing w:after="0" w:line="143" w:lineRule="exact"/>
        <w:rPr>
          <w:sz w:val="20"/>
          <w:szCs w:val="20"/>
          <w:color w:val="auto"/>
        </w:rPr>
      </w:pPr>
    </w:p>
    <w:p>
      <w:pPr>
        <w:ind w:right="60" w:firstLine="284"/>
        <w:spacing w:after="0" w:line="276" w:lineRule="auto"/>
        <w:rPr>
          <w:sz w:val="20"/>
          <w:szCs w:val="20"/>
          <w:color w:val="auto"/>
        </w:rPr>
      </w:pPr>
      <w:r>
        <w:rPr>
          <w:rFonts w:ascii="Arial" w:cs="Arial" w:eastAsia="Arial" w:hAnsi="Arial"/>
          <w:sz w:val="15"/>
          <w:szCs w:val="15"/>
          <w:color w:val="auto"/>
        </w:rPr>
        <w:t>On May 17, 2023, the Company received a second notice from Nasdaq that the Company remains noncompliant with the Nasdaq Listing Rule 5250(c)(1) as a result of its failure to file its Quarterly Report on Form 10-Q for the quarter ended March 31, 2023 with the SEC by the required due date. This notice requires the Company to submit a plan to regain compliance with the continued listing requirements by June 20, 2023. If Nasdaq accepts the Company’s plan, then Nasdaq may, in its discretion, grant the Company up to 180 days from the prescribed due date for filing the Form 10-K, or until October 16, 2023, to regain compliance.</w:t>
      </w:r>
    </w:p>
    <w:p>
      <w:pPr>
        <w:spacing w:after="0" w:line="153" w:lineRule="exact"/>
        <w:rPr>
          <w:sz w:val="20"/>
          <w:szCs w:val="20"/>
          <w:color w:val="auto"/>
        </w:rPr>
      </w:pPr>
    </w:p>
    <w:p>
      <w:pPr>
        <w:ind w:firstLine="284"/>
        <w:spacing w:after="0" w:line="273" w:lineRule="auto"/>
        <w:rPr>
          <w:sz w:val="20"/>
          <w:szCs w:val="20"/>
          <w:color w:val="auto"/>
        </w:rPr>
      </w:pPr>
      <w:r>
        <w:rPr>
          <w:rFonts w:ascii="Arial" w:cs="Arial" w:eastAsia="Arial" w:hAnsi="Arial"/>
          <w:sz w:val="15"/>
          <w:szCs w:val="15"/>
          <w:color w:val="auto"/>
        </w:rPr>
        <w:t>On August 16, 2023, the Company received a third notice from Nasdaq that the Company remains noncompliant with the Nasdaq Listing Rule 5250(c)(1) as a result of its failure to file its Quarterly Report on Form 10-Q for the fiscal quarter ended June 30, 2023 with the SEC by the required filing date. This notice noted that Nasdaq has previously granted the Company an exception until September 30, 2023, to file its Form 10-K and First Quarter Form 10-Q. This notice also requires the Company to update its original plan to regain compliance with the filing requirement, including the Company’s plans to file the Second Quarter Form 10-Q, and indicate the progress the Company has made towards implementing the plan submitted in connection with the Initial Delinquent Filing.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Agrify-Valiant</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On October 27, 2022, the Company provided notice to Valiant-America, LLC that the Company intended to begin the winding up of Agrify-Valiant.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Appointment of Raymond Chang as principal financial and accounting officer and Resignation of Timothy Oakes and Chief Financial Officer</w:t>
      </w:r>
    </w:p>
    <w:p>
      <w:pPr>
        <w:spacing w:after="0" w:line="198" w:lineRule="exact"/>
        <w:rPr>
          <w:sz w:val="20"/>
          <w:szCs w:val="20"/>
          <w:color w:val="auto"/>
        </w:rPr>
      </w:pPr>
    </w:p>
    <w:p>
      <w:pPr>
        <w:ind w:right="20" w:firstLine="284"/>
        <w:spacing w:after="0" w:line="311" w:lineRule="auto"/>
        <w:rPr>
          <w:sz w:val="20"/>
          <w:szCs w:val="20"/>
          <w:color w:val="auto"/>
        </w:rPr>
      </w:pPr>
      <w:r>
        <w:rPr>
          <w:rFonts w:ascii="Arial" w:cs="Arial" w:eastAsia="Arial" w:hAnsi="Arial"/>
          <w:sz w:val="14"/>
          <w:szCs w:val="14"/>
          <w:color w:val="auto"/>
        </w:rPr>
        <w:t>On January 6, 2023, Timothy Oakes, the Chief Financial Officer of Agrify Corporation (the “Company”), resigned effective February 28, 2023. In connection with Mr. Oakes’ resignation, the Company has engaged WilliamsMarston LLC to assist with accounting and internal control matters and is continuing its process to identify a replacement Chief Financial Officer. Further, Raymond Chang, the Company’s Chief Executive Officer, will serve as the Company’s principal financial and accounting officer.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Bowdoin Litigation</w:t>
      </w:r>
    </w:p>
    <w:p>
      <w:pPr>
        <w:spacing w:after="0" w:line="198" w:lineRule="exact"/>
        <w:rPr>
          <w:sz w:val="20"/>
          <w:szCs w:val="20"/>
          <w:color w:val="auto"/>
        </w:rPr>
      </w:pPr>
    </w:p>
    <w:p>
      <w:pPr>
        <w:ind w:right="80" w:firstLine="284"/>
        <w:spacing w:after="0" w:line="273" w:lineRule="auto"/>
        <w:rPr>
          <w:sz w:val="20"/>
          <w:szCs w:val="20"/>
          <w:color w:val="auto"/>
        </w:rPr>
      </w:pPr>
      <w:r>
        <w:rPr>
          <w:rFonts w:ascii="Arial" w:cs="Arial" w:eastAsia="Arial" w:hAnsi="Arial"/>
          <w:sz w:val="15"/>
          <w:szCs w:val="15"/>
          <w:color w:val="auto"/>
        </w:rPr>
        <w:t>On February 22, 2023, Bowdoin Construction Corp. (“Bowdoin”) filed a complaint in the Superior Court of Massachusetts in Norfolk County naming the Company, Bud &amp; Mary’s and certain related parties as defendants. The Bowdoin Complaint relates to a construction contract between Bowdoin and Agrify relating to the property that is the subject of the Bud &amp; Mary’s Complaint and alleges breach of contract by Bud &amp; Mary’s and by Agrify due to nonpayment of approximately $7.0 million due under the contract and related indemnification claims and mechanics’ liens. While the Company believes the claim is without merit and will continue to vigorously defend itself against Bowdoin’s allegations, litigation is inherently unpredictable and there can be no assurance that the Company will prevail in this matter.</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Amendments to Articles of Incorporation</w:t>
      </w:r>
    </w:p>
    <w:p>
      <w:pPr>
        <w:spacing w:after="0" w:line="198"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6"/>
          <w:szCs w:val="16"/>
          <w:color w:val="auto"/>
        </w:rPr>
        <w:t>On March 1, 2023, the Company filed Articles of Amendment (the “Charter Amendment”) to its Articles of Incorporation with the Secretary of State for the State of Nevada. The Charter Amendment increased the number of authorized shares of the Company’s Common Stock from 100,000,000 to 200,000,000, and correspondingly increased the total authorized shares of stock from 103,000,000 to 203,000,000. The Charter Amendment was approved by the Company’s stockholders at the Special Meeting on February 28, 2023 and became effective upon filing.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Exchange Agreement</w:t>
      </w:r>
    </w:p>
    <w:p>
      <w:pPr>
        <w:spacing w:after="0" w:line="198" w:lineRule="exact"/>
        <w:rPr>
          <w:sz w:val="20"/>
          <w:szCs w:val="20"/>
          <w:color w:val="auto"/>
        </w:rPr>
      </w:pPr>
    </w:p>
    <w:p>
      <w:pPr>
        <w:ind w:right="80" w:firstLine="284"/>
        <w:spacing w:after="0" w:line="273" w:lineRule="auto"/>
        <w:rPr>
          <w:sz w:val="20"/>
          <w:szCs w:val="20"/>
          <w:color w:val="auto"/>
        </w:rPr>
      </w:pPr>
      <w:r>
        <w:rPr>
          <w:rFonts w:ascii="Arial" w:cs="Arial" w:eastAsia="Arial" w:hAnsi="Arial"/>
          <w:sz w:val="15"/>
          <w:szCs w:val="15"/>
          <w:color w:val="auto"/>
        </w:rPr>
        <w:t>On March 8, 2023, the Company entered into a new Securities Exchange Agreement (the “Exchange Agreement”) with an accredited lender. Pursuant to the Exchange Agreement, at closing the Company will prepay approximately $10.3 million in principal amount under the Exchange Note and exchange $10.0 in principal amount of the remaining balance of the Exchange Note for a new senior secured convertible note (the “Convertible Note”) with an original principal amount of $10.0 million. The Convertible Note will be a senior secured obligation of the Company and will rank senior to all indebtedness of the Company. The Convertible Note will mature on August 19, 2025 and will contain a 9.0% annualized interest rate, with interest to be paid monthly, in cash, beginning April 1, 2023.</w:t>
      </w:r>
    </w:p>
    <w:p>
      <w:pPr>
        <w:spacing w:after="0" w:line="154" w:lineRule="exact"/>
        <w:rPr>
          <w:sz w:val="20"/>
          <w:szCs w:val="20"/>
          <w:color w:val="auto"/>
        </w:rPr>
      </w:pPr>
    </w:p>
    <w:p>
      <w:pPr>
        <w:jc w:val="both"/>
        <w:ind w:right="140" w:firstLine="284"/>
        <w:spacing w:after="0" w:line="282" w:lineRule="auto"/>
        <w:rPr>
          <w:sz w:val="20"/>
          <w:szCs w:val="20"/>
          <w:color w:val="auto"/>
        </w:rPr>
      </w:pPr>
      <w:r>
        <w:rPr>
          <w:rFonts w:ascii="Arial" w:cs="Arial" w:eastAsia="Arial" w:hAnsi="Arial"/>
          <w:sz w:val="15"/>
          <w:szCs w:val="15"/>
          <w:color w:val="auto"/>
        </w:rPr>
        <w:t>Concurrently with the closing under the Exchange Agreement, the Company and the Lender will enter into an Amendment to the Exchange Note (the “Note Amendment”). Pursuant to the Note Amendment, the Exchange Note will be amended to, among other changes, remove covenants that require the Company not to exceed maximum levels of allowable cash spend while the Exchange Note is outstanding and require the Company to maintain minimum amounts of cash on hand.</w:t>
      </w:r>
    </w:p>
    <w:p>
      <w:pPr>
        <w:spacing w:after="0" w:line="149" w:lineRule="exact"/>
        <w:rPr>
          <w:sz w:val="20"/>
          <w:szCs w:val="20"/>
          <w:color w:val="auto"/>
        </w:rPr>
      </w:pPr>
    </w:p>
    <w:p>
      <w:pPr>
        <w:ind w:right="140" w:firstLine="284"/>
        <w:spacing w:after="0" w:line="257" w:lineRule="auto"/>
        <w:rPr>
          <w:sz w:val="20"/>
          <w:szCs w:val="20"/>
          <w:color w:val="auto"/>
        </w:rPr>
      </w:pPr>
      <w:r>
        <w:rPr>
          <w:rFonts w:ascii="Arial" w:cs="Arial" w:eastAsia="Arial" w:hAnsi="Arial"/>
          <w:sz w:val="16"/>
          <w:szCs w:val="16"/>
          <w:color w:val="auto"/>
        </w:rPr>
        <w:t>On April 26, 2023, the Company entered into a letter agreement with the above referenced accredited lender (the “Letter Agreement”), pursuant to which the Company and the lender agreed to exchange $2.0 million of the remaining outstanding principal amount under the Exchange Note for 8,903,927 shares of common stock of the Company, subject to a Beneficial Ownership Limitation of 4.99% of the Company’s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Issuance of Unsecured Promissory Note</w:t>
      </w:r>
    </w:p>
    <w:p>
      <w:pPr>
        <w:spacing w:after="0" w:line="198" w:lineRule="exact"/>
        <w:rPr>
          <w:sz w:val="20"/>
          <w:szCs w:val="20"/>
          <w:color w:val="auto"/>
        </w:rPr>
      </w:pPr>
    </w:p>
    <w:p>
      <w:pPr>
        <w:ind w:right="100" w:firstLine="284"/>
        <w:spacing w:after="0" w:line="253" w:lineRule="auto"/>
        <w:rPr>
          <w:sz w:val="20"/>
          <w:szCs w:val="20"/>
          <w:color w:val="auto"/>
        </w:rPr>
      </w:pPr>
      <w:r>
        <w:rPr>
          <w:rFonts w:ascii="Arial" w:cs="Arial" w:eastAsia="Arial" w:hAnsi="Arial"/>
          <w:sz w:val="16"/>
          <w:szCs w:val="16"/>
          <w:color w:val="auto"/>
        </w:rPr>
        <w:t>On July 12, 2023, the Board of Directors of the Company approved the issuance of an unsecured promissory note in favor of GIC Acquisition, LLC (the “Investor”), an entity that is owned and managed by Raymond Chang, the Company’s Chairman and Chief Executive Officer. Pursuant to the Note, the Investor will lend up to $500,000 to the Company. The Note bears interest at a rate of 10% per annum, will mature in full on August 6, 2023, and may be prepaid without any fee or penalty. The Note ranks junior to all existing secured indebtedness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As of March 31, 2023, the Company extended its lease by three years until March 31, 2026, for the premises located at 2468 Industrial Row Dr., Troy, Michigan 48084.</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of May 23, 2023, the Company extended its lease by three years until July 31, 2026, for the premises located at 2625 S. Santa Fe Dr., Bldg. 1, Units 1H and 1IJ.</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8" w:lineRule="exact"/>
        <w:rPr>
          <w:sz w:val="20"/>
          <w:szCs w:val="20"/>
          <w:color w:val="auto"/>
        </w:rPr>
      </w:pPr>
    </w:p>
    <w:p>
      <w:pPr>
        <w:ind w:right="60" w:firstLine="284"/>
        <w:spacing w:after="0" w:line="301" w:lineRule="auto"/>
        <w:rPr>
          <w:sz w:val="20"/>
          <w:szCs w:val="20"/>
          <w:color w:val="auto"/>
        </w:rPr>
      </w:pPr>
      <w:r>
        <w:rPr>
          <w:rFonts w:ascii="Arial" w:cs="Arial" w:eastAsia="Arial" w:hAnsi="Arial"/>
          <w:sz w:val="14"/>
          <w:szCs w:val="14"/>
          <w:i w:val="1"/>
          <w:iCs w:val="1"/>
          <w:color w:val="auto"/>
        </w:rPr>
        <w:t>The information contained in this Quarterly Report on Form 10-Q is intended to update the information contained in our Annual Report on Form 10-K for the year ended December 31, 2021 filed with the Securities and Exchange Commission on March 31, 2022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Quarterly Report on Form 10-Q.</w:t>
      </w:r>
    </w:p>
    <w:p>
      <w:pPr>
        <w:spacing w:after="0" w:line="138" w:lineRule="exact"/>
        <w:rPr>
          <w:sz w:val="20"/>
          <w:szCs w:val="20"/>
          <w:color w:val="auto"/>
        </w:rPr>
      </w:pPr>
    </w:p>
    <w:p>
      <w:pPr>
        <w:ind w:firstLine="284"/>
        <w:spacing w:after="0" w:line="268" w:lineRule="auto"/>
        <w:rPr>
          <w:sz w:val="20"/>
          <w:szCs w:val="20"/>
          <w:color w:val="auto"/>
        </w:rPr>
      </w:pPr>
      <w:r>
        <w:rPr>
          <w:rFonts w:ascii="Arial" w:cs="Arial" w:eastAsia="Arial" w:hAnsi="Arial"/>
          <w:sz w:val="15"/>
          <w:szCs w:val="15"/>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factors described in our Annual Report on Form 10-K in the section entitled “Risk Factors” in the Annual Report on Form 10-K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62" w:lineRule="exact"/>
        <w:rPr>
          <w:sz w:val="20"/>
          <w:szCs w:val="20"/>
          <w:color w:val="auto"/>
        </w:rPr>
      </w:pPr>
    </w:p>
    <w:p>
      <w:pPr>
        <w:ind w:right="40" w:firstLine="284"/>
        <w:spacing w:after="0" w:line="268" w:lineRule="auto"/>
        <w:rPr>
          <w:sz w:val="20"/>
          <w:szCs w:val="20"/>
          <w:color w:val="auto"/>
        </w:rPr>
      </w:pPr>
      <w:r>
        <w:rPr>
          <w:rFonts w:ascii="Arial" w:cs="Arial" w:eastAsia="Arial" w:hAnsi="Arial"/>
          <w:sz w:val="16"/>
          <w:szCs w:val="16"/>
          <w:i w:val="1"/>
          <w:iCs w:val="1"/>
          <w:color w:val="auto"/>
        </w:rPr>
        <w:t>Except as otherwise indicated herein or as the context otherwise requires, references in this quarterly report to “we,” “us,” “our,” “Company,” and “Agrify” refer to Agrify Corporation, a Nevada corporation.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8" w:lineRule="exact"/>
        <w:rPr>
          <w:sz w:val="20"/>
          <w:szCs w:val="20"/>
          <w:color w:val="auto"/>
        </w:rPr>
      </w:pPr>
    </w:p>
    <w:p>
      <w:pPr>
        <w:ind w:right="120" w:firstLine="284"/>
        <w:spacing w:after="0" w:line="271" w:lineRule="auto"/>
        <w:rPr>
          <w:sz w:val="20"/>
          <w:szCs w:val="20"/>
          <w:color w:val="auto"/>
        </w:rPr>
      </w:pPr>
      <w:r>
        <w:rPr>
          <w:rFonts w:ascii="Arial" w:cs="Arial" w:eastAsia="Arial" w:hAnsi="Arial"/>
          <w:sz w:val="15"/>
          <w:szCs w:val="15"/>
          <w:color w:val="auto"/>
        </w:rPr>
        <w:t>We are a developer of proprietary precision hardware and software grow solutions for the indoor commercial agriculture industry and provides equipment and solutions for cultivation, extraction, post-processing, and testing for the cannabis and hemp industries. We believe we are the only company with an automated and fully integrated grow solution in the industry. Our Agrify “Precision Elevated™” cultivation solution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56" w:lineRule="exact"/>
        <w:rPr>
          <w:sz w:val="20"/>
          <w:szCs w:val="20"/>
          <w:color w:val="auto"/>
        </w:rPr>
      </w:pPr>
    </w:p>
    <w:p>
      <w:pPr>
        <w:ind w:right="560" w:firstLine="284"/>
        <w:spacing w:after="0" w:line="268" w:lineRule="auto"/>
        <w:rPr>
          <w:sz w:val="20"/>
          <w:szCs w:val="20"/>
          <w:color w:val="auto"/>
        </w:rPr>
      </w:pPr>
      <w:r>
        <w:rPr>
          <w:rFonts w:ascii="Arial" w:cs="Arial" w:eastAsia="Arial" w:hAnsi="Arial"/>
          <w:sz w:val="16"/>
          <w:szCs w:val="16"/>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57" w:lineRule="exact"/>
        <w:rPr>
          <w:sz w:val="20"/>
          <w:szCs w:val="20"/>
          <w:color w:val="auto"/>
        </w:rPr>
      </w:pPr>
    </w:p>
    <w:p>
      <w:pPr>
        <w:ind w:right="460" w:firstLine="284"/>
        <w:spacing w:after="0" w:line="268" w:lineRule="auto"/>
        <w:rPr>
          <w:sz w:val="20"/>
          <w:szCs w:val="20"/>
          <w:color w:val="auto"/>
        </w:rPr>
      </w:pPr>
      <w:r>
        <w:rPr>
          <w:rFonts w:ascii="Arial" w:cs="Arial" w:eastAsia="Arial" w:hAnsi="Arial"/>
          <w:sz w:val="16"/>
          <w:szCs w:val="16"/>
          <w:color w:val="auto"/>
        </w:rPr>
        <w:t>Our corporate headquarters are located in Troy, Michigan. We also lease properties located within various geographic regions in which we conduct business, including Colorado, Georgia, Massachusetts, Michigan, and Oregon.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Reverse Stock Split</w:t>
      </w:r>
    </w:p>
    <w:p>
      <w:pPr>
        <w:spacing w:after="0" w:line="194" w:lineRule="exact"/>
        <w:rPr>
          <w:sz w:val="20"/>
          <w:szCs w:val="20"/>
          <w:color w:val="auto"/>
        </w:rPr>
      </w:pPr>
    </w:p>
    <w:p>
      <w:pPr>
        <w:ind w:right="320" w:firstLine="284"/>
        <w:spacing w:after="0" w:line="268" w:lineRule="auto"/>
        <w:rPr>
          <w:sz w:val="20"/>
          <w:szCs w:val="20"/>
          <w:color w:val="auto"/>
        </w:rPr>
      </w:pPr>
      <w:r>
        <w:rPr>
          <w:rFonts w:ascii="Arial" w:cs="Arial" w:eastAsia="Arial" w:hAnsi="Arial"/>
          <w:sz w:val="16"/>
          <w:szCs w:val="16"/>
          <w:color w:val="auto"/>
        </w:rPr>
        <w:t>On January 12, 2021, we effected a 1-for-1.581804 reverse stock split on our Common Stock. All share and per share information has been retroactively adjusted to give effect to the reverse stock split for all periods presented, unless otherwise indicated.</w:t>
      </w:r>
    </w:p>
    <w:p>
      <w:pPr>
        <w:spacing w:after="0" w:line="157" w:lineRule="exact"/>
        <w:rPr>
          <w:sz w:val="20"/>
          <w:szCs w:val="20"/>
          <w:color w:val="auto"/>
        </w:rPr>
      </w:pPr>
    </w:p>
    <w:p>
      <w:pPr>
        <w:ind w:right="160" w:firstLine="284"/>
        <w:spacing w:after="0" w:line="268" w:lineRule="auto"/>
        <w:rPr>
          <w:sz w:val="20"/>
          <w:szCs w:val="20"/>
          <w:color w:val="auto"/>
        </w:rPr>
      </w:pPr>
      <w:r>
        <w:rPr>
          <w:rFonts w:ascii="Arial" w:cs="Arial" w:eastAsia="Arial" w:hAnsi="Arial"/>
          <w:sz w:val="16"/>
          <w:szCs w:val="16"/>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59" w:name="page60"/>
    <w:bookmarkEnd w:id="59"/>
    <w:p>
      <w:pPr>
        <w:ind w:right="100" w:firstLine="284"/>
        <w:spacing w:after="0" w:line="268" w:lineRule="auto"/>
        <w:rPr>
          <w:sz w:val="20"/>
          <w:szCs w:val="20"/>
          <w:color w:val="auto"/>
        </w:rPr>
      </w:pPr>
      <w:r>
        <w:rPr>
          <w:rFonts w:ascii="Arial" w:cs="Arial" w:eastAsia="Arial" w:hAnsi="Arial"/>
          <w:sz w:val="16"/>
          <w:szCs w:val="16"/>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57" w:lineRule="exact"/>
        <w:rPr>
          <w:sz w:val="20"/>
          <w:szCs w:val="20"/>
          <w:color w:val="auto"/>
        </w:rPr>
      </w:pPr>
    </w:p>
    <w:p>
      <w:pPr>
        <w:ind w:firstLine="284"/>
        <w:spacing w:after="0" w:line="293" w:lineRule="auto"/>
        <w:rPr>
          <w:sz w:val="20"/>
          <w:szCs w:val="20"/>
          <w:color w:val="auto"/>
        </w:rPr>
      </w:pPr>
      <w:r>
        <w:rPr>
          <w:rFonts w:ascii="Arial" w:cs="Arial" w:eastAsia="Arial" w:hAnsi="Arial"/>
          <w:sz w:val="14"/>
          <w:szCs w:val="14"/>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Quarterly Report on Form 10-Q has been retroactively adjusted to reflect the impact of these reverse stock splits.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Developments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Private Placement</w:t>
      </w:r>
    </w:p>
    <w:p>
      <w:pPr>
        <w:spacing w:after="0" w:line="194" w:lineRule="exact"/>
        <w:rPr>
          <w:sz w:val="20"/>
          <w:szCs w:val="20"/>
          <w:color w:val="auto"/>
        </w:rPr>
      </w:pPr>
    </w:p>
    <w:p>
      <w:pPr>
        <w:ind w:right="100" w:firstLine="284"/>
        <w:spacing w:after="0" w:line="252" w:lineRule="auto"/>
        <w:rPr>
          <w:sz w:val="20"/>
          <w:szCs w:val="20"/>
          <w:color w:val="auto"/>
        </w:rPr>
      </w:pPr>
      <w:r>
        <w:rPr>
          <w:rFonts w:ascii="Arial" w:cs="Arial" w:eastAsia="Arial" w:hAnsi="Arial"/>
          <w:sz w:val="16"/>
          <w:szCs w:val="16"/>
          <w:color w:val="auto"/>
        </w:rPr>
        <w:t>On January 25, 2022, we entered into a Securities Purchase Agreement (the “Securities Agreement”) with an institutional investor and other accredited investors for the sale by us of (i) 12,252 shares (the “SA Shares”) of the our Common Stock, (ii) pre-funded warrants (the “Pre-Funded Warrants”) to purchase up to an aggregate of 7,853 shares of Common Stock and (iii) warrants to purchase up to an aggregate of 15,079 shares of Common Stock (the “Common Warrants” and, collectively with the Pre-Funded Warrants, the “SA Warrants”), in a private placement offering. The combined purchase price for one share of Common Stock (or one Pre-Funded Warrant) and accompanying fraction of a Common Warrant was $1,360.00.</w:t>
      </w:r>
    </w:p>
    <w:p>
      <w:pPr>
        <w:spacing w:after="0" w:line="169" w:lineRule="exact"/>
        <w:rPr>
          <w:sz w:val="20"/>
          <w:szCs w:val="20"/>
          <w:color w:val="auto"/>
        </w:rPr>
      </w:pPr>
    </w:p>
    <w:p>
      <w:pPr>
        <w:ind w:right="60" w:firstLine="284"/>
        <w:spacing w:after="0" w:line="276" w:lineRule="auto"/>
        <w:rPr>
          <w:sz w:val="20"/>
          <w:szCs w:val="20"/>
          <w:color w:val="auto"/>
        </w:rPr>
      </w:pPr>
      <w:r>
        <w:rPr>
          <w:rFonts w:ascii="Arial" w:cs="Arial" w:eastAsia="Arial" w:hAnsi="Arial"/>
          <w:sz w:val="15"/>
          <w:szCs w:val="15"/>
          <w:color w:val="auto"/>
        </w:rPr>
        <w:t>Subject to certain ownership limitations, the SA Warrants are exercisable six months from issuance. Each Pre-Funded Warrant is exercisable into one share of Common Stock at a price per share of $0.20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53" w:lineRule="exact"/>
        <w:rPr>
          <w:sz w:val="20"/>
          <w:szCs w:val="20"/>
          <w:color w:val="auto"/>
        </w:rPr>
      </w:pPr>
    </w:p>
    <w:p>
      <w:pPr>
        <w:ind w:right="80" w:firstLine="284"/>
        <w:spacing w:after="0" w:line="268" w:lineRule="auto"/>
        <w:rPr>
          <w:sz w:val="20"/>
          <w:szCs w:val="20"/>
          <w:color w:val="auto"/>
        </w:rPr>
      </w:pPr>
      <w:r>
        <w:rPr>
          <w:rFonts w:ascii="Arial" w:cs="Arial" w:eastAsia="Arial" w:hAnsi="Arial"/>
          <w:sz w:val="16"/>
          <w:szCs w:val="16"/>
          <w:color w:val="auto"/>
        </w:rPr>
        <w:t>Raymond Chang, our Chairman and Chief Executive Officer, and Stuart Wilcox, a member of our Board of Directors, participated in the private placement on essentially the same terms as other investors, except for having a combined purchase price of $1,380.00 per share.</w:t>
      </w:r>
    </w:p>
    <w:p>
      <w:pPr>
        <w:spacing w:after="0" w:line="157" w:lineRule="exact"/>
        <w:rPr>
          <w:sz w:val="20"/>
          <w:szCs w:val="20"/>
          <w:color w:val="auto"/>
        </w:rPr>
      </w:pPr>
    </w:p>
    <w:p>
      <w:pPr>
        <w:ind w:right="560" w:firstLine="284"/>
        <w:spacing w:after="0" w:line="268" w:lineRule="auto"/>
        <w:rPr>
          <w:sz w:val="20"/>
          <w:szCs w:val="20"/>
          <w:color w:val="auto"/>
        </w:rPr>
      </w:pPr>
      <w:r>
        <w:rPr>
          <w:rFonts w:ascii="Arial" w:cs="Arial" w:eastAsia="Arial" w:hAnsi="Arial"/>
          <w:sz w:val="16"/>
          <w:szCs w:val="16"/>
          <w:color w:val="auto"/>
        </w:rPr>
        <w:t>The gross proceeds to us from the private placement were approximately $27.3 million, before deducting the placement agent’s fees and other offering expenses, and excluding the proceeds, if any, from the exercise of the SA Warrants.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of Lab Society</w:t>
      </w:r>
    </w:p>
    <w:p>
      <w:pPr>
        <w:spacing w:after="0" w:line="194" w:lineRule="exact"/>
        <w:rPr>
          <w:sz w:val="20"/>
          <w:szCs w:val="20"/>
          <w:color w:val="auto"/>
        </w:rPr>
      </w:pPr>
    </w:p>
    <w:p>
      <w:pPr>
        <w:ind w:right="240" w:firstLine="284"/>
        <w:spacing w:after="0" w:line="301" w:lineRule="auto"/>
        <w:rPr>
          <w:sz w:val="20"/>
          <w:szCs w:val="20"/>
          <w:color w:val="auto"/>
        </w:rPr>
      </w:pPr>
      <w:r>
        <w:rPr>
          <w:rFonts w:ascii="Arial" w:cs="Arial" w:eastAsia="Arial" w:hAnsi="Arial"/>
          <w:sz w:val="14"/>
          <w:szCs w:val="14"/>
          <w:color w:val="auto"/>
        </w:rPr>
        <w:t>On February 1, 2022, we entered into an Agreement and Plan of Merger (the “Merger Agreement”) with LS Holdings Corp. (“Lab Society”), Lab Society NewCo, LLC, a newly formed wholly-owned subsidiary of the Company (“Merger Sub”), Michael S. Maibach Jr. as the Owner Representative thereunder, and each of the shareholders of Lab Society (collectively, the “Owners”), pursuant to which we agreed to acquire Lab Society. Concurrently with the execution of the Merger Agreement, we consummated the merger of Lab Society with and into Merger Sub, with Merger Sub surviving such merger as a wholly-owned subsidiary of the Company (the “Lab Society Acquisition”).</w:t>
      </w:r>
    </w:p>
    <w:p>
      <w:pPr>
        <w:spacing w:after="0" w:line="138" w:lineRule="exact"/>
        <w:rPr>
          <w:sz w:val="20"/>
          <w:szCs w:val="20"/>
          <w:color w:val="auto"/>
        </w:rPr>
      </w:pPr>
    </w:p>
    <w:p>
      <w:pPr>
        <w:ind w:right="140" w:firstLine="284"/>
        <w:spacing w:after="0" w:line="340" w:lineRule="auto"/>
        <w:rPr>
          <w:sz w:val="20"/>
          <w:szCs w:val="20"/>
          <w:color w:val="auto"/>
        </w:rPr>
      </w:pPr>
      <w:r>
        <w:rPr>
          <w:rFonts w:ascii="Arial" w:cs="Arial" w:eastAsia="Arial" w:hAnsi="Arial"/>
          <w:sz w:val="14"/>
          <w:szCs w:val="14"/>
          <w:color w:val="auto"/>
        </w:rPr>
        <w:t>The aggregate consideration for the Lab Society Acquisition consisted of: (a) $4.0 million in cash, subject to certain adjustments for working capital, cash and indebtedness of Lab Society at closing; (b) 2,128 shares of Common Stock (the “Buyer Shares”); and (c) the Earn-out Consideration (as defined below), to the extent earned.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60" w:name="page61"/>
    <w:bookmarkEnd w:id="60"/>
    <w:p>
      <w:pPr>
        <w:ind w:right="40" w:firstLine="284"/>
        <w:spacing w:after="0" w:line="282" w:lineRule="auto"/>
        <w:rPr>
          <w:sz w:val="20"/>
          <w:szCs w:val="20"/>
          <w:color w:val="auto"/>
        </w:rPr>
      </w:pPr>
      <w:r>
        <w:rPr>
          <w:rFonts w:ascii="Arial" w:cs="Arial" w:eastAsia="Arial" w:hAnsi="Arial"/>
          <w:sz w:val="15"/>
          <w:szCs w:val="15"/>
          <w:color w:val="auto"/>
        </w:rPr>
        <w:t>We withheld 638 of the Buyer Shares issuable to the Owners (the “Holdback Lab Buyer Shares”) for the purpose of securing any post-closing adjustment owed to us and any claim for indemnification or payment of damages to which we may be entitled under the Merger Agreement. The Holdback Lab Buyer Shares shall be released following the twelve-month anniversary of the Closing Date in accordance with and subject to the conditions of the Merger Agreement.</w:t>
      </w:r>
    </w:p>
    <w:p>
      <w:pPr>
        <w:spacing w:after="0" w:line="149" w:lineRule="exact"/>
        <w:rPr>
          <w:sz w:val="20"/>
          <w:szCs w:val="20"/>
          <w:color w:val="auto"/>
        </w:rPr>
      </w:pPr>
    </w:p>
    <w:p>
      <w:pPr>
        <w:ind w:right="180" w:firstLine="284"/>
        <w:spacing w:after="0" w:line="311" w:lineRule="auto"/>
        <w:rPr>
          <w:sz w:val="20"/>
          <w:szCs w:val="20"/>
          <w:color w:val="auto"/>
        </w:rPr>
      </w:pPr>
      <w:r>
        <w:rPr>
          <w:rFonts w:ascii="Arial" w:cs="Arial" w:eastAsia="Arial" w:hAnsi="Arial"/>
          <w:sz w:val="14"/>
          <w:szCs w:val="14"/>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131" w:lineRule="exact"/>
        <w:rPr>
          <w:sz w:val="20"/>
          <w:szCs w:val="20"/>
          <w:color w:val="auto"/>
        </w:rPr>
      </w:pPr>
    </w:p>
    <w:p>
      <w:pPr>
        <w:ind w:right="240" w:firstLine="284"/>
        <w:spacing w:after="0" w:line="251" w:lineRule="auto"/>
        <w:rPr>
          <w:sz w:val="20"/>
          <w:szCs w:val="20"/>
          <w:color w:val="auto"/>
        </w:rPr>
      </w:pPr>
      <w:r>
        <w:rPr>
          <w:rFonts w:ascii="Arial" w:cs="Arial" w:eastAsia="Arial" w:hAnsi="Arial"/>
          <w:sz w:val="16"/>
          <w:szCs w:val="16"/>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$7.9 million and may be adjusted upon further review of the values assigned to identifiable intangible assets and goodwill.</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40" w:firstLine="284"/>
        <w:spacing w:after="0" w:line="303" w:lineRule="auto"/>
        <w:rPr>
          <w:sz w:val="20"/>
          <w:szCs w:val="20"/>
          <w:color w:val="auto"/>
        </w:rPr>
      </w:pPr>
      <w:r>
        <w:rPr>
          <w:rFonts w:ascii="Arial" w:cs="Arial" w:eastAsia="Arial" w:hAnsi="Arial"/>
          <w:sz w:val="14"/>
          <w:szCs w:val="14"/>
          <w:color w:val="auto"/>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amortize our intangible assets assuming no residual value over periods in which the economic benefit of these assets is consumed.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 Purchase Agreement</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On March 14, 2022, we entered into a Securities Purchase Agreement (the “Securities Purchase Agreement”) with an accredited investor (the “Investor”), pursuant to which,</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among other things, we agreed to issue and sell to the Investor, in a private placement transaction (the “Private Placement”), in exchange for the payment by the Investor of</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$65 million, less applicable expenses as set forth in the Securities Purchase Agreement, (i) a senior secured promissory note in an aggregate principal amount of $65 million (the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“SPA Note”), and (ii) a warrant (the “SPA Warrant”) to purchase up to an aggregate of 34,406 shares of Common Stock.</w:t>
      </w:r>
    </w:p>
    <w:p>
      <w:pPr>
        <w:spacing w:after="0" w:line="183" w:lineRule="exact"/>
        <w:rPr>
          <w:sz w:val="20"/>
          <w:szCs w:val="20"/>
          <w:color w:val="auto"/>
        </w:rPr>
      </w:pPr>
    </w:p>
    <w:p>
      <w:pPr>
        <w:ind w:firstLine="284"/>
        <w:spacing w:after="0" w:line="271" w:lineRule="auto"/>
        <w:rPr>
          <w:sz w:val="20"/>
          <w:szCs w:val="20"/>
          <w:color w:val="auto"/>
        </w:rPr>
      </w:pPr>
      <w:r>
        <w:rPr>
          <w:rFonts w:ascii="Arial" w:cs="Arial" w:eastAsia="Arial" w:hAnsi="Arial"/>
          <w:sz w:val="15"/>
          <w:szCs w:val="15"/>
          <w:color w:val="auto"/>
        </w:rPr>
        <w:t>The SPA Note will be a senior secured obligation of us and ranks senior to all indebtedness of us. We will be required to make amortization payments equal to 4.0% of the original principal amount of the SPA Note on the first day of each calendar month starting on February 1, 2023 and extending through the maturity date of March 1, 2026 (the “Maturity Date”), at which time all remaining outstanding principal and accrued but unpaid interest will be due. The SPA Note has a stated interest rate of 6.75% per year, and we will be required to pay interest on March 1, June 1, September 1, and December 1 of each calendar year through and including the Maturity Date. Following the one-year anniversary of the SPA Note’s issuance, we may, in lieu of paying interest in cash, pay such interest in kind, in which case interest on the SPA Note will be calculated at the rate of 8.75% per year and will be added to the principal amount of the SPA Note.</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At any time following the one-year anniversary of the SPA Note’s issuance, we may prepay all (but not less than all) of the SPA Note by redemption at a price equal</w:t>
      </w:r>
    </w:p>
    <w:p>
      <w:pPr>
        <w:spacing w:after="0" w:line="28" w:lineRule="exact"/>
        <w:rPr>
          <w:sz w:val="20"/>
          <w:szCs w:val="20"/>
          <w:color w:val="auto"/>
        </w:rPr>
      </w:pPr>
    </w:p>
    <w:p>
      <w:pPr>
        <w:ind w:right="240"/>
        <w:spacing w:after="0" w:line="324" w:lineRule="auto"/>
        <w:rPr>
          <w:sz w:val="20"/>
          <w:szCs w:val="20"/>
          <w:color w:val="auto"/>
        </w:rPr>
      </w:pPr>
      <w:r>
        <w:rPr>
          <w:rFonts w:ascii="Arial" w:cs="Arial" w:eastAsia="Arial" w:hAnsi="Arial"/>
          <w:sz w:val="14"/>
          <w:szCs w:val="14"/>
          <w:color w:val="auto"/>
        </w:rPr>
        <w:t>to 106.75% of the then-outstanding principal amount under the SPA Note plus accrued but unpaid interest. The Investor will also have the option of requiring us to redeem the SPA Note if we undergo a fundamental change at a price equal to 107% of the then-outstanding principal amount under the SPA Note plus any accrued interest thereon.</w:t>
      </w:r>
    </w:p>
    <w:p>
      <w:pPr>
        <w:spacing w:after="0" w:line="122" w:lineRule="exact"/>
        <w:rPr>
          <w:sz w:val="20"/>
          <w:szCs w:val="20"/>
          <w:color w:val="auto"/>
        </w:rPr>
      </w:pPr>
    </w:p>
    <w:p>
      <w:pPr>
        <w:ind w:firstLine="284"/>
        <w:spacing w:after="0" w:line="253" w:lineRule="auto"/>
        <w:rPr>
          <w:sz w:val="20"/>
          <w:szCs w:val="20"/>
          <w:color w:val="auto"/>
        </w:rPr>
      </w:pPr>
      <w:r>
        <w:rPr>
          <w:rFonts w:ascii="Arial" w:cs="Arial" w:eastAsia="Arial" w:hAnsi="Arial"/>
          <w:sz w:val="16"/>
          <w:szCs w:val="16"/>
          <w:color w:val="auto"/>
        </w:rPr>
        <w:t>The Securities Purchase Agreement provides for up to two additional closings subject to certain conditions set forth in the Securities Purchase Agreement and on substantially the same terms as the initial closing. Each subsequent closing would result in the issuance of a senior secured note with an original principal amount of $35.0 million and warrants to purchase shares of Common Stock equal to 65% of such principal amount divided by the closing price of Common Stock on the trading day immediately prior to such subsequent closing.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61" w:name="page62"/>
    <w:bookmarkEnd w:id="61"/>
    <w:p>
      <w:pPr>
        <w:ind w:firstLine="284"/>
        <w:spacing w:after="0" w:line="271" w:lineRule="auto"/>
        <w:rPr>
          <w:sz w:val="20"/>
          <w:szCs w:val="20"/>
          <w:color w:val="auto"/>
        </w:rPr>
      </w:pPr>
      <w:r>
        <w:rPr>
          <w:rFonts w:ascii="Arial" w:cs="Arial" w:eastAsia="Arial" w:hAnsi="Arial"/>
          <w:sz w:val="15"/>
          <w:szCs w:val="15"/>
          <w:color w:val="auto"/>
        </w:rPr>
        <w:t>The SPA Note will impose certain customary affirmative and negative covenants upon us, as well as covenants that (i) restrict us and its subsidiaries from incurring any additional indebtedness or suffering any liens, subject to specified exceptions, (ii) restrict the ability of us and its subsidiaries from making certain investments, subject to specified exceptions, (iii) restrict the declaration of any dividends or other distributions, subject to specified exceptions, (iv) require us to maintain specified earnings and adjusted EBITDA targets, and (v) require us to maintain minimum amounts of cash on hand. If an event of default under the SPA Note occurs, the Investor can elect to redeem the SPA Note for cash equal to 115% of the then-outstanding principal amount of the SPA Note (or such lesser principal amount accelerated by the Investor), plus accrued and unpaid interest, including default interest, which accrues at a rate per year equal to 15% from the date of a default or event of default.</w:t>
      </w:r>
    </w:p>
    <w:p>
      <w:pPr>
        <w:spacing w:after="0" w:line="156" w:lineRule="exact"/>
        <w:rPr>
          <w:sz w:val="20"/>
          <w:szCs w:val="20"/>
          <w:color w:val="auto"/>
        </w:rPr>
      </w:pPr>
    </w:p>
    <w:p>
      <w:pPr>
        <w:ind w:right="120" w:firstLine="284"/>
        <w:spacing w:after="0" w:line="268" w:lineRule="auto"/>
        <w:rPr>
          <w:sz w:val="20"/>
          <w:szCs w:val="20"/>
          <w:color w:val="auto"/>
        </w:rPr>
      </w:pPr>
      <w:r>
        <w:rPr>
          <w:rFonts w:ascii="Arial" w:cs="Arial" w:eastAsia="Arial" w:hAnsi="Arial"/>
          <w:sz w:val="16"/>
          <w:szCs w:val="16"/>
          <w:color w:val="auto"/>
        </w:rPr>
        <w:t>Until the date the SPA Note is fully repaid, the Investor will, subject to certain exceptions, have the right to participate for up to 30% of any debt, Preferred Stock or equity-linked financing of us or its subsidiaries.</w:t>
      </w:r>
    </w:p>
    <w:p>
      <w:pPr>
        <w:spacing w:after="0" w:line="157" w:lineRule="exact"/>
        <w:rPr>
          <w:sz w:val="20"/>
          <w:szCs w:val="20"/>
          <w:color w:val="auto"/>
        </w:rPr>
      </w:pPr>
    </w:p>
    <w:p>
      <w:pPr>
        <w:ind w:right="40" w:firstLine="284"/>
        <w:spacing w:after="0" w:line="296" w:lineRule="auto"/>
        <w:rPr>
          <w:sz w:val="20"/>
          <w:szCs w:val="20"/>
          <w:color w:val="auto"/>
        </w:rPr>
      </w:pPr>
      <w:r>
        <w:rPr>
          <w:rFonts w:ascii="Arial" w:cs="Arial" w:eastAsia="Arial" w:hAnsi="Arial"/>
          <w:sz w:val="14"/>
          <w:szCs w:val="14"/>
          <w:color w:val="auto"/>
        </w:rPr>
        <w:t>Each SPA Warrant to be issued in the initial closing will have an exercise price of $1,350.00 per share, subject to adjustment for stock splits, reverse stock splits, stock dividends and similar transactions, will be immediately exercisable, has a term of five and one-half years from the date of issuance and will be exercisable on a cash basis, unless there is not an effective registration statement covering the resale of the shares issuable upon exercise of the Warrant (the “SPA Warrant Shares”), in which case the SPA Warrant shall also be exercisable on a cashless exercise basis at the Investor’s election. The Securities Purchase Agreement requires us to file resale registration statements with respect to the SPA Warrant Shares as soon as practicable and in any event within 45 days following the initial closing and any subsequent closings.</w:t>
      </w:r>
    </w:p>
    <w:p>
      <w:pPr>
        <w:spacing w:after="0" w:line="143" w:lineRule="exact"/>
        <w:rPr>
          <w:sz w:val="20"/>
          <w:szCs w:val="20"/>
          <w:color w:val="auto"/>
        </w:rPr>
      </w:pPr>
    </w:p>
    <w:p>
      <w:pPr>
        <w:ind w:right="20" w:firstLine="284"/>
        <w:spacing w:after="0" w:line="253" w:lineRule="auto"/>
        <w:rPr>
          <w:sz w:val="20"/>
          <w:szCs w:val="20"/>
          <w:color w:val="auto"/>
        </w:rPr>
      </w:pPr>
      <w:r>
        <w:rPr>
          <w:rFonts w:ascii="Arial" w:cs="Arial" w:eastAsia="Arial" w:hAnsi="Arial"/>
          <w:sz w:val="16"/>
          <w:szCs w:val="16"/>
          <w:color w:val="auto"/>
        </w:rPr>
        <w:t>The SPA Warrant will provide that in no event will the number of shares of Common Stock issued upon exercise of the SPA Warrant result in the Investor’s beneficial ownership exceeding 4.99% of our shares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us).</w:t>
      </w:r>
    </w:p>
    <w:p>
      <w:pPr>
        <w:spacing w:after="0" w:line="170" w:lineRule="exact"/>
        <w:rPr>
          <w:sz w:val="20"/>
          <w:szCs w:val="20"/>
          <w:color w:val="auto"/>
        </w:rPr>
      </w:pPr>
    </w:p>
    <w:p>
      <w:pPr>
        <w:ind w:right="580" w:firstLine="284"/>
        <w:spacing w:after="0" w:line="302" w:lineRule="auto"/>
        <w:rPr>
          <w:sz w:val="20"/>
          <w:szCs w:val="20"/>
          <w:color w:val="auto"/>
        </w:rPr>
      </w:pPr>
      <w:r>
        <w:rPr>
          <w:rFonts w:ascii="Arial" w:cs="Arial" w:eastAsia="Arial" w:hAnsi="Arial"/>
          <w:sz w:val="15"/>
          <w:szCs w:val="15"/>
          <w:color w:val="auto"/>
        </w:rPr>
        <w:t>The Securities Purchase Agreement also contains customary representations and warranties of us and the Investor. There is no material relationship between us or its affiliates and the Investor other than in respect of the Securities Purchase Agreement, the SPA Note and the SPA Warrant.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coronavirus pandemic (“COVID-19”)</w:t>
      </w:r>
    </w:p>
    <w:p>
      <w:pPr>
        <w:spacing w:after="0" w:line="194" w:lineRule="exact"/>
        <w:rPr>
          <w:sz w:val="20"/>
          <w:szCs w:val="20"/>
          <w:color w:val="auto"/>
        </w:rPr>
      </w:pPr>
    </w:p>
    <w:p>
      <w:pPr>
        <w:ind w:right="40" w:firstLine="284"/>
        <w:spacing w:after="0" w:line="253" w:lineRule="auto"/>
        <w:rPr>
          <w:sz w:val="20"/>
          <w:szCs w:val="20"/>
          <w:color w:val="auto"/>
        </w:rPr>
      </w:pPr>
      <w:r>
        <w:rPr>
          <w:rFonts w:ascii="Arial" w:cs="Arial" w:eastAsia="Arial" w:hAnsi="Arial"/>
          <w:sz w:val="16"/>
          <w:szCs w:val="16"/>
          <w:color w:val="auto"/>
        </w:rPr>
        <w:t>The extensive impact of the pandemic caused by COVID-19 has resulted and will likely continue to result in significant disruptions to the global economy, as well as businesses and capital markets around the world. In an effort to halt the outbreak of COVID-19, a number of countries, states, counties, and other jurisdictions have imposed, and may impose in the future, various measures, including but not limited to, voluntary and mandatory quarantines, stay-at-home orders, travel restrictions, limitations on gatherings of people, reduced operations, and extended closures of businesses.</w:t>
      </w:r>
    </w:p>
    <w:p>
      <w:pPr>
        <w:spacing w:after="0" w:line="170" w:lineRule="exact"/>
        <w:rPr>
          <w:sz w:val="20"/>
          <w:szCs w:val="20"/>
          <w:color w:val="auto"/>
        </w:rPr>
      </w:pPr>
    </w:p>
    <w:p>
      <w:pPr>
        <w:ind w:right="40" w:firstLine="284"/>
        <w:spacing w:after="0" w:line="276" w:lineRule="auto"/>
        <w:rPr>
          <w:sz w:val="20"/>
          <w:szCs w:val="20"/>
          <w:color w:val="auto"/>
        </w:rPr>
      </w:pPr>
      <w:r>
        <w:rPr>
          <w:rFonts w:ascii="Arial" w:cs="Arial" w:eastAsia="Arial" w:hAnsi="Arial"/>
          <w:sz w:val="15"/>
          <w:szCs w:val="15"/>
          <w:color w:val="auto"/>
        </w:rPr>
        <w:t>To date, although all of our operations are functioning, COVID-19 has continued to cause some disruptions to our business, such as some temporary delays in the delivery of our inventory. Although the ability of our suppliers to timely ship their goods has affected some of our deliveries, currently the difficulties experienced by our suppliers have not yet materially impacted our ability to deliver products to our customers. However, if this continues, it may negatively affect any inventory we may have and more significantly delay the delivery of merchandise to our customers, which in turn will adversely affect our revenues and results of operations.</w:t>
      </w:r>
    </w:p>
    <w:p>
      <w:pPr>
        <w:spacing w:after="0" w:line="153" w:lineRule="exact"/>
        <w:rPr>
          <w:sz w:val="20"/>
          <w:szCs w:val="20"/>
          <w:color w:val="auto"/>
        </w:rPr>
      </w:pPr>
    </w:p>
    <w:p>
      <w:pPr>
        <w:ind w:right="40" w:firstLine="284"/>
        <w:spacing w:after="0" w:line="301" w:lineRule="auto"/>
        <w:rPr>
          <w:sz w:val="20"/>
          <w:szCs w:val="20"/>
          <w:color w:val="auto"/>
        </w:rPr>
      </w:pPr>
      <w:r>
        <w:rPr>
          <w:rFonts w:ascii="Arial" w:cs="Arial" w:eastAsia="Arial" w:hAnsi="Arial"/>
          <w:sz w:val="14"/>
          <w:szCs w:val="14"/>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color w:val="auto"/>
        </w:rPr>
        <w:t>Use of Estimates</w:t>
      </w:r>
    </w:p>
    <w:p>
      <w:pPr>
        <w:spacing w:after="0" w:line="198" w:lineRule="exact"/>
        <w:rPr>
          <w:sz w:val="20"/>
          <w:szCs w:val="20"/>
          <w:color w:val="auto"/>
        </w:rPr>
      </w:pPr>
    </w:p>
    <w:p>
      <w:pPr>
        <w:ind w:right="80" w:firstLine="284"/>
        <w:spacing w:after="0" w:line="252"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useful life of fixed assets and intangible assets.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Overview</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Policies and Significant Judgments and Estimates</w:t>
      </w:r>
    </w:p>
    <w:p>
      <w:pPr>
        <w:spacing w:after="0" w:line="194" w:lineRule="exact"/>
        <w:rPr>
          <w:sz w:val="20"/>
          <w:szCs w:val="20"/>
          <w:color w:val="auto"/>
        </w:rPr>
      </w:pPr>
    </w:p>
    <w:p>
      <w:pPr>
        <w:ind w:right="60" w:firstLine="284"/>
        <w:spacing w:after="0" w:line="251" w:lineRule="auto"/>
        <w:rPr>
          <w:sz w:val="20"/>
          <w:szCs w:val="20"/>
          <w:color w:val="auto"/>
        </w:rPr>
      </w:pPr>
      <w:r>
        <w:rPr>
          <w:rFonts w:ascii="Arial" w:cs="Arial" w:eastAsia="Arial" w:hAnsi="Arial"/>
          <w:sz w:val="16"/>
          <w:szCs w:val="16"/>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estimates,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70" w:lineRule="exact"/>
        <w:rPr>
          <w:sz w:val="20"/>
          <w:szCs w:val="20"/>
          <w:color w:val="auto"/>
        </w:rPr>
      </w:pPr>
    </w:p>
    <w:p>
      <w:pPr>
        <w:ind w:right="40" w:firstLine="284"/>
        <w:spacing w:after="0" w:line="268" w:lineRule="auto"/>
        <w:rPr>
          <w:sz w:val="20"/>
          <w:szCs w:val="20"/>
          <w:color w:val="auto"/>
        </w:rPr>
      </w:pPr>
      <w:r>
        <w:rPr>
          <w:rFonts w:ascii="Arial" w:cs="Arial" w:eastAsia="Arial" w:hAnsi="Arial"/>
          <w:sz w:val="16"/>
          <w:szCs w:val="16"/>
          <w:color w:val="auto"/>
        </w:rPr>
        <w:t>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w:t>
      </w:r>
    </w:p>
    <w:p>
      <w:pPr>
        <w:spacing w:after="0" w:line="157"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Our financial statements have been prepared assuming we will continue as a going concern. Since inception, we have experienced recurring net losses. These factors, among others, raise substantial doubt about our ability to continue as a going concern. Our financial statements do not include any adjustments that might result from the outcome of this uncertainty.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Overview</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generate revenue from the following sources: (1) equipment sales, (2) providing services and (3) construction contracts.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accordance with ASC 606 “Revenue Recognition”, we recognize revenue from contracts with customers using a five-step model, which is described below:</w:t>
      </w:r>
    </w:p>
    <w:p>
      <w:pPr>
        <w:spacing w:after="0" w:line="206" w:lineRule="exact"/>
        <w:rPr>
          <w:sz w:val="20"/>
          <w:szCs w:val="20"/>
          <w:color w:val="auto"/>
        </w:rPr>
      </w:pPr>
    </w:p>
    <w:p>
      <w:pPr>
        <w:ind w:left="560" w:hanging="282"/>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identify the customer contract;</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identify performance obligations that are distinct;</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determine the transaction price;</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allocate the transaction price to the distinct performance obligations; and</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recognize revenue as the performance obligations are satisfied.</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00"/>
          </w:cols>
          <w:pgMar w:left="320" w:top="785" w:right="379" w:bottom="1440" w:gutter="0" w:footer="0" w:header="0"/>
        </w:sectPr>
      </w:pPr>
    </w:p>
    <w:bookmarkStart w:id="63" w:name="page64"/>
    <w:bookmarkEnd w:id="63"/>
    <w:p>
      <w:pPr>
        <w:ind w:left="280"/>
        <w:spacing w:after="0"/>
        <w:rPr>
          <w:sz w:val="20"/>
          <w:szCs w:val="20"/>
          <w:color w:val="auto"/>
        </w:rPr>
      </w:pPr>
      <w:r>
        <w:rPr>
          <w:rFonts w:ascii="Arial" w:cs="Arial" w:eastAsia="Arial" w:hAnsi="Arial"/>
          <w:sz w:val="16"/>
          <w:szCs w:val="16"/>
          <w:b w:val="1"/>
          <w:bCs w:val="1"/>
          <w:i w:val="1"/>
          <w:iCs w:val="1"/>
          <w:color w:val="auto"/>
        </w:rPr>
        <w:t>Identify the customer contract</w:t>
      </w:r>
    </w:p>
    <w:p>
      <w:pPr>
        <w:spacing w:after="0" w:line="194" w:lineRule="exact"/>
        <w:rPr>
          <w:sz w:val="20"/>
          <w:szCs w:val="20"/>
          <w:color w:val="auto"/>
        </w:rPr>
      </w:pPr>
    </w:p>
    <w:p>
      <w:pPr>
        <w:jc w:val="both"/>
        <w:ind w:right="480" w:firstLine="284"/>
        <w:spacing w:after="0" w:line="257" w:lineRule="auto"/>
        <w:rPr>
          <w:sz w:val="20"/>
          <w:szCs w:val="20"/>
          <w:color w:val="auto"/>
        </w:rPr>
      </w:pPr>
      <w:r>
        <w:rPr>
          <w:rFonts w:ascii="Arial" w:cs="Arial" w:eastAsia="Arial" w:hAnsi="Arial"/>
          <w:sz w:val="16"/>
          <w:szCs w:val="16"/>
          <w:color w:val="auto"/>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Identify performance obligations that are distinct</w:t>
      </w:r>
    </w:p>
    <w:p>
      <w:pPr>
        <w:spacing w:after="0" w:line="194" w:lineRule="exact"/>
        <w:rPr>
          <w:sz w:val="20"/>
          <w:szCs w:val="20"/>
          <w:color w:val="auto"/>
        </w:rPr>
      </w:pPr>
    </w:p>
    <w:p>
      <w:pPr>
        <w:ind w:right="80" w:firstLine="284"/>
        <w:spacing w:after="0" w:line="257" w:lineRule="auto"/>
        <w:rPr>
          <w:sz w:val="20"/>
          <w:szCs w:val="20"/>
          <w:color w:val="auto"/>
        </w:rPr>
      </w:pPr>
      <w:r>
        <w:rPr>
          <w:rFonts w:ascii="Arial" w:cs="Arial" w:eastAsia="Arial" w:hAnsi="Arial"/>
          <w:sz w:val="16"/>
          <w:szCs w:val="16"/>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Determine the transaction price</w:t>
      </w:r>
    </w:p>
    <w:p>
      <w:pPr>
        <w:spacing w:after="0" w:line="194" w:lineRule="exact"/>
        <w:rPr>
          <w:sz w:val="20"/>
          <w:szCs w:val="20"/>
          <w:color w:val="auto"/>
        </w:rPr>
      </w:pPr>
    </w:p>
    <w:p>
      <w:pPr>
        <w:ind w:right="60" w:firstLine="284"/>
        <w:spacing w:after="0" w:line="268" w:lineRule="auto"/>
        <w:rPr>
          <w:sz w:val="20"/>
          <w:szCs w:val="20"/>
          <w:color w:val="auto"/>
        </w:rPr>
      </w:pPr>
      <w:r>
        <w:rPr>
          <w:rFonts w:ascii="Arial" w:cs="Arial" w:eastAsia="Arial" w:hAnsi="Arial"/>
          <w:sz w:val="16"/>
          <w:szCs w:val="16"/>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Allocate the transaction price to distinct performance obligations</w:t>
      </w:r>
    </w:p>
    <w:p>
      <w:pPr>
        <w:spacing w:after="0" w:line="194" w:lineRule="exact"/>
        <w:rPr>
          <w:sz w:val="20"/>
          <w:szCs w:val="20"/>
          <w:color w:val="auto"/>
        </w:rPr>
      </w:pPr>
    </w:p>
    <w:p>
      <w:pPr>
        <w:ind w:right="60" w:firstLine="284"/>
        <w:spacing w:after="0" w:line="311" w:lineRule="auto"/>
        <w:rPr>
          <w:sz w:val="20"/>
          <w:szCs w:val="20"/>
          <w:color w:val="auto"/>
        </w:rPr>
      </w:pPr>
      <w:r>
        <w:rPr>
          <w:rFonts w:ascii="Arial" w:cs="Arial" w:eastAsia="Arial" w:hAnsi="Arial"/>
          <w:sz w:val="14"/>
          <w:szCs w:val="14"/>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Recognize revenue as the performance obligations are satisfied</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Revenue is recognized when, or as, performance obligations are satisfied by transferring control of a promised product or service to a customer.</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Significant Judgments</w:t>
      </w:r>
    </w:p>
    <w:p>
      <w:pPr>
        <w:spacing w:after="0" w:line="194" w:lineRule="exact"/>
        <w:rPr>
          <w:sz w:val="20"/>
          <w:szCs w:val="20"/>
          <w:color w:val="auto"/>
        </w:rPr>
      </w:pPr>
    </w:p>
    <w:p>
      <w:pPr>
        <w:ind w:right="200" w:firstLine="284"/>
        <w:spacing w:after="0" w:line="251" w:lineRule="auto"/>
        <w:rPr>
          <w:sz w:val="20"/>
          <w:szCs w:val="20"/>
          <w:color w:val="auto"/>
        </w:rPr>
      </w:pPr>
      <w:r>
        <w:rPr>
          <w:rFonts w:ascii="Arial" w:cs="Arial" w:eastAsia="Arial" w:hAnsi="Arial"/>
          <w:sz w:val="16"/>
          <w:szCs w:val="16"/>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170" w:lineRule="exact"/>
        <w:rPr>
          <w:sz w:val="20"/>
          <w:szCs w:val="20"/>
          <w:color w:val="auto"/>
        </w:rPr>
      </w:pPr>
    </w:p>
    <w:p>
      <w:pPr>
        <w:ind w:firstLine="284"/>
        <w:spacing w:after="0" w:line="269" w:lineRule="auto"/>
        <w:rPr>
          <w:sz w:val="20"/>
          <w:szCs w:val="20"/>
          <w:color w:val="auto"/>
        </w:rPr>
      </w:pPr>
      <w:r>
        <w:rPr>
          <w:rFonts w:ascii="Arial" w:cs="Arial" w:eastAsia="Arial" w:hAnsi="Arial"/>
          <w:sz w:val="15"/>
          <w:szCs w:val="15"/>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606-10-32-33. If the SSP is not observable through past transactions, we estimate the SSP, taking into account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64" w:name="page65"/>
    <w:bookmarkEnd w:id="64"/>
    <w:p>
      <w:pPr>
        <w:ind w:right="80" w:firstLine="284"/>
        <w:spacing w:after="0" w:line="268" w:lineRule="auto"/>
        <w:rPr>
          <w:sz w:val="20"/>
          <w:szCs w:val="20"/>
          <w:color w:val="auto"/>
        </w:rPr>
      </w:pPr>
      <w:r>
        <w:rPr>
          <w:rFonts w:ascii="Arial" w:cs="Arial" w:eastAsia="Arial" w:hAnsi="Arial"/>
          <w:sz w:val="16"/>
          <w:szCs w:val="16"/>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determine the SSP for services in time and materials contracts by observable prices in standalone services arrangements.</w:t>
      </w:r>
    </w:p>
    <w:p>
      <w:pPr>
        <w:spacing w:after="0" w:line="194" w:lineRule="exact"/>
        <w:rPr>
          <w:sz w:val="20"/>
          <w:szCs w:val="20"/>
          <w:color w:val="auto"/>
        </w:rPr>
      </w:pPr>
    </w:p>
    <w:p>
      <w:pPr>
        <w:jc w:val="both"/>
        <w:ind w:firstLine="284"/>
        <w:spacing w:after="0" w:line="257" w:lineRule="auto"/>
        <w:rPr>
          <w:sz w:val="20"/>
          <w:szCs w:val="20"/>
          <w:color w:val="auto"/>
        </w:rPr>
      </w:pPr>
      <w:r>
        <w:rPr>
          <w:rFonts w:ascii="Arial" w:cs="Arial" w:eastAsia="Arial" w:hAnsi="Arial"/>
          <w:sz w:val="16"/>
          <w:szCs w:val="16"/>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66" w:lineRule="exact"/>
        <w:rPr>
          <w:sz w:val="20"/>
          <w:szCs w:val="20"/>
          <w:color w:val="auto"/>
        </w:rPr>
      </w:pPr>
    </w:p>
    <w:p>
      <w:pPr>
        <w:ind w:firstLine="284"/>
        <w:spacing w:after="0" w:line="271" w:lineRule="auto"/>
        <w:rPr>
          <w:sz w:val="20"/>
          <w:szCs w:val="20"/>
          <w:color w:val="auto"/>
        </w:rPr>
      </w:pPr>
      <w:r>
        <w:rPr>
          <w:rFonts w:ascii="Arial" w:cs="Arial" w:eastAsia="Arial" w:hAnsi="Arial"/>
          <w:sz w:val="15"/>
          <w:szCs w:val="15"/>
          <w:color w:val="auto"/>
        </w:rPr>
        <w:t>If a contract has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 upon interest rate and will present the financing components separately as financial income. For the three months ended March 31, 2022 and 2021, we did not have any such financial income.</w:t>
      </w:r>
    </w:p>
    <w:p>
      <w:pPr>
        <w:spacing w:after="0" w:line="156" w:lineRule="exact"/>
        <w:rPr>
          <w:sz w:val="20"/>
          <w:szCs w:val="20"/>
          <w:color w:val="auto"/>
        </w:rPr>
      </w:pPr>
    </w:p>
    <w:p>
      <w:pPr>
        <w:jc w:val="both"/>
        <w:ind w:right="120" w:firstLine="284"/>
        <w:spacing w:after="0" w:line="257" w:lineRule="auto"/>
        <w:rPr>
          <w:sz w:val="20"/>
          <w:szCs w:val="20"/>
          <w:color w:val="auto"/>
        </w:rPr>
      </w:pPr>
      <w:r>
        <w:rPr>
          <w:rFonts w:ascii="Arial" w:cs="Arial" w:eastAsia="Arial" w:hAnsi="Arial"/>
          <w:sz w:val="16"/>
          <w:szCs w:val="16"/>
          <w:color w:val="auto"/>
        </w:rPr>
        <w:t>Payment terms with customers typically require payment 30 days from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66" w:lineRule="exact"/>
        <w:rPr>
          <w:sz w:val="20"/>
          <w:szCs w:val="20"/>
          <w:color w:val="auto"/>
        </w:rPr>
      </w:pPr>
    </w:p>
    <w:p>
      <w:pPr>
        <w:ind w:right="220" w:firstLine="284"/>
        <w:spacing w:after="0" w:line="253" w:lineRule="auto"/>
        <w:rPr>
          <w:sz w:val="20"/>
          <w:szCs w:val="20"/>
          <w:color w:val="auto"/>
        </w:rPr>
      </w:pPr>
      <w:r>
        <w:rPr>
          <w:rFonts w:ascii="Arial" w:cs="Arial" w:eastAsia="Arial" w:hAnsi="Arial"/>
          <w:sz w:val="16"/>
          <w:szCs w:val="16"/>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70" w:lineRule="exact"/>
        <w:rPr>
          <w:sz w:val="20"/>
          <w:szCs w:val="20"/>
          <w:color w:val="auto"/>
        </w:rPr>
      </w:pPr>
    </w:p>
    <w:p>
      <w:pPr>
        <w:ind w:right="20" w:firstLine="284"/>
        <w:spacing w:after="0" w:line="296" w:lineRule="auto"/>
        <w:rPr>
          <w:sz w:val="20"/>
          <w:szCs w:val="20"/>
          <w:color w:val="auto"/>
        </w:rPr>
      </w:pPr>
      <w:r>
        <w:rPr>
          <w:rFonts w:ascii="Arial" w:cs="Arial" w:eastAsia="Arial" w:hAnsi="Arial"/>
          <w:sz w:val="14"/>
          <w:szCs w:val="14"/>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143" w:lineRule="exact"/>
        <w:rPr>
          <w:sz w:val="20"/>
          <w:szCs w:val="20"/>
          <w:color w:val="auto"/>
        </w:rPr>
      </w:pPr>
    </w:p>
    <w:p>
      <w:pPr>
        <w:ind w:right="180" w:firstLine="284"/>
        <w:spacing w:after="0" w:line="253" w:lineRule="auto"/>
        <w:rPr>
          <w:sz w:val="20"/>
          <w:szCs w:val="20"/>
          <w:color w:val="auto"/>
        </w:rPr>
      </w:pPr>
      <w:r>
        <w:rPr>
          <w:rFonts w:ascii="Arial" w:cs="Arial" w:eastAsia="Arial" w:hAnsi="Arial"/>
          <w:sz w:val="16"/>
          <w:szCs w:val="16"/>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0" w:lineRule="exact"/>
        <w:rPr>
          <w:sz w:val="20"/>
          <w:szCs w:val="20"/>
          <w:color w:val="auto"/>
        </w:rPr>
      </w:pPr>
    </w:p>
    <w:p>
      <w:pPr>
        <w:ind w:right="140" w:firstLine="284"/>
        <w:spacing w:after="0" w:line="311" w:lineRule="auto"/>
        <w:rPr>
          <w:sz w:val="20"/>
          <w:szCs w:val="20"/>
          <w:color w:val="auto"/>
        </w:rPr>
      </w:pPr>
      <w:r>
        <w:rPr>
          <w:rFonts w:ascii="Arial" w:cs="Arial" w:eastAsia="Arial" w:hAnsi="Arial"/>
          <w:sz w:val="14"/>
          <w:szCs w:val="14"/>
          <w:color w:val="auto"/>
        </w:rPr>
        <w:t>We generally provide a one-year warranty on our products for materials and workmanship but may provide multiple-year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condensed consolidated balance sheets.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Accounting for Business Combinations</w:t>
      </w:r>
    </w:p>
    <w:p>
      <w:pPr>
        <w:spacing w:after="0" w:line="198" w:lineRule="exact"/>
        <w:rPr>
          <w:sz w:val="20"/>
          <w:szCs w:val="20"/>
          <w:color w:val="auto"/>
        </w:rPr>
      </w:pPr>
    </w:p>
    <w:p>
      <w:pPr>
        <w:ind w:firstLine="284"/>
        <w:spacing w:after="0" w:line="276" w:lineRule="auto"/>
        <w:rPr>
          <w:sz w:val="20"/>
          <w:szCs w:val="20"/>
          <w:color w:val="auto"/>
        </w:rPr>
      </w:pPr>
      <w:r>
        <w:rPr>
          <w:rFonts w:ascii="Arial" w:cs="Arial" w:eastAsia="Arial" w:hAnsi="Arial"/>
          <w:sz w:val="15"/>
          <w:szCs w:val="15"/>
          <w:color w:val="auto"/>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53" w:lineRule="exact"/>
        <w:rPr>
          <w:sz w:val="20"/>
          <w:szCs w:val="20"/>
          <w:color w:val="auto"/>
        </w:rPr>
      </w:pPr>
    </w:p>
    <w:p>
      <w:pPr>
        <w:ind w:right="420" w:firstLine="284"/>
        <w:spacing w:after="0" w:line="268" w:lineRule="auto"/>
        <w:rPr>
          <w:sz w:val="20"/>
          <w:szCs w:val="20"/>
          <w:color w:val="auto"/>
        </w:rPr>
      </w:pPr>
      <w:r>
        <w:rPr>
          <w:rFonts w:ascii="Arial" w:cs="Arial" w:eastAsia="Arial" w:hAnsi="Arial"/>
          <w:sz w:val="16"/>
          <w:szCs w:val="16"/>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Examples of critical estimates in valuing certain of the intangible assets we have acquired or may acquire in the future include but are not limited to:</w:t>
      </w:r>
    </w:p>
    <w:p>
      <w:pPr>
        <w:spacing w:after="0" w:line="194" w:lineRule="exact"/>
        <w:rPr>
          <w:sz w:val="20"/>
          <w:szCs w:val="20"/>
          <w:color w:val="auto"/>
        </w:rPr>
      </w:pPr>
    </w:p>
    <w:p>
      <w:pPr>
        <w:ind w:left="560" w:hanging="282"/>
        <w:spacing w:after="0"/>
        <w:tabs>
          <w:tab w:leader="none" w:pos="5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future expected cash flows from software license sales, support agreements, consulting contracts, other customer contracts, and acquired developed technologies;</w:t>
      </w:r>
    </w:p>
    <w:p>
      <w:pPr>
        <w:spacing w:after="0" w:line="217" w:lineRule="exact"/>
        <w:rPr>
          <w:rFonts w:ascii="Arial" w:cs="Arial" w:eastAsia="Arial" w:hAnsi="Arial"/>
          <w:sz w:val="14"/>
          <w:szCs w:val="14"/>
          <w:color w:val="auto"/>
        </w:rPr>
      </w:pPr>
    </w:p>
    <w:p>
      <w:pPr>
        <w:ind w:left="560" w:hanging="282"/>
        <w:spacing w:after="0"/>
        <w:tabs>
          <w:tab w:leader="none" w:pos="5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expected costs to develop in-process research and development into commercially viable products and estimated cash flows from the projects when completed;</w:t>
      </w:r>
    </w:p>
    <w:p>
      <w:pPr>
        <w:spacing w:after="0" w:line="205" w:lineRule="exact"/>
        <w:rPr>
          <w:rFonts w:ascii="Arial" w:cs="Arial" w:eastAsia="Arial" w:hAnsi="Arial"/>
          <w:sz w:val="15"/>
          <w:szCs w:val="15"/>
          <w:color w:val="auto"/>
        </w:rPr>
      </w:pPr>
    </w:p>
    <w:p>
      <w:pPr>
        <w:ind w:left="560" w:right="300" w:hanging="282"/>
        <w:spacing w:after="0" w:line="268" w:lineRule="auto"/>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acquired company’s brand and competitive position, as well as assumptions about the period of time the acquired brand will continue to be used in the combined company’s product portfolio;</w:t>
      </w:r>
    </w:p>
    <w:p>
      <w:pPr>
        <w:spacing w:after="0" w:line="156" w:lineRule="exact"/>
        <w:rPr>
          <w:rFonts w:ascii="Arial" w:cs="Arial" w:eastAsia="Arial" w:hAnsi="Arial"/>
          <w:sz w:val="16"/>
          <w:szCs w:val="16"/>
          <w:color w:val="auto"/>
        </w:rPr>
      </w:pPr>
    </w:p>
    <w:p>
      <w:pPr>
        <w:ind w:left="560" w:hanging="282"/>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 of capital and discount rates; and</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estimating the useful lives of acquired assets as well as the pattern or manner in which the assets will amortize.</w:t>
      </w:r>
    </w:p>
    <w:p>
      <w:pPr>
        <w:spacing w:after="0" w:line="194" w:lineRule="exact"/>
        <w:rPr>
          <w:sz w:val="20"/>
          <w:szCs w:val="20"/>
          <w:color w:val="auto"/>
        </w:rPr>
      </w:pPr>
    </w:p>
    <w:p>
      <w:pPr>
        <w:jc w:val="both"/>
        <w:ind w:right="80" w:firstLine="284"/>
        <w:spacing w:after="0" w:line="311" w:lineRule="auto"/>
        <w:rPr>
          <w:sz w:val="20"/>
          <w:szCs w:val="20"/>
          <w:color w:val="auto"/>
        </w:rPr>
      </w:pPr>
      <w:r>
        <w:rPr>
          <w:rFonts w:ascii="Arial" w:cs="Arial" w:eastAsia="Arial" w:hAnsi="Arial"/>
          <w:sz w:val="14"/>
          <w:szCs w:val="14"/>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Intangible Assets</w:t>
      </w:r>
    </w:p>
    <w:p>
      <w:pPr>
        <w:spacing w:after="0" w:line="198" w:lineRule="exact"/>
        <w:rPr>
          <w:sz w:val="20"/>
          <w:szCs w:val="20"/>
          <w:color w:val="auto"/>
        </w:rPr>
      </w:pPr>
    </w:p>
    <w:p>
      <w:pPr>
        <w:ind w:right="240" w:firstLine="284"/>
        <w:spacing w:after="0" w:line="311" w:lineRule="auto"/>
        <w:rPr>
          <w:sz w:val="20"/>
          <w:szCs w:val="20"/>
          <w:color w:val="auto"/>
        </w:rPr>
      </w:pPr>
      <w:r>
        <w:rPr>
          <w:rFonts w:ascii="Arial" w:cs="Arial" w:eastAsia="Arial" w:hAnsi="Arial"/>
          <w:sz w:val="14"/>
          <w:szCs w:val="14"/>
          <w:color w:val="auto"/>
        </w:rPr>
        <w:t>Amortization of acquired intangible assets is the result of the acquisition of TriGrow, which occurred in 2020, the acquisition of Sinclair which occurred in 2021, the acquisition of PurePressure, which also occurred in 2021, and the acquisition of Lab Society, which occurred in 2022. As a result of these transactions, customer relationships, acquired developed technology, non-compete agreements and trade names were identified as intangible assets, and are amortized over their estimated useful lives.</w:t>
      </w:r>
    </w:p>
    <w:p>
      <w:pPr>
        <w:spacing w:after="0" w:line="131" w:lineRule="exact"/>
        <w:rPr>
          <w:sz w:val="20"/>
          <w:szCs w:val="20"/>
          <w:color w:val="auto"/>
        </w:rPr>
      </w:pPr>
    </w:p>
    <w:p>
      <w:pPr>
        <w:ind w:right="20" w:firstLine="284"/>
        <w:spacing w:after="0" w:line="250" w:lineRule="auto"/>
        <w:rPr>
          <w:sz w:val="20"/>
          <w:szCs w:val="20"/>
          <w:color w:val="auto"/>
        </w:rPr>
      </w:pPr>
      <w:r>
        <w:rPr>
          <w:rFonts w:ascii="Arial" w:cs="Arial" w:eastAsia="Arial" w:hAnsi="Arial"/>
          <w:sz w:val="16"/>
          <w:szCs w:val="16"/>
          <w:color w:val="auto"/>
        </w:rPr>
        <w:t>We recognize the excess of the purchase price over the fair value of identifiable net assets acquired as goodwill. Goodwill is not amortized but is tested for impairment annually on December 2 or more frequently if events or changes in circumstances indicate that the carrying amount of the goodwill may not be recoverable. The Company has determined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the Company’s market value as a result of a significant decline in the Company’s stock price. There have been no impairment charges recorded for three months ended March 31, 2022 and 2021, respectively.</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auto"/>
        </w:rPr>
        <w:t>Capitalization of Internal Software Development Costs</w:t>
      </w:r>
    </w:p>
    <w:p>
      <w:pPr>
        <w:spacing w:after="0" w:line="198" w:lineRule="exact"/>
        <w:rPr>
          <w:sz w:val="20"/>
          <w:szCs w:val="20"/>
          <w:color w:val="auto"/>
        </w:rPr>
      </w:pPr>
    </w:p>
    <w:p>
      <w:pPr>
        <w:ind w:right="60" w:firstLine="284"/>
        <w:spacing w:after="0" w:line="273" w:lineRule="auto"/>
        <w:rPr>
          <w:sz w:val="20"/>
          <w:szCs w:val="20"/>
          <w:color w:val="auto"/>
        </w:rPr>
      </w:pPr>
      <w:r>
        <w:rPr>
          <w:rFonts w:ascii="Arial" w:cs="Arial" w:eastAsia="Arial" w:hAnsi="Arial"/>
          <w:sz w:val="15"/>
          <w:szCs w:val="15"/>
          <w:color w:val="auto"/>
        </w:rPr>
        <w:t>We capitalize certain software engineering efforts related to the continued development of Agrify Insights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98" w:lineRule="exact"/>
        <w:rPr>
          <w:sz w:val="20"/>
          <w:szCs w:val="20"/>
          <w:color w:val="auto"/>
        </w:rPr>
      </w:pPr>
    </w:p>
    <w:p>
      <w:pPr>
        <w:ind w:firstLine="284"/>
        <w:spacing w:after="0" w:line="253" w:lineRule="auto"/>
        <w:rPr>
          <w:sz w:val="20"/>
          <w:szCs w:val="20"/>
          <w:color w:val="auto"/>
        </w:rPr>
      </w:pPr>
      <w:r>
        <w:rPr>
          <w:rFonts w:ascii="Arial" w:cs="Arial" w:eastAsia="Arial" w:hAnsi="Arial"/>
          <w:sz w:val="16"/>
          <w:szCs w:val="16"/>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70" w:lineRule="exact"/>
        <w:rPr>
          <w:sz w:val="20"/>
          <w:szCs w:val="20"/>
          <w:color w:val="auto"/>
        </w:rPr>
      </w:pPr>
    </w:p>
    <w:p>
      <w:pPr>
        <w:ind w:firstLine="284"/>
        <w:spacing w:after="0" w:line="289" w:lineRule="auto"/>
        <w:rPr>
          <w:sz w:val="20"/>
          <w:szCs w:val="20"/>
          <w:color w:val="auto"/>
        </w:rPr>
      </w:pPr>
      <w:r>
        <w:rPr>
          <w:rFonts w:ascii="Arial" w:cs="Arial" w:eastAsia="Arial" w:hAnsi="Arial"/>
          <w:sz w:val="14"/>
          <w:szCs w:val="14"/>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condensed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47" w:lineRule="exact"/>
        <w:rPr>
          <w:sz w:val="20"/>
          <w:szCs w:val="20"/>
          <w:color w:val="auto"/>
        </w:rPr>
      </w:pPr>
    </w:p>
    <w:p>
      <w:pPr>
        <w:ind w:right="120" w:firstLine="284"/>
        <w:spacing w:after="0" w:line="311" w:lineRule="auto"/>
        <w:rPr>
          <w:sz w:val="20"/>
          <w:szCs w:val="20"/>
          <w:color w:val="auto"/>
        </w:rPr>
      </w:pPr>
      <w:r>
        <w:rPr>
          <w:rFonts w:ascii="Arial" w:cs="Arial" w:eastAsia="Arial" w:hAnsi="Arial"/>
          <w:sz w:val="14"/>
          <w:szCs w:val="14"/>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auto"/>
        </w:rPr>
        <w:t>Accounting for Stock-Based Compensation</w:t>
      </w:r>
    </w:p>
    <w:p>
      <w:pPr>
        <w:spacing w:after="0" w:line="198" w:lineRule="exact"/>
        <w:rPr>
          <w:sz w:val="20"/>
          <w:szCs w:val="20"/>
          <w:color w:val="auto"/>
        </w:rPr>
      </w:pPr>
    </w:p>
    <w:p>
      <w:pPr>
        <w:ind w:right="160" w:firstLine="284"/>
        <w:spacing w:after="0" w:line="257" w:lineRule="auto"/>
        <w:rPr>
          <w:sz w:val="20"/>
          <w:szCs w:val="20"/>
          <w:color w:val="auto"/>
        </w:rPr>
      </w:pPr>
      <w:r>
        <w:rPr>
          <w:rFonts w:ascii="Arial" w:cs="Arial" w:eastAsia="Arial" w:hAnsi="Arial"/>
          <w:sz w:val="16"/>
          <w:szCs w:val="16"/>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66" w:lineRule="exact"/>
        <w:rPr>
          <w:sz w:val="20"/>
          <w:szCs w:val="20"/>
          <w:color w:val="auto"/>
        </w:rPr>
      </w:pPr>
    </w:p>
    <w:p>
      <w:pPr>
        <w:ind w:right="480" w:firstLine="284"/>
        <w:spacing w:after="0" w:line="257" w:lineRule="auto"/>
        <w:rPr>
          <w:sz w:val="20"/>
          <w:szCs w:val="20"/>
          <w:color w:val="auto"/>
        </w:rPr>
      </w:pPr>
      <w:r>
        <w:rPr>
          <w:rFonts w:ascii="Arial" w:cs="Arial" w:eastAsia="Arial" w:hAnsi="Arial"/>
          <w:sz w:val="16"/>
          <w:szCs w:val="16"/>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66" w:lineRule="exact"/>
        <w:rPr>
          <w:sz w:val="20"/>
          <w:szCs w:val="20"/>
          <w:color w:val="auto"/>
        </w:rPr>
      </w:pPr>
    </w:p>
    <w:p>
      <w:pPr>
        <w:ind w:firstLine="284"/>
        <w:spacing w:after="0" w:line="268" w:lineRule="auto"/>
        <w:rPr>
          <w:sz w:val="20"/>
          <w:szCs w:val="20"/>
          <w:color w:val="auto"/>
        </w:rPr>
      </w:pPr>
      <w:r>
        <w:rPr>
          <w:rFonts w:ascii="Arial" w:cs="Arial" w:eastAsia="Arial" w:hAnsi="Arial"/>
          <w:sz w:val="15"/>
          <w:szCs w:val="15"/>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62" w:lineRule="exact"/>
        <w:rPr>
          <w:sz w:val="20"/>
          <w:szCs w:val="20"/>
          <w:color w:val="auto"/>
        </w:rPr>
      </w:pPr>
    </w:p>
    <w:p>
      <w:pPr>
        <w:ind w:right="40" w:firstLine="284"/>
        <w:spacing w:after="0" w:line="296" w:lineRule="auto"/>
        <w:rPr>
          <w:sz w:val="20"/>
          <w:szCs w:val="20"/>
          <w:color w:val="auto"/>
        </w:rPr>
      </w:pPr>
      <w:r>
        <w:rPr>
          <w:rFonts w:ascii="Arial" w:cs="Arial" w:eastAsia="Arial" w:hAnsi="Arial"/>
          <w:sz w:val="14"/>
          <w:szCs w:val="14"/>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It is important that the discussion of our operating results that follows be read in conjunction with the critical accounting policies disclosed above.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68" w:name="page69"/>
    <w:bookmarkEnd w:id="68"/>
    <w:tbl>
      <w:tblPr>
        <w:tblLayout w:type="fixed"/>
        <w:tblInd w:w="5" w:type="dxa"/>
        <w:tblCellMar>
          <w:top w:w="0" w:type="dxa"/>
          <w:left w:w="0" w:type="dxa"/>
          <w:bottom w:w="0" w:type="dxa"/>
          <w:right w:w="0" w:type="dxa"/>
        </w:tblCellMar>
      </w:tblPr>
      <w:tr>
        <w:trPr>
          <w:trHeight w:val="204"/>
        </w:trPr>
        <w:tc>
          <w:tcPr>
            <w:tcW w:w="8560" w:type="dxa"/>
            <w:vAlign w:val="bottom"/>
            <w:gridSpan w:val="2"/>
          </w:tcPr>
          <w:p>
            <w:pPr>
              <w:spacing w:after="0"/>
              <w:rPr>
                <w:sz w:val="20"/>
                <w:szCs w:val="20"/>
                <w:color w:val="auto"/>
              </w:rPr>
            </w:pPr>
            <w:r>
              <w:rPr>
                <w:rFonts w:ascii="Arial" w:cs="Arial" w:eastAsia="Arial" w:hAnsi="Arial"/>
                <w:sz w:val="16"/>
                <w:szCs w:val="16"/>
                <w:b w:val="1"/>
                <w:bCs w:val="1"/>
                <w:color w:val="auto"/>
              </w:rPr>
              <w:t>Results of Operations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85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Comparison of the Three Months Ended March 31, 2022 and 2021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540" w:type="dxa"/>
            <w:vAlign w:val="bottom"/>
          </w:tcPr>
          <w:p>
            <w:pPr>
              <w:ind w:left="260"/>
              <w:spacing w:after="0"/>
              <w:rPr>
                <w:sz w:val="20"/>
                <w:szCs w:val="20"/>
                <w:color w:val="auto"/>
              </w:rPr>
            </w:pPr>
            <w:r>
              <w:rPr>
                <w:rFonts w:ascii="Arial" w:cs="Arial" w:eastAsia="Arial" w:hAnsi="Arial"/>
                <w:sz w:val="16"/>
                <w:szCs w:val="16"/>
                <w:color w:val="auto"/>
                <w:w w:val="95"/>
              </w:rPr>
              <w:t>The following table summarizes our results of operations for the three months ended March 31, 2022 and March 31, 2021: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7"/>
          </w:tcPr>
          <w:p>
            <w:pPr>
              <w:jc w:val="right"/>
              <w:ind w:right="66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341"/>
              <w:spacing w:after="0" w:line="173"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56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Arial" w:cs="Arial" w:eastAsia="Arial" w:hAnsi="Arial"/>
                <w:sz w:val="16"/>
                <w:szCs w:val="16"/>
                <w:b w:val="1"/>
                <w:bCs w:val="1"/>
                <w:color w:val="auto"/>
                <w:w w:val="87"/>
              </w:rPr>
              <w:t>(As Restated)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26,021</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7,008</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Arial" w:cs="Arial" w:eastAsia="Arial" w:hAnsi="Arial"/>
                <w:sz w:val="16"/>
                <w:szCs w:val="16"/>
                <w:color w:val="auto"/>
              </w:rPr>
              <w:t>Cost of goods sold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21,851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7,548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 (loss)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9,759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2,084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Selling and marketing</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540" w:type="dxa"/>
            <w:vAlign w:val="bottom"/>
            <w:tcBorders>
              <w:top w:val="single" w:sz="8" w:color="CCEEFF"/>
              <w:bottom w:val="single" w:sz="8" w:color="CCEEFF"/>
            </w:tcBorders>
          </w:tcPr>
          <w:p>
            <w:pPr>
              <w:ind w:left="120"/>
              <w:spacing w:after="0" w:line="173" w:lineRule="exact"/>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13,933</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5,956</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from operations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(9,763</w:t>
            </w:r>
          </w:p>
        </w:tc>
        <w:tc>
          <w:tcPr>
            <w:tcW w:w="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(6,496</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540" w:type="dxa"/>
            <w:vAlign w:val="bottom"/>
          </w:tcPr>
          <w:p>
            <w:pPr>
              <w:spacing w:after="0" w:line="173" w:lineRule="exact"/>
              <w:rPr>
                <w:sz w:val="20"/>
                <w:szCs w:val="20"/>
                <w:color w:val="auto"/>
              </w:rPr>
            </w:pPr>
            <w:r>
              <w:rPr>
                <w:rFonts w:ascii="Arial" w:cs="Arial" w:eastAsia="Arial" w:hAnsi="Arial"/>
                <w:sz w:val="16"/>
                <w:szCs w:val="16"/>
                <w:color w:val="auto"/>
              </w:rPr>
              <w:t>Interest income (expense), net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559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(32)</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warrant liabilities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10,785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40" w:type="dxa"/>
            <w:vAlign w:val="bottom"/>
          </w:tcPr>
          <w:p>
            <w:pPr>
              <w:spacing w:after="0"/>
              <w:rPr>
                <w:sz w:val="20"/>
                <w:szCs w:val="20"/>
                <w:color w:val="auto"/>
              </w:rPr>
            </w:pPr>
            <w:r>
              <w:rPr>
                <w:rFonts w:ascii="Arial" w:cs="Arial" w:eastAsia="Arial" w:hAnsi="Arial"/>
                <w:sz w:val="16"/>
                <w:szCs w:val="16"/>
                <w:color w:val="auto"/>
              </w:rPr>
              <w:t>Gain on extinguishment of notes payable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2,685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net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540" w:type="dxa"/>
            <w:vAlign w:val="bottom"/>
          </w:tcPr>
          <w:p>
            <w:pPr>
              <w:ind w:left="120"/>
              <w:spacing w:after="0" w:line="173" w:lineRule="exact"/>
              <w:rPr>
                <w:sz w:val="20"/>
                <w:szCs w:val="20"/>
                <w:color w:val="auto"/>
              </w:rPr>
            </w:pPr>
            <w:r>
              <w:rPr>
                <w:rFonts w:ascii="Arial" w:cs="Arial" w:eastAsia="Arial" w:hAnsi="Arial"/>
                <w:sz w:val="16"/>
                <w:szCs w:val="16"/>
                <w:color w:val="auto"/>
              </w:rPr>
              <w:t>Net income (loss) before income taxes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3" w:lineRule="exact"/>
              <w:rPr>
                <w:sz w:val="20"/>
                <w:szCs w:val="20"/>
                <w:color w:val="auto"/>
              </w:rPr>
            </w:pPr>
            <w:r>
              <w:rPr>
                <w:rFonts w:ascii="Arial" w:cs="Arial" w:eastAsia="Arial" w:hAnsi="Arial"/>
                <w:sz w:val="16"/>
                <w:szCs w:val="16"/>
                <w:color w:val="auto"/>
              </w:rPr>
              <w:t>1,581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line="173" w:lineRule="exact"/>
              <w:rPr>
                <w:sz w:val="20"/>
                <w:szCs w:val="20"/>
                <w:color w:val="auto"/>
              </w:rPr>
            </w:pPr>
            <w:r>
              <w:rPr>
                <w:rFonts w:ascii="Arial" w:cs="Arial" w:eastAsia="Arial" w:hAnsi="Arial"/>
                <w:sz w:val="16"/>
                <w:szCs w:val="16"/>
                <w:color w:val="auto"/>
              </w:rPr>
              <w:t>(3,843)</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540" w:type="dxa"/>
            <w:vAlign w:val="bottom"/>
            <w:tcBorders>
              <w:top w:val="single" w:sz="8" w:color="CCEEFF"/>
            </w:tcBorders>
          </w:tcPr>
          <w:p>
            <w:pPr>
              <w:ind w:left="120"/>
              <w:spacing w:after="0" w:line="173" w:lineRule="exact"/>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1,781</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6"/>
                <w:szCs w:val="16"/>
                <w:color w:val="auto"/>
              </w:rPr>
              <w:t>(3,843)</w:t>
            </w:r>
          </w:p>
        </w:tc>
        <w:tc>
          <w:tcPr>
            <w:tcW w:w="12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6"/>
                <w:szCs w:val="16"/>
                <w:color w:val="auto"/>
              </w:rPr>
              <w:t>Income (loss) attributable to non-controlling interest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Borders>
              <w:top w:val="single" w:sz="8" w:color="CCEEFF"/>
            </w:tcBorders>
            <w:vMerge w:val="restart"/>
          </w:tcPr>
          <w:p>
            <w:pPr>
              <w:ind w:left="120"/>
              <w:spacing w:after="0"/>
              <w:rPr>
                <w:sz w:val="20"/>
                <w:szCs w:val="20"/>
                <w:color w:val="auto"/>
              </w:rPr>
            </w:pPr>
            <w:r>
              <w:rPr>
                <w:rFonts w:ascii="Arial" w:cs="Arial" w:eastAsia="Arial" w:hAnsi="Arial"/>
                <w:sz w:val="16"/>
                <w:szCs w:val="16"/>
                <w:color w:val="auto"/>
              </w:rPr>
              <w:t>Net income (loss) attributable to Agrify Corporation</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8540" w:type="dxa"/>
            <w:vAlign w:val="bottom"/>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1,780</w:t>
            </w:r>
          </w:p>
        </w:tc>
        <w:tc>
          <w:tcPr>
            <w:tcW w:w="40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(3,810</w:t>
            </w:r>
          </w:p>
        </w:tc>
        <w:tc>
          <w:tcPr>
            <w:tcW w:w="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Borders>
              <w:top w:val="single" w:sz="8" w:color="CCEEFF"/>
            </w:tcBorders>
            <w:vMerge w:val="restart"/>
            <w:shd w:val="clear" w:color="auto" w:fill="CCEEFF"/>
          </w:tcPr>
          <w:p>
            <w:pPr>
              <w:spacing w:after="0" w:line="240" w:lineRule="exact"/>
              <w:rPr>
                <w:sz w:val="20"/>
                <w:szCs w:val="20"/>
                <w:color w:val="auto"/>
              </w:rPr>
            </w:pPr>
            <w:r>
              <w:rPr>
                <w:rFonts w:ascii="Arial" w:cs="Arial" w:eastAsia="Arial" w:hAnsi="Arial"/>
                <w:sz w:val="16"/>
                <w:szCs w:val="16"/>
                <w:color w:val="auto"/>
              </w:rPr>
              <w:t xml:space="preserve">Net income (loss) per share attributable to Common Stockholders – basic </w:t>
            </w:r>
            <w:r>
              <w:rPr>
                <w:rFonts w:ascii="Arial" w:cs="Arial" w:eastAsia="Arial" w:hAnsi="Arial"/>
                <w:sz w:val="26"/>
                <w:szCs w:val="26"/>
                <w:color w:val="auto"/>
                <w:vertAlign w:val="superscript"/>
              </w:rPr>
              <w:t>(1)</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vMerge w:val="continue"/>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14.48</w:t>
            </w:r>
          </w:p>
        </w:tc>
        <w:tc>
          <w:tcPr>
            <w:tcW w:w="400" w:type="dxa"/>
            <w:vAlign w:val="bottom"/>
            <w:gridSpan w:val="2"/>
            <w:shd w:val="clear" w:color="auto" w:fill="CCEEFF"/>
          </w:tcPr>
          <w:p>
            <w:pPr>
              <w:jc w:val="right"/>
              <w:ind w:right="147"/>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(65.87</w:t>
            </w:r>
          </w:p>
        </w:tc>
        <w:tc>
          <w:tcPr>
            <w:tcW w:w="1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Borders>
              <w:top w:val="single" w:sz="8" w:color="CCEEFF"/>
              <w:bottom w:val="single" w:sz="8" w:color="CCEEFF"/>
            </w:tcBorders>
            <w:vMerge w:val="restart"/>
          </w:tcPr>
          <w:p>
            <w:pPr>
              <w:spacing w:after="0" w:line="260" w:lineRule="exact"/>
              <w:rPr>
                <w:sz w:val="20"/>
                <w:szCs w:val="20"/>
                <w:color w:val="auto"/>
              </w:rPr>
            </w:pPr>
            <w:r>
              <w:rPr>
                <w:rFonts w:ascii="Arial" w:cs="Arial" w:eastAsia="Arial" w:hAnsi="Arial"/>
                <w:sz w:val="16"/>
                <w:szCs w:val="16"/>
                <w:color w:val="auto"/>
              </w:rPr>
              <w:t xml:space="preserve">Net income (loss) per share attributable to Common Stockholders – diluted </w:t>
            </w:r>
            <w:r>
              <w:rPr>
                <w:rFonts w:ascii="Arial" w:cs="Arial" w:eastAsia="Arial" w:hAnsi="Arial"/>
                <w:sz w:val="26"/>
                <w:szCs w:val="26"/>
                <w:color w:val="auto"/>
                <w:vertAlign w:val="superscript"/>
              </w:rPr>
              <w:t>(1)</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540" w:type="dxa"/>
            <w:vAlign w:val="bottom"/>
            <w:vMerge w:val="continue"/>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13.79</w:t>
            </w:r>
          </w:p>
        </w:tc>
        <w:tc>
          <w:tcPr>
            <w:tcW w:w="400" w:type="dxa"/>
            <w:vAlign w:val="bottom"/>
            <w:gridSpan w:val="2"/>
          </w:tcPr>
          <w:p>
            <w:pPr>
              <w:jc w:val="right"/>
              <w:ind w:right="147"/>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(65.87</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tcBorders>
              <w:top w:val="single" w:sz="8" w:color="CCEEFF"/>
              <w:bottom w:val="single" w:sz="8" w:color="CCEEFF"/>
            </w:tcBorders>
            <w:shd w:val="clear" w:color="auto" w:fill="CCEEFF"/>
          </w:tcPr>
          <w:p>
            <w:pPr>
              <w:spacing w:after="0" w:line="220" w:lineRule="exact"/>
              <w:rPr>
                <w:sz w:val="20"/>
                <w:szCs w:val="20"/>
                <w:color w:val="auto"/>
              </w:rPr>
            </w:pPr>
            <w:r>
              <w:rPr>
                <w:rFonts w:ascii="Arial" w:cs="Arial" w:eastAsia="Arial" w:hAnsi="Arial"/>
                <w:sz w:val="15"/>
                <w:szCs w:val="15"/>
                <w:color w:val="auto"/>
              </w:rPr>
              <w:t xml:space="preserve">Weighted-average common shares outstanding – basic </w:t>
            </w:r>
            <w:r>
              <w:rPr>
                <w:rFonts w:ascii="Arial" w:cs="Arial" w:eastAsia="Arial" w:hAnsi="Arial"/>
                <w:sz w:val="25"/>
                <w:szCs w:val="25"/>
                <w:color w:val="auto"/>
                <w:vertAlign w:val="superscript"/>
              </w:rPr>
              <w:t>(1)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57,841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spacing w:after="0" w:line="260" w:lineRule="exact"/>
              <w:rPr>
                <w:sz w:val="20"/>
                <w:szCs w:val="20"/>
                <w:color w:val="auto"/>
              </w:rPr>
            </w:pPr>
            <w:r>
              <w:rPr>
                <w:rFonts w:ascii="Arial" w:cs="Arial" w:eastAsia="Arial" w:hAnsi="Arial"/>
                <w:sz w:val="16"/>
                <w:szCs w:val="16"/>
                <w:color w:val="auto"/>
              </w:rPr>
              <w:t xml:space="preserve">Weighted-average common shares outstanding – diluted </w:t>
            </w:r>
            <w:r>
              <w:rPr>
                <w:rFonts w:ascii="Arial" w:cs="Arial" w:eastAsia="Arial" w:hAnsi="Arial"/>
                <w:sz w:val="26"/>
                <w:szCs w:val="26"/>
                <w:color w:val="auto"/>
                <w:vertAlign w:val="superscript"/>
              </w:rPr>
              <w:t>(1)</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6"/>
                <w:szCs w:val="16"/>
                <w:color w:val="auto"/>
              </w:rPr>
              <w:t>129,045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57,841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285" w:right="40" w:hanging="285"/>
        <w:spacing w:after="0" w:line="257" w:lineRule="auto"/>
        <w:tabs>
          <w:tab w:leader="none" w:pos="2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Periods presented have been adjusted to reflect the 1-for-10 reverse stock split on October 18, 2022 and the 1-for-20 reverse stock split on July 5, 2023. Additional information regarding the reverse stock splits may be found in Note 1 – Overview, Basis of Presentation and Significant Accounting Policies, included elsewhere in the notes to the condensed consolidated financial statements.</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Revenues</w:t>
      </w:r>
    </w:p>
    <w:p>
      <w:pPr>
        <w:spacing w:after="0" w:line="194" w:lineRule="exact"/>
        <w:rPr>
          <w:sz w:val="20"/>
          <w:szCs w:val="20"/>
          <w:color w:val="auto"/>
        </w:rPr>
      </w:pPr>
    </w:p>
    <w:p>
      <w:pPr>
        <w:ind w:left="5" w:right="360" w:firstLine="284"/>
        <w:spacing w:after="0" w:line="257" w:lineRule="auto"/>
        <w:rPr>
          <w:sz w:val="20"/>
          <w:szCs w:val="20"/>
          <w:color w:val="auto"/>
        </w:rPr>
      </w:pPr>
      <w:r>
        <w:rPr>
          <w:rFonts w:ascii="Arial" w:cs="Arial" w:eastAsia="Arial" w:hAnsi="Arial"/>
          <w:sz w:val="16"/>
          <w:szCs w:val="16"/>
          <w:color w:val="auto"/>
        </w:rPr>
        <w:t>Our goal is to provide our customers with a variety of products to address their entire indoor agriculture needs. Our core product offering includes our Agrify Vertical Farming Units (or “VFUs”) and Agrify Integrated Grow Racks with our Agrify Insights software, which are supplemented with environmental control products, grow lights, facility build-out services and extraction equipment.</w:t>
      </w:r>
    </w:p>
    <w:p>
      <w:pPr>
        <w:spacing w:after="0" w:line="166" w:lineRule="exact"/>
        <w:rPr>
          <w:sz w:val="20"/>
          <w:szCs w:val="20"/>
          <w:color w:val="auto"/>
        </w:rPr>
      </w:pPr>
    </w:p>
    <w:p>
      <w:pPr>
        <w:ind w:left="5" w:right="160" w:firstLine="284"/>
        <w:spacing w:after="0" w:line="282" w:lineRule="auto"/>
        <w:rPr>
          <w:sz w:val="20"/>
          <w:szCs w:val="20"/>
          <w:color w:val="auto"/>
        </w:rPr>
      </w:pPr>
      <w:r>
        <w:rPr>
          <w:rFonts w:ascii="Arial" w:cs="Arial" w:eastAsia="Arial" w:hAnsi="Arial"/>
          <w:sz w:val="15"/>
          <w:szCs w:val="15"/>
          <w:color w:val="auto"/>
        </w:rPr>
        <w:t>We continue to monitor and address COVID-19 pandemic impacts on our supply chain. Although the availability of various products is dependent on our suppliers, their locations, and the extent to which they are impacted by the COVID-19 pandemic, we are proactively working with manufacturers to meet the needs of our customers during the pandemic. Product shortages have generally led to increases in prices globally, with significant impacts to sales and interim profits.</w:t>
      </w:r>
    </w:p>
    <w:p>
      <w:pPr>
        <w:spacing w:after="0" w:line="149" w:lineRule="exact"/>
        <w:rPr>
          <w:sz w:val="20"/>
          <w:szCs w:val="20"/>
          <w:color w:val="auto"/>
        </w:rPr>
      </w:pPr>
    </w:p>
    <w:p>
      <w:pPr>
        <w:ind w:left="5" w:right="20" w:firstLine="284"/>
        <w:spacing w:after="0" w:line="252" w:lineRule="auto"/>
        <w:rPr>
          <w:sz w:val="20"/>
          <w:szCs w:val="20"/>
          <w:color w:val="auto"/>
        </w:rPr>
      </w:pPr>
      <w:r>
        <w:rPr>
          <w:rFonts w:ascii="Arial" w:cs="Arial" w:eastAsia="Arial" w:hAnsi="Arial"/>
          <w:sz w:val="16"/>
          <w:szCs w:val="16"/>
          <w:color w:val="auto"/>
        </w:rPr>
        <w:t>We generate revenue from sales of cultivation solutions, including ancillary products and services, Agrify Insights software, facility build-outs and extraction equipment and solutions. We believe that our product mix form an integrated ecosystem which allows us to be engaged with our potential customers from early stages of the grow cycle — first during the facility build-out, to the choice of cultivation solutions, running the grow business with our Agrify Insights software and finally, our extraction, post-processing and testing services to transform harvest into a sellable product. We believe that delivery of each solution in the various stages in the process will generate sales of additional solutions and services.</w:t>
      </w:r>
    </w:p>
    <w:p>
      <w:pPr>
        <w:spacing w:after="0" w:line="35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4946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5" w:right="319" w:bottom="1440" w:gutter="0" w:footer="0" w:header="0"/>
        </w:sectPr>
      </w:pPr>
    </w:p>
    <w:bookmarkStart w:id="69" w:name="page70"/>
    <w:bookmarkEnd w:id="69"/>
    <w:p>
      <w:pPr>
        <w:ind w:left="280"/>
        <w:spacing w:after="0"/>
        <w:rPr>
          <w:sz w:val="20"/>
          <w:szCs w:val="20"/>
          <w:color w:val="auto"/>
        </w:rPr>
      </w:pPr>
      <w:r>
        <w:rPr>
          <w:rFonts w:ascii="Arial" w:cs="Arial" w:eastAsia="Arial" w:hAnsi="Arial"/>
          <w:sz w:val="16"/>
          <w:szCs w:val="16"/>
          <w:color w:val="auto"/>
        </w:rPr>
        <w:t>The following table provides a breakdown of our revenue for the three months ended March 31,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3"/>
          </w:tcPr>
          <w:p>
            <w:pPr>
              <w:jc w:val="right"/>
              <w:ind w:right="65"/>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6"/>
                <w:szCs w:val="16"/>
                <w:b w:val="1"/>
                <w:bCs w:val="1"/>
                <w:color w:val="auto"/>
              </w:rPr>
              <w:t>March 31,</w:t>
            </w:r>
          </w:p>
        </w:tc>
        <w:tc>
          <w:tcPr>
            <w:tcW w:w="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5"/>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CCEEFF"/>
            </w:tcBorders>
          </w:tcPr>
          <w:p>
            <w:pPr>
              <w:spacing w:after="0"/>
              <w:rPr>
                <w:sz w:val="17"/>
                <w:szCs w:val="17"/>
                <w:color w:val="auto"/>
              </w:rPr>
            </w:pPr>
          </w:p>
        </w:tc>
      </w:tr>
      <w:tr>
        <w:trPr>
          <w:trHeight w:val="189"/>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Cultivation solutions, including ancillary products and services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189"/>
        </w:trPr>
        <w:tc>
          <w:tcPr>
            <w:tcW w:w="5980" w:type="dxa"/>
            <w:vAlign w:val="bottom"/>
            <w:gridSpan w:val="2"/>
          </w:tcPr>
          <w:p>
            <w:pPr>
              <w:spacing w:after="0"/>
              <w:rPr>
                <w:sz w:val="20"/>
                <w:szCs w:val="20"/>
                <w:color w:val="auto"/>
              </w:rPr>
            </w:pPr>
            <w:r>
              <w:rPr>
                <w:rFonts w:ascii="Arial" w:cs="Arial" w:eastAsia="Arial" w:hAnsi="Arial"/>
                <w:sz w:val="16"/>
                <w:szCs w:val="16"/>
                <w:color w:val="auto"/>
              </w:rPr>
              <w:t>Agrify Insights software</w:t>
            </w: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74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(88)%</w:t>
            </w:r>
          </w:p>
        </w:tc>
      </w:tr>
      <w:tr>
        <w:trPr>
          <w:trHeight w:val="189"/>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Facility build-outs</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13,211</w:t>
            </w: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6,770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6,441</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5"/>
        </w:trPr>
        <w:tc>
          <w:tcPr>
            <w:tcW w:w="5980" w:type="dxa"/>
            <w:vAlign w:val="bottom"/>
            <w:gridSpan w:val="2"/>
          </w:tcPr>
          <w:p>
            <w:pPr>
              <w:spacing w:after="0"/>
              <w:rPr>
                <w:sz w:val="20"/>
                <w:szCs w:val="20"/>
                <w:color w:val="auto"/>
              </w:rPr>
            </w:pPr>
            <w:r>
              <w:rPr>
                <w:rFonts w:ascii="Arial" w:cs="Arial" w:eastAsia="Arial" w:hAnsi="Arial"/>
                <w:sz w:val="16"/>
                <w:szCs w:val="16"/>
                <w:color w:val="auto"/>
              </w:rPr>
              <w:t>Extraction solutions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12,427</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12,427</w:t>
            </w: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59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revenue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7,008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7" w:lineRule="exact"/>
        <w:rPr>
          <w:sz w:val="20"/>
          <w:szCs w:val="20"/>
          <w:color w:val="auto"/>
        </w:rPr>
      </w:pPr>
    </w:p>
    <w:p>
      <w:pPr>
        <w:ind w:right="100" w:firstLine="284"/>
        <w:spacing w:after="0" w:line="253" w:lineRule="auto"/>
        <w:rPr>
          <w:sz w:val="20"/>
          <w:szCs w:val="20"/>
          <w:color w:val="auto"/>
        </w:rPr>
      </w:pPr>
      <w:r>
        <w:rPr>
          <w:rFonts w:ascii="Arial" w:cs="Arial" w:eastAsia="Arial" w:hAnsi="Arial"/>
          <w:sz w:val="16"/>
          <w:szCs w:val="16"/>
          <w:color w:val="auto"/>
        </w:rPr>
        <w:t>Revenues increased by $19.0 million, or 271% for the three months ended March 31, 2022 compared to the same period in 2021. The comparative increase in revenue was generated primarily from extraction solutions sales of equipment and services from our acquisition of Lab Society in 2022 and acquisitions of Precision, Cascade and PurePressure in 2021. Extraction division revenues totaled $12.4 million in the first quarter of 2022. Additionally, design and build revenues increased by $6.4 million due to the continued build-out of facilities under our TTK Solutions.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Goods Sold</w:t>
      </w:r>
    </w:p>
    <w:p>
      <w:pPr>
        <w:spacing w:after="0" w:line="194" w:lineRule="exact"/>
        <w:rPr>
          <w:sz w:val="20"/>
          <w:szCs w:val="20"/>
          <w:color w:val="auto"/>
        </w:rPr>
      </w:pPr>
    </w:p>
    <w:p>
      <w:pPr>
        <w:jc w:val="both"/>
        <w:ind w:right="200"/>
        <w:spacing w:after="0" w:line="257" w:lineRule="auto"/>
        <w:rPr>
          <w:sz w:val="20"/>
          <w:szCs w:val="20"/>
          <w:color w:val="auto"/>
        </w:rPr>
      </w:pPr>
      <w:r>
        <w:rPr>
          <w:rFonts w:ascii="Arial" w:cs="Arial" w:eastAsia="Arial" w:hAnsi="Arial"/>
          <w:sz w:val="16"/>
          <w:szCs w:val="16"/>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provides a breakdown of our cost of goods sold for the three months ended March 31,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3"/>
          </w:tcPr>
          <w:p>
            <w:pPr>
              <w:jc w:val="right"/>
              <w:ind w:right="85"/>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6"/>
                <w:szCs w:val="16"/>
                <w:b w:val="1"/>
                <w:bCs w:val="1"/>
                <w:color w:val="auto"/>
              </w:rPr>
              <w:t>March 31,</w:t>
            </w:r>
          </w:p>
        </w:tc>
        <w:tc>
          <w:tcPr>
            <w:tcW w:w="3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5"/>
        </w:trPr>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Change</w:t>
            </w:r>
          </w:p>
        </w:tc>
        <w:tc>
          <w:tcPr>
            <w:tcW w:w="1300" w:type="dxa"/>
            <w:vAlign w:val="bottom"/>
            <w:gridSpan w:val="2"/>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189"/>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Cultivation solutions, including ancillary products and services</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980" w:type="dxa"/>
            <w:vAlign w:val="bottom"/>
            <w:gridSpan w:val="2"/>
          </w:tcPr>
          <w:p>
            <w:pPr>
              <w:spacing w:after="0"/>
              <w:rPr>
                <w:sz w:val="20"/>
                <w:szCs w:val="20"/>
                <w:color w:val="auto"/>
              </w:rPr>
            </w:pPr>
            <w:r>
              <w:rPr>
                <w:rFonts w:ascii="Arial" w:cs="Arial" w:eastAsia="Arial" w:hAnsi="Arial"/>
                <w:sz w:val="16"/>
                <w:szCs w:val="16"/>
                <w:color w:val="auto"/>
              </w:rPr>
              <w:t>Agrify Insights software</w:t>
            </w: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Facility build-outs</w:t>
            </w:r>
          </w:p>
        </w:tc>
        <w:tc>
          <w:tcPr>
            <w:tcW w:w="2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13,076</w:t>
            </w:r>
          </w:p>
        </w:tc>
        <w:tc>
          <w:tcPr>
            <w:tcW w:w="74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6,779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6,297</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5"/>
        </w:trPr>
        <w:tc>
          <w:tcPr>
            <w:tcW w:w="5980" w:type="dxa"/>
            <w:vAlign w:val="bottom"/>
            <w:gridSpan w:val="2"/>
          </w:tcPr>
          <w:p>
            <w:pPr>
              <w:spacing w:after="0"/>
              <w:rPr>
                <w:sz w:val="20"/>
                <w:szCs w:val="20"/>
                <w:color w:val="auto"/>
              </w:rPr>
            </w:pPr>
            <w:r>
              <w:rPr>
                <w:rFonts w:ascii="Arial" w:cs="Arial" w:eastAsia="Arial" w:hAnsi="Arial"/>
                <w:sz w:val="16"/>
                <w:szCs w:val="16"/>
                <w:color w:val="auto"/>
              </w:rPr>
              <w:t>Extraction solutions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8,370</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8,370</w:t>
            </w:r>
          </w:p>
        </w:tc>
        <w:tc>
          <w:tcPr>
            <w:tcW w:w="22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59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cost of goods sold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7,548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77" w:lineRule="exact"/>
        <w:rPr>
          <w:sz w:val="20"/>
          <w:szCs w:val="20"/>
          <w:color w:val="auto"/>
        </w:rPr>
      </w:pPr>
    </w:p>
    <w:p>
      <w:pPr>
        <w:ind w:right="300" w:firstLine="284"/>
        <w:spacing w:after="0" w:line="311" w:lineRule="auto"/>
        <w:rPr>
          <w:sz w:val="20"/>
          <w:szCs w:val="20"/>
          <w:color w:val="auto"/>
        </w:rPr>
      </w:pPr>
      <w:r>
        <w:rPr>
          <w:rFonts w:ascii="Arial" w:cs="Arial" w:eastAsia="Arial" w:hAnsi="Arial"/>
          <w:sz w:val="14"/>
          <w:szCs w:val="14"/>
          <w:color w:val="auto"/>
        </w:rPr>
        <w:t>Cost of goods sold increased by $14.3 million, or 189%, for the three months ended March 31, 2022 compared to the same period in 2021. The comparative quarterly increase in cost of goods sold is associated with the increased amount of internal and outsourced labor and materials costs for the extraction solutions sales, combined with an increase in subcontractor construction costs related to our facility build-outs, including construction costs associated with design and build projects under our TTK Solutions.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i w:val="1"/>
          <w:iCs w:val="1"/>
          <w:color w:val="auto"/>
        </w:rPr>
        <w:t>Gross Profit (Loss)</w:t>
      </w:r>
    </w:p>
    <w:p>
      <w:pPr>
        <w:spacing w:after="0" w:line="190" w:lineRule="exact"/>
        <w:rPr>
          <w:sz w:val="20"/>
          <w:szCs w:val="20"/>
          <w:color w:val="auto"/>
        </w:rPr>
      </w:pPr>
    </w:p>
    <w:p>
      <w:pPr>
        <w:ind w:left="65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p>
    <w:p>
      <w:pPr>
        <w:ind w:left="6880"/>
        <w:spacing w:after="0"/>
        <w:rPr>
          <w:sz w:val="20"/>
          <w:szCs w:val="20"/>
          <w:color w:val="auto"/>
        </w:rPr>
      </w:pPr>
      <w:r>
        <w:rPr>
          <w:rFonts w:ascii="Arial" w:cs="Arial" w:eastAsia="Arial" w:hAnsi="Arial"/>
          <w:sz w:val="16"/>
          <w:szCs w:val="16"/>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 Change</w:t>
            </w:r>
          </w:p>
        </w:tc>
        <w:tc>
          <w:tcPr>
            <w:tcW w:w="140" w:type="dxa"/>
            <w:vAlign w:val="bottom"/>
            <w:tcBorders>
              <w:bottom w:val="single" w:sz="8" w:color="CCEEFF"/>
            </w:tcBorders>
          </w:tcPr>
          <w:p>
            <w:pPr>
              <w:spacing w:after="0"/>
              <w:rPr>
                <w:sz w:val="18"/>
                <w:szCs w:val="18"/>
                <w:color w:val="auto"/>
              </w:rPr>
            </w:pPr>
          </w:p>
        </w:tc>
      </w:tr>
      <w:tr>
        <w:trPr>
          <w:trHeight w:val="189"/>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Gross profit (loss)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4,710</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872%</w:t>
            </w:r>
          </w:p>
        </w:tc>
      </w:tr>
    </w:tbl>
    <w:p>
      <w:pPr>
        <w:spacing w:after="0" w:line="177" w:lineRule="exact"/>
        <w:rPr>
          <w:sz w:val="20"/>
          <w:szCs w:val="20"/>
          <w:color w:val="auto"/>
        </w:rPr>
      </w:pPr>
    </w:p>
    <w:p>
      <w:pPr>
        <w:ind w:right="140" w:firstLine="284"/>
        <w:spacing w:after="0" w:line="296" w:lineRule="auto"/>
        <w:rPr>
          <w:sz w:val="20"/>
          <w:szCs w:val="20"/>
          <w:color w:val="auto"/>
        </w:rPr>
      </w:pPr>
      <w:r>
        <w:rPr>
          <w:rFonts w:ascii="Arial" w:cs="Arial" w:eastAsia="Arial" w:hAnsi="Arial"/>
          <w:sz w:val="14"/>
          <w:szCs w:val="14"/>
          <w:color w:val="auto"/>
        </w:rPr>
        <w:t>Gross profit totaled $4.2 million, or 16.0% of total revenue during the three months ended March 31, 2022 compared to a gross loss of $(540) thousand, or (7.7)% of total revenue during the three months ended March 31, 2021. The comparative $4.7 million first-quarter year over year improvement in gross profit, as well as the comparative improvement in gross profit margin, is primarily attributable to the introduction of extraction solutions revenue in the first quarter of 2022, which contributes higher gross margins than those realized on our cultivation-related revenue, which includes our TTK Solutions design and build revenue. During the first quarter of 2022, we realized a gross profit margin of 33% associated with our extraction solutions revenue, while we realized a gross profit margin of approximately 1% on our cultivation-related revenues.</w:t>
      </w:r>
    </w:p>
    <w:p>
      <w:pPr>
        <w:spacing w:after="0" w:line="143" w:lineRule="exact"/>
        <w:rPr>
          <w:sz w:val="20"/>
          <w:szCs w:val="20"/>
          <w:color w:val="auto"/>
        </w:rPr>
      </w:pPr>
    </w:p>
    <w:p>
      <w:pPr>
        <w:ind w:right="160" w:firstLine="284"/>
        <w:spacing w:after="0" w:line="253" w:lineRule="auto"/>
        <w:rPr>
          <w:sz w:val="20"/>
          <w:szCs w:val="20"/>
          <w:color w:val="auto"/>
        </w:rPr>
      </w:pPr>
      <w:r>
        <w:rPr>
          <w:rFonts w:ascii="Arial" w:cs="Arial" w:eastAsia="Arial" w:hAnsi="Arial"/>
          <w:sz w:val="16"/>
          <w:szCs w:val="16"/>
          <w:color w:val="auto"/>
        </w:rPr>
        <w:t>On a forward-looking basis, with the full year benefit of anticipated margin contribution associated with the extraction-related revenue contributions, the Company anticipates that gross margin performance, aided by our extraction-related equipment sales, will be in a mid-teens range. We anticipate that we will be able to improve upon that expected gross profit margin performance once we are able to generate meaningful software and production fee revenues from our TTK Solutions, which we currently expect to begin in the late third or early fourth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90" w:lineRule="exact"/>
        <w:rPr>
          <w:sz w:val="20"/>
          <w:szCs w:val="20"/>
          <w:color w:val="auto"/>
        </w:rPr>
      </w:pPr>
    </w:p>
    <w:p>
      <w:pPr>
        <w:jc w:val="center"/>
        <w:ind w:left="31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p>
    <w:p>
      <w:pPr>
        <w:jc w:val="center"/>
        <w:ind w:left="3180"/>
        <w:spacing w:after="0"/>
        <w:rPr>
          <w:sz w:val="20"/>
          <w:szCs w:val="20"/>
          <w:color w:val="auto"/>
        </w:rPr>
      </w:pPr>
      <w:r>
        <w:rPr>
          <w:rFonts w:ascii="Arial" w:cs="Arial" w:eastAsia="Arial" w:hAnsi="Arial"/>
          <w:sz w:val="16"/>
          <w:szCs w:val="16"/>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 Change</w:t>
            </w:r>
          </w:p>
        </w:tc>
        <w:tc>
          <w:tcPr>
            <w:tcW w:w="140" w:type="dxa"/>
            <w:vAlign w:val="bottom"/>
            <w:tcBorders>
              <w:bottom w:val="single" w:sz="8" w:color="CCEEFF"/>
            </w:tcBorders>
          </w:tcPr>
          <w:p>
            <w:pPr>
              <w:spacing w:after="0"/>
              <w:rPr>
                <w:sz w:val="18"/>
                <w:szCs w:val="18"/>
                <w:color w:val="auto"/>
              </w:rPr>
            </w:pPr>
          </w:p>
        </w:tc>
      </w:tr>
      <w:tr>
        <w:trPr>
          <w:trHeight w:val="189"/>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9,759</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95"/>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4,458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5,301</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r>
    </w:tbl>
    <w:p>
      <w:pPr>
        <w:spacing w:after="0" w:line="177" w:lineRule="exact"/>
        <w:rPr>
          <w:sz w:val="20"/>
          <w:szCs w:val="20"/>
          <w:color w:val="auto"/>
        </w:rPr>
      </w:pPr>
    </w:p>
    <w:p>
      <w:pPr>
        <w:jc w:val="both"/>
        <w:ind w:right="500" w:firstLine="284"/>
        <w:spacing w:after="0" w:line="257" w:lineRule="auto"/>
        <w:rPr>
          <w:sz w:val="20"/>
          <w:szCs w:val="20"/>
          <w:color w:val="auto"/>
        </w:rPr>
      </w:pPr>
      <w:r>
        <w:rPr>
          <w:rFonts w:ascii="Arial" w:cs="Arial" w:eastAsia="Arial" w:hAnsi="Arial"/>
          <w:sz w:val="16"/>
          <w:szCs w:val="16"/>
          <w:color w:val="auto"/>
        </w:rPr>
        <w:t>General and administrative (“G&amp;A”) expenses consist principally of salaries and related costs for personnel, including stock-based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166" w:lineRule="exact"/>
        <w:rPr>
          <w:sz w:val="20"/>
          <w:szCs w:val="20"/>
          <w:color w:val="auto"/>
        </w:rPr>
      </w:pPr>
    </w:p>
    <w:p>
      <w:pPr>
        <w:ind w:right="160" w:firstLine="284"/>
        <w:spacing w:after="0" w:line="273" w:lineRule="auto"/>
        <w:rPr>
          <w:sz w:val="20"/>
          <w:szCs w:val="20"/>
          <w:color w:val="auto"/>
        </w:rPr>
      </w:pPr>
      <w:r>
        <w:rPr>
          <w:rFonts w:ascii="Arial" w:cs="Arial" w:eastAsia="Arial" w:hAnsi="Arial"/>
          <w:sz w:val="15"/>
          <w:szCs w:val="15"/>
          <w:color w:val="auto"/>
        </w:rPr>
        <w:t>G&amp;A expense increased by $5.3 million, or 119%, for the three months ended March 31, 2022, compared to the same period in 2021. The increase is attributable to payroll and related expenses increase of $2.5 million, an increase in acquisition-related expenses of $1.3 million, an increase in facility and other related expenses of $964 thousand, an increase in investor relations and directors’ and officers’ insurance of $592 thousand, an increase in depreciation and amortization of $865 thousand, which primarily reflects an increase in amortization associated with the identified intangible assets from our acquisition of Lab Society in 2022 and acquisitions of Precision, Cascade and PurePressure in 2021. These increases were partially offset by a reduction in stock compensation expense of $906 thousand.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90" w:lineRule="exact"/>
        <w:rPr>
          <w:sz w:val="20"/>
          <w:szCs w:val="20"/>
          <w:color w:val="auto"/>
        </w:rPr>
      </w:pPr>
    </w:p>
    <w:p>
      <w:pPr>
        <w:jc w:val="center"/>
        <w:ind w:left="31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p>
    <w:p>
      <w:pPr>
        <w:jc w:val="center"/>
        <w:ind w:left="3180"/>
        <w:spacing w:after="0"/>
        <w:rPr>
          <w:sz w:val="20"/>
          <w:szCs w:val="20"/>
          <w:color w:val="auto"/>
        </w:rPr>
      </w:pPr>
      <w:r>
        <w:rPr>
          <w:rFonts w:ascii="Arial" w:cs="Arial" w:eastAsia="Arial" w:hAnsi="Arial"/>
          <w:sz w:val="16"/>
          <w:szCs w:val="16"/>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 Change</w:t>
            </w:r>
          </w:p>
        </w:tc>
        <w:tc>
          <w:tcPr>
            <w:tcW w:w="140" w:type="dxa"/>
            <w:vAlign w:val="bottom"/>
            <w:tcBorders>
              <w:bottom w:val="single" w:sz="8" w:color="CCEEFF"/>
            </w:tcBorders>
          </w:tcPr>
          <w:p>
            <w:pPr>
              <w:spacing w:after="0"/>
              <w:rPr>
                <w:sz w:val="18"/>
                <w:szCs w:val="18"/>
                <w:color w:val="auto"/>
              </w:rPr>
            </w:pPr>
          </w:p>
        </w:tc>
      </w:tr>
      <w:tr>
        <w:trPr>
          <w:trHeight w:val="189"/>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r>
    </w:tbl>
    <w:p>
      <w:pPr>
        <w:spacing w:after="0" w:line="177" w:lineRule="exact"/>
        <w:rPr>
          <w:sz w:val="20"/>
          <w:szCs w:val="20"/>
          <w:color w:val="auto"/>
        </w:rPr>
      </w:pPr>
    </w:p>
    <w:p>
      <w:pPr>
        <w:ind w:right="240" w:firstLine="284"/>
        <w:spacing w:after="0" w:line="268" w:lineRule="auto"/>
        <w:rPr>
          <w:sz w:val="20"/>
          <w:szCs w:val="20"/>
          <w:color w:val="auto"/>
        </w:rPr>
      </w:pPr>
      <w:r>
        <w:rPr>
          <w:rFonts w:ascii="Arial" w:cs="Arial" w:eastAsia="Arial" w:hAnsi="Arial"/>
          <w:sz w:val="16"/>
          <w:szCs w:val="16"/>
          <w:color w:val="auto"/>
        </w:rPr>
        <w:t>Research and development (“R&amp;D”) expenses consisted primarily of costs incurred for the development of our Agrify Insights software and next generation VFUs, which includes:</w:t>
      </w:r>
    </w:p>
    <w:p>
      <w:pPr>
        <w:spacing w:after="0" w:line="157" w:lineRule="exact"/>
        <w:rPr>
          <w:sz w:val="20"/>
          <w:szCs w:val="20"/>
          <w:color w:val="auto"/>
        </w:rPr>
      </w:pPr>
    </w:p>
    <w:p>
      <w:pPr>
        <w:ind w:left="560" w:hanging="282"/>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and travel;</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expenses incurred by the subcontractor under agreements to provide engineering work related to the development of our next generation VFUs;</w:t>
      </w:r>
    </w:p>
    <w:p>
      <w:pPr>
        <w:spacing w:after="0" w:line="194" w:lineRule="exact"/>
        <w:rPr>
          <w:rFonts w:ascii="Arial" w:cs="Arial" w:eastAsia="Arial" w:hAnsi="Arial"/>
          <w:sz w:val="16"/>
          <w:szCs w:val="16"/>
          <w:color w:val="auto"/>
        </w:rPr>
      </w:pPr>
    </w:p>
    <w:p>
      <w:pPr>
        <w:ind w:left="560" w:right="360" w:hanging="282"/>
        <w:spacing w:after="0" w:line="268"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expenses related to our facilities, depreciation, and other expenses, which include direct and allocated expenses for rent and maintenance of facilities, insurance and other supplies.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71" w:name="page72"/>
    <w:bookmarkEnd w:id="71"/>
    <w:p>
      <w:pPr>
        <w:ind w:right="300" w:firstLine="284"/>
        <w:spacing w:after="0" w:line="340" w:lineRule="auto"/>
        <w:rPr>
          <w:sz w:val="20"/>
          <w:szCs w:val="20"/>
          <w:color w:val="auto"/>
        </w:rPr>
      </w:pPr>
      <w:r>
        <w:rPr>
          <w:rFonts w:ascii="Arial" w:cs="Arial" w:eastAsia="Arial" w:hAnsi="Arial"/>
          <w:sz w:val="14"/>
          <w:szCs w:val="14"/>
          <w:color w:val="auto"/>
        </w:rPr>
        <w:t>R&amp;D expense increased by $1.2 million, or 136%, for the three months ended March 31, 2022, compared to the same period in 2021. The increase is attributable to the personnel and facility costs associated with the continued development of our VFUs, specifically related to improving the individual unit cooling and humidity environments.</w:t>
      </w:r>
    </w:p>
    <w:p>
      <w:pPr>
        <w:spacing w:after="0" w:line="112" w:lineRule="exact"/>
        <w:rPr>
          <w:sz w:val="20"/>
          <w:szCs w:val="20"/>
          <w:color w:val="auto"/>
        </w:rPr>
      </w:pPr>
    </w:p>
    <w:p>
      <w:pPr>
        <w:jc w:val="both"/>
        <w:ind w:right="240" w:firstLine="284"/>
        <w:spacing w:after="0" w:line="282" w:lineRule="auto"/>
        <w:rPr>
          <w:sz w:val="20"/>
          <w:szCs w:val="20"/>
          <w:color w:val="auto"/>
        </w:rPr>
      </w:pPr>
      <w:r>
        <w:rPr>
          <w:rFonts w:ascii="Arial" w:cs="Arial" w:eastAsia="Arial" w:hAnsi="Arial"/>
          <w:sz w:val="15"/>
          <w:szCs w:val="15"/>
          <w:color w:val="auto"/>
        </w:rPr>
        <w:t>We expect to continue to invest in future developments of our VFUs, Agrify Insights software and our extraction products. As a percentage of net revenue, R&amp;D expenses were 8.0% of total revenue for the three months ended March 31, 2022, compared to 12.6% for the three months ended March 31, 2021. Although we continue to increase our investment in R&amp;D activities, we expect R&amp;D expense to decrease as a percentage of revenue due to our revenue growth.</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and Marketing</w:t>
      </w:r>
    </w:p>
    <w:p>
      <w:pPr>
        <w:spacing w:after="0" w:line="190" w:lineRule="exact"/>
        <w:rPr>
          <w:sz w:val="20"/>
          <w:szCs w:val="20"/>
          <w:color w:val="auto"/>
        </w:rPr>
      </w:pPr>
    </w:p>
    <w:p>
      <w:pPr>
        <w:jc w:val="center"/>
        <w:ind w:left="31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p>
    <w:p>
      <w:pPr>
        <w:jc w:val="center"/>
        <w:ind w:left="3180"/>
        <w:spacing w:after="0"/>
        <w:rPr>
          <w:sz w:val="20"/>
          <w:szCs w:val="20"/>
          <w:color w:val="auto"/>
        </w:rPr>
      </w:pPr>
      <w:r>
        <w:rPr>
          <w:rFonts w:ascii="Arial" w:cs="Arial" w:eastAsia="Arial" w:hAnsi="Arial"/>
          <w:sz w:val="16"/>
          <w:szCs w:val="16"/>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 Change</w:t>
            </w:r>
          </w:p>
        </w:tc>
        <w:tc>
          <w:tcPr>
            <w:tcW w:w="140" w:type="dxa"/>
            <w:vAlign w:val="bottom"/>
            <w:tcBorders>
              <w:bottom w:val="single" w:sz="8" w:color="CCEEFF"/>
            </w:tcBorders>
          </w:tcPr>
          <w:p>
            <w:pPr>
              <w:spacing w:after="0"/>
              <w:rPr>
                <w:sz w:val="18"/>
                <w:szCs w:val="18"/>
                <w:color w:val="auto"/>
              </w:rPr>
            </w:pPr>
          </w:p>
        </w:tc>
      </w:tr>
      <w:tr>
        <w:trPr>
          <w:trHeight w:val="189"/>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Selling and marketing</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r>
    </w:tbl>
    <w:p>
      <w:pPr>
        <w:spacing w:after="0" w:line="17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and marketing expenses consist primarily of salaries and related costs of personnel, travel expenses, trade shows and advertising expenses.</w:t>
      </w:r>
    </w:p>
    <w:p>
      <w:pPr>
        <w:spacing w:after="0" w:line="194" w:lineRule="exact"/>
        <w:rPr>
          <w:sz w:val="20"/>
          <w:szCs w:val="20"/>
          <w:color w:val="auto"/>
        </w:rPr>
      </w:pPr>
    </w:p>
    <w:p>
      <w:pPr>
        <w:ind w:right="160" w:firstLine="284"/>
        <w:spacing w:after="0" w:line="257" w:lineRule="auto"/>
        <w:rPr>
          <w:sz w:val="20"/>
          <w:szCs w:val="20"/>
          <w:color w:val="auto"/>
        </w:rPr>
      </w:pPr>
      <w:r>
        <w:rPr>
          <w:rFonts w:ascii="Arial" w:cs="Arial" w:eastAsia="Arial" w:hAnsi="Arial"/>
          <w:sz w:val="16"/>
          <w:szCs w:val="16"/>
          <w:color w:val="auto"/>
        </w:rPr>
        <w:t>Selling and marketing expenses increased by $1.5 million, or 239%, for the three months ended March 31, 2022, compared to the same period in 2021. The increase is attributable to payroll and related expenses increase of $1.2 million and an increase in advertising and trade show expenses of $152 thousand and an increase in travel and other expenses of $155 thousand.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Other Income (Expense), Net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95"/>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3"/>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21"/>
              <w:spacing w:after="0" w:line="173" w:lineRule="exact"/>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6"/>
              </w:rPr>
              <w:t>(As Restated)</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CCEEFF"/>
            </w:tcBorders>
            <w:gridSpan w:val="2"/>
          </w:tcPr>
          <w:p>
            <w:pPr>
              <w:spacing w:after="0"/>
              <w:rPr>
                <w:sz w:val="18"/>
                <w:szCs w:val="18"/>
                <w:color w:val="auto"/>
              </w:rPr>
            </w:pPr>
          </w:p>
        </w:tc>
      </w:tr>
      <w:tr>
        <w:trPr>
          <w:trHeight w:val="189"/>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(expense), net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2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1,847%</w:t>
            </w:r>
          </w:p>
        </w:tc>
      </w:tr>
      <w:tr>
        <w:trPr>
          <w:trHeight w:val="189"/>
        </w:trPr>
        <w:tc>
          <w:tcPr>
            <w:tcW w:w="5980" w:type="dxa"/>
            <w:vAlign w:val="bottom"/>
            <w:gridSpan w:val="2"/>
          </w:tcPr>
          <w:p>
            <w:pPr>
              <w:spacing w:after="0"/>
              <w:rPr>
                <w:sz w:val="20"/>
                <w:szCs w:val="20"/>
                <w:color w:val="auto"/>
              </w:rPr>
            </w:pPr>
            <w:r>
              <w:rPr>
                <w:rFonts w:ascii="Arial" w:cs="Arial" w:eastAsia="Arial" w:hAnsi="Arial"/>
                <w:sz w:val="16"/>
                <w:szCs w:val="16"/>
                <w:color w:val="auto"/>
              </w:rPr>
              <w:t>Change in fair value of warrant liabilities</w:t>
            </w: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10,785</w:t>
            </w: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10,785</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100%</w:t>
            </w:r>
          </w:p>
        </w:tc>
      </w:tr>
      <w:tr>
        <w:trPr>
          <w:trHeight w:val="221"/>
        </w:trPr>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Gain on extinguishment of notes payable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(2,685)</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r>
      <w:tr>
        <w:trPr>
          <w:trHeight w:val="200"/>
        </w:trPr>
        <w:tc>
          <w:tcPr>
            <w:tcW w:w="5980" w:type="dxa"/>
            <w:vAlign w:val="bottom"/>
            <w:tcBorders>
              <w:top w:val="single" w:sz="8" w:color="CCEEFF"/>
            </w:tcBorders>
            <w:gridSpan w:val="2"/>
          </w:tcPr>
          <w:p>
            <w:pPr>
              <w:ind w:left="140"/>
              <w:spacing w:after="0" w:line="181" w:lineRule="exact"/>
              <w:rPr>
                <w:sz w:val="20"/>
                <w:szCs w:val="20"/>
                <w:color w:val="auto"/>
              </w:rPr>
            </w:pPr>
            <w:r>
              <w:rPr>
                <w:rFonts w:ascii="Arial" w:cs="Arial" w:eastAsia="Arial" w:hAnsi="Arial"/>
                <w:sz w:val="16"/>
                <w:szCs w:val="16"/>
                <w:color w:val="auto"/>
              </w:rPr>
              <w:t>Total other income, net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11,344</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2,653</w:t>
            </w: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8,691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200" w:type="dxa"/>
            <w:vAlign w:val="bottom"/>
            <w:tcBorders>
              <w:top w:val="single" w:sz="8" w:color="CCEEFF"/>
            </w:tcBorders>
            <w:gridSpan w:val="2"/>
          </w:tcPr>
          <w:p>
            <w:pPr>
              <w:jc w:val="right"/>
              <w:ind w:right="60"/>
              <w:spacing w:after="0" w:line="181" w:lineRule="exact"/>
              <w:rPr>
                <w:sz w:val="20"/>
                <w:szCs w:val="20"/>
                <w:color w:val="auto"/>
              </w:rPr>
            </w:pPr>
            <w:r>
              <w:rPr>
                <w:rFonts w:ascii="Arial" w:cs="Arial" w:eastAsia="Arial" w:hAnsi="Arial"/>
                <w:sz w:val="16"/>
                <w:szCs w:val="16"/>
                <w:color w:val="auto"/>
                <w:w w:val="84"/>
              </w:rPr>
              <w:t>%</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7" w:lineRule="exact"/>
        <w:rPr>
          <w:sz w:val="20"/>
          <w:szCs w:val="20"/>
          <w:color w:val="auto"/>
        </w:rPr>
      </w:pPr>
    </w:p>
    <w:p>
      <w:pPr>
        <w:ind w:right="320" w:firstLine="284"/>
        <w:spacing w:after="0" w:line="268" w:lineRule="auto"/>
        <w:rPr>
          <w:sz w:val="20"/>
          <w:szCs w:val="20"/>
          <w:color w:val="auto"/>
        </w:rPr>
      </w:pPr>
      <w:r>
        <w:rPr>
          <w:rFonts w:ascii="Arial" w:cs="Arial" w:eastAsia="Arial" w:hAnsi="Arial"/>
          <w:sz w:val="16"/>
          <w:szCs w:val="16"/>
          <w:color w:val="auto"/>
        </w:rPr>
        <w:t>Interest income (expense), net increased by $591 thousand, or 1,847%, for the three months ended March 31, 2022 compared to the same period in 2021. The increase in interest income is attributable mainly to interest from marketable securities and interest income from TTK Solutions.</w:t>
      </w:r>
    </w:p>
    <w:p>
      <w:pPr>
        <w:spacing w:after="0" w:line="157" w:lineRule="exact"/>
        <w:rPr>
          <w:sz w:val="20"/>
          <w:szCs w:val="20"/>
          <w:color w:val="auto"/>
        </w:rPr>
      </w:pPr>
    </w:p>
    <w:p>
      <w:pPr>
        <w:ind w:right="260" w:firstLine="284"/>
        <w:spacing w:after="0" w:line="268" w:lineRule="auto"/>
        <w:rPr>
          <w:sz w:val="20"/>
          <w:szCs w:val="20"/>
          <w:color w:val="auto"/>
        </w:rPr>
      </w:pPr>
      <w:r>
        <w:rPr>
          <w:rFonts w:ascii="Arial" w:cs="Arial" w:eastAsia="Arial" w:hAnsi="Arial"/>
          <w:sz w:val="16"/>
          <w:szCs w:val="16"/>
          <w:color w:val="auto"/>
        </w:rPr>
        <w:t>The change in fair value of warrant liabilities during the three months ended March 31, 2022 is related to the fair value remeasurement of warrants issued during the three months ended 2022.</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Gain on extinguishment of notes payable decreased by $2.7 million, or 100%, for the three months ended March 31, 2022 compared to the same period in 2021.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0"/>
        </w:trPr>
        <w:tc>
          <w:tcPr>
            <w:tcW w:w="59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Provision for (benefit from) Income Taxes</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63"/>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4"/>
          </w:tcPr>
          <w:p>
            <w:pPr>
              <w:jc w:val="center"/>
              <w:ind w:left="203"/>
              <w:spacing w:after="0"/>
              <w:rPr>
                <w:sz w:val="20"/>
                <w:szCs w:val="20"/>
                <w:color w:val="auto"/>
              </w:rPr>
            </w:pPr>
            <w:r>
              <w:rPr>
                <w:rFonts w:ascii="Arial" w:cs="Arial" w:eastAsia="Arial" w:hAnsi="Arial"/>
                <w:sz w:val="16"/>
                <w:szCs w:val="16"/>
                <w:b w:val="1"/>
                <w:bCs w:val="1"/>
                <w:color w:val="auto"/>
                <w:w w:val="89"/>
              </w:rPr>
              <w:t>Three Months ended</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9"/>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right="384"/>
              <w:spacing w:after="0"/>
              <w:rPr>
                <w:sz w:val="20"/>
                <w:szCs w:val="20"/>
                <w:color w:val="auto"/>
              </w:rPr>
            </w:pPr>
            <w:r>
              <w:rPr>
                <w:rFonts w:ascii="Arial" w:cs="Arial" w:eastAsia="Arial" w:hAnsi="Arial"/>
                <w:sz w:val="16"/>
                <w:szCs w:val="16"/>
                <w:b w:val="1"/>
                <w:bCs w:val="1"/>
                <w:color w:val="auto"/>
                <w:w w:val="94"/>
              </w:rPr>
              <w:t>March 31,</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5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 Change</w:t>
            </w:r>
          </w:p>
        </w:tc>
        <w:tc>
          <w:tcPr>
            <w:tcW w:w="140" w:type="dxa"/>
            <w:vAlign w:val="bottom"/>
            <w:tcBorders>
              <w:bottom w:val="single" w:sz="8" w:color="CCEEFF"/>
            </w:tcBorders>
          </w:tcPr>
          <w:p>
            <w:pPr>
              <w:spacing w:after="0"/>
              <w:rPr>
                <w:sz w:val="17"/>
                <w:szCs w:val="17"/>
                <w:color w:val="auto"/>
              </w:rPr>
            </w:pPr>
          </w:p>
        </w:tc>
      </w:tr>
      <w:tr>
        <w:trPr>
          <w:trHeight w:val="189"/>
        </w:trPr>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(benefit from) income taxes</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(200)</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44"/>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r>
      <w:tr>
        <w:trPr>
          <w:trHeight w:val="200"/>
        </w:trPr>
        <w:tc>
          <w:tcPr>
            <w:tcW w:w="5960" w:type="dxa"/>
            <w:vAlign w:val="bottom"/>
            <w:gridSpan w:val="2"/>
          </w:tcPr>
          <w:p>
            <w:pPr>
              <w:spacing w:after="0"/>
              <w:rPr>
                <w:sz w:val="20"/>
                <w:szCs w:val="20"/>
                <w:color w:val="auto"/>
              </w:rPr>
            </w:pPr>
            <w:r>
              <w:rPr>
                <w:rFonts w:ascii="Arial" w:cs="Arial" w:eastAsia="Arial" w:hAnsi="Arial"/>
                <w:sz w:val="16"/>
                <w:szCs w:val="16"/>
                <w:color w:val="auto"/>
              </w:rPr>
              <w:t>Effective tax rate</w:t>
            </w:r>
          </w:p>
        </w:tc>
        <w:tc>
          <w:tcPr>
            <w:tcW w:w="76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8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165" w:lineRule="exact"/>
        <w:rPr>
          <w:sz w:val="20"/>
          <w:szCs w:val="20"/>
          <w:color w:val="auto"/>
        </w:rPr>
      </w:pPr>
    </w:p>
    <w:p>
      <w:pPr>
        <w:ind w:right="160" w:firstLine="284"/>
        <w:spacing w:after="0" w:line="257" w:lineRule="auto"/>
        <w:rPr>
          <w:sz w:val="20"/>
          <w:szCs w:val="20"/>
          <w:color w:val="auto"/>
        </w:rPr>
      </w:pPr>
      <w:r>
        <w:rPr>
          <w:rFonts w:ascii="Arial" w:cs="Arial" w:eastAsia="Arial" w:hAnsi="Arial"/>
          <w:sz w:val="16"/>
          <w:szCs w:val="16"/>
          <w:color w:val="auto"/>
        </w:rPr>
        <w:t>The change in the provision for (benefit from) income taxes for the three months ended March 31, 2022 compared to the three months ended March 31, 2021 was primarily due to a discrete income tax benefit of $(200) thousand recorded during the first quarter of 2022, which is attributable to a non-recurring partial release of our U.S. valuation allowance as a result of the Lab Society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(Loss) Attributable to Non-Controlling Interest</w:t>
      </w:r>
    </w:p>
    <w:p>
      <w:pPr>
        <w:spacing w:after="0" w:line="194" w:lineRule="exact"/>
        <w:rPr>
          <w:sz w:val="20"/>
          <w:szCs w:val="20"/>
          <w:color w:val="auto"/>
        </w:rPr>
      </w:pPr>
    </w:p>
    <w:p>
      <w:pPr>
        <w:ind w:right="20" w:firstLine="284"/>
        <w:spacing w:after="0" w:line="293" w:lineRule="auto"/>
        <w:rPr>
          <w:sz w:val="20"/>
          <w:szCs w:val="20"/>
          <w:color w:val="auto"/>
        </w:rPr>
      </w:pPr>
      <w:r>
        <w:rPr>
          <w:rFonts w:ascii="Arial" w:cs="Arial" w:eastAsia="Arial" w:hAnsi="Arial"/>
          <w:sz w:val="14"/>
          <w:szCs w:val="14"/>
          <w:color w:val="auto"/>
        </w:rPr>
        <w:t>We consolidate the results of operations of two less than wholly-owned entities into our condensed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45" w:lineRule="exact"/>
        <w:rPr>
          <w:sz w:val="20"/>
          <w:szCs w:val="20"/>
          <w:color w:val="auto"/>
        </w:rPr>
      </w:pPr>
    </w:p>
    <w:p>
      <w:pPr>
        <w:ind w:right="140" w:firstLine="284"/>
        <w:spacing w:after="0" w:line="268" w:lineRule="auto"/>
        <w:rPr>
          <w:sz w:val="20"/>
          <w:szCs w:val="20"/>
          <w:color w:val="auto"/>
        </w:rPr>
      </w:pPr>
      <w:r>
        <w:rPr>
          <w:rFonts w:ascii="Arial" w:cs="Arial" w:eastAsia="Arial" w:hAnsi="Arial"/>
          <w:sz w:val="16"/>
          <w:szCs w:val="16"/>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8" w:lineRule="exact"/>
        <w:rPr>
          <w:sz w:val="20"/>
          <w:szCs w:val="20"/>
          <w:color w:val="auto"/>
        </w:rPr>
      </w:pPr>
    </w:p>
    <w:p>
      <w:pPr>
        <w:ind w:right="120" w:firstLine="284"/>
        <w:spacing w:after="0" w:line="268" w:lineRule="auto"/>
        <w:rPr>
          <w:sz w:val="20"/>
          <w:szCs w:val="20"/>
          <w:color w:val="auto"/>
        </w:rPr>
      </w:pPr>
      <w:r>
        <w:rPr>
          <w:rFonts w:ascii="Arial" w:cs="Arial" w:eastAsia="Arial" w:hAnsi="Arial"/>
          <w:sz w:val="15"/>
          <w:szCs w:val="15"/>
          <w:color w:val="auto"/>
        </w:rPr>
        <w:t>As of March 31, 2022, our principal sources of liquidity were cash and cash equivalents and marketable securities totaling $63.4 million and $30 million in restricted cash. We believe such amount, together with the proceeds from the private placement that closed on January 28, 2022 and the senior secured debt facility that closed on March 24, 2022, will be sufficient to support our planned operations for at least the next 12 months. Our current working capital needs are to support revenue growth, to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59" w:lineRule="exact"/>
        <w:rPr>
          <w:sz w:val="20"/>
          <w:szCs w:val="20"/>
          <w:color w:val="auto"/>
        </w:rPr>
      </w:pPr>
    </w:p>
    <w:p>
      <w:pPr>
        <w:jc w:val="both"/>
        <w:ind w:right="60" w:firstLine="284"/>
        <w:spacing w:after="0" w:line="282" w:lineRule="auto"/>
        <w:rPr>
          <w:sz w:val="20"/>
          <w:szCs w:val="20"/>
          <w:color w:val="auto"/>
        </w:rPr>
      </w:pPr>
      <w:r>
        <w:rPr>
          <w:rFonts w:ascii="Arial" w:cs="Arial" w:eastAsia="Arial" w:hAnsi="Arial"/>
          <w:sz w:val="15"/>
          <w:szCs w:val="15"/>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Indebtedness</w:t>
      </w:r>
    </w:p>
    <w:p>
      <w:pPr>
        <w:spacing w:after="0" w:line="198" w:lineRule="exact"/>
        <w:rPr>
          <w:sz w:val="20"/>
          <w:szCs w:val="20"/>
          <w:color w:val="auto"/>
        </w:rPr>
      </w:pPr>
    </w:p>
    <w:p>
      <w:pPr>
        <w:ind w:right="100" w:firstLine="284"/>
        <w:spacing w:after="0" w:line="252" w:lineRule="auto"/>
        <w:rPr>
          <w:sz w:val="20"/>
          <w:szCs w:val="20"/>
          <w:color w:val="auto"/>
        </w:rPr>
      </w:pPr>
      <w:r>
        <w:rPr>
          <w:rFonts w:ascii="Arial" w:cs="Arial" w:eastAsia="Arial" w:hAnsi="Arial"/>
          <w:sz w:val="16"/>
          <w:szCs w:val="16"/>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$779 thousand from the unsecured PPP Loan which is scheduled to mature in May 2022. Subject to certain conditions, the PPP Loan may be forgiven in whole or in part by applying for forgiveness pursuant to the CARES Act and the PPP. If the remaining principal amount is not forgiven in full, we would be obligated to repay any principal amount not forgiven and interest accrued thereon.</w:t>
      </w:r>
    </w:p>
    <w:p>
      <w:pPr>
        <w:spacing w:after="0" w:line="169" w:lineRule="exact"/>
        <w:rPr>
          <w:sz w:val="20"/>
          <w:szCs w:val="20"/>
          <w:color w:val="auto"/>
        </w:rPr>
      </w:pPr>
    </w:p>
    <w:p>
      <w:pPr>
        <w:ind w:firstLine="284"/>
        <w:spacing w:after="0" w:line="268" w:lineRule="auto"/>
        <w:rPr>
          <w:sz w:val="20"/>
          <w:szCs w:val="20"/>
          <w:color w:val="auto"/>
        </w:rPr>
      </w:pPr>
      <w:r>
        <w:rPr>
          <w:rFonts w:ascii="Arial" w:cs="Arial" w:eastAsia="Arial" w:hAnsi="Arial"/>
          <w:sz w:val="15"/>
          <w:szCs w:val="15"/>
          <w:color w:val="auto"/>
        </w:rPr>
        <w:t>On March 14, 2022, we entered into a Securities Purchase Agreement with an institutional investor. The Purchase Agreement provides for of the issuance of a senior secured note (the “SPA Note”) in the aggregate amount of $65 million and a warrant exercisable 34,406 shares of Common Stock, with the potential for two potential subsequent closings for notes with an original principal amount of $35 million each. The initial closing pursuant to this debt facility occurred on March 24, 2022. The SPA Note is a senior secured obligation and ranks senior to all other indebtedness. We will be required to make amortization payments equal to 4.0% of the original principal amount of the SPA Note on the first day of each calendar month starting on February 1, 2023 and extending through the maturity date of March 1, 2026 (the “Maturity Date”), at which time all remaining outstanding principal and accrued but unpaid interest will be due. The SPA Note has an interest rate of 6.75% per year, and we will be required to pay interest on March 1, June 1, September 1, and December 1 of each calendar year through the Maturity Date. Following the one-year anniversary of the SPA Note’s issuance, we may, in lieu of paying interest in cash, pay such interest in kind, in which case interest on the SPA Note will be calculated at the rate of 8.75% per year and will be added to the principal amount of the SPA Note.</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At any time following the one-year anniversary of the SPA Note’s issuance, we may prepay all (but not less than all) of the SPA Note by redemption at a price equal to</w:t>
      </w:r>
    </w:p>
    <w:p>
      <w:pPr>
        <w:spacing w:after="0" w:line="39" w:lineRule="exact"/>
        <w:rPr>
          <w:sz w:val="20"/>
          <w:szCs w:val="20"/>
          <w:color w:val="auto"/>
        </w:rPr>
      </w:pPr>
    </w:p>
    <w:p>
      <w:pPr>
        <w:ind w:right="40"/>
        <w:spacing w:after="0" w:line="324" w:lineRule="auto"/>
        <w:rPr>
          <w:sz w:val="20"/>
          <w:szCs w:val="20"/>
          <w:color w:val="auto"/>
        </w:rPr>
      </w:pPr>
      <w:r>
        <w:rPr>
          <w:rFonts w:ascii="Arial" w:cs="Arial" w:eastAsia="Arial" w:hAnsi="Arial"/>
          <w:sz w:val="14"/>
          <w:szCs w:val="14"/>
          <w:color w:val="auto"/>
        </w:rPr>
        <w:t>106.75% of the then-outstanding principal amount under the SPA Note plus any accrued but unpaid interest. The noteholder also has the option of requiring us to redeem the SPA Note if we undergo a fundamental change at a price equal to 107% of the then-outstanding principal amount under the SPA Note plus any accrued interest.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98" w:lineRule="exact"/>
        <w:rPr>
          <w:sz w:val="20"/>
          <w:szCs w:val="20"/>
          <w:color w:val="auto"/>
        </w:rPr>
      </w:pPr>
    </w:p>
    <w:p>
      <w:pPr>
        <w:ind w:right="260" w:firstLine="284"/>
        <w:spacing w:after="0" w:line="268" w:lineRule="auto"/>
        <w:rPr>
          <w:sz w:val="20"/>
          <w:szCs w:val="20"/>
          <w:color w:val="auto"/>
        </w:rPr>
      </w:pPr>
      <w:r>
        <w:rPr>
          <w:rFonts w:ascii="Arial" w:cs="Arial" w:eastAsia="Arial" w:hAnsi="Arial"/>
          <w:sz w:val="16"/>
          <w:szCs w:val="16"/>
          <w:color w:val="auto"/>
        </w:rPr>
        <w:t>The following table presents the major components of net cash flows from and used in operating, investing, and financing activities for the three months ended March 31, 2022, and 2021:</w:t>
      </w:r>
    </w:p>
    <w:p>
      <w:pPr>
        <w:sectPr>
          <w:pgSz w:w="11900" w:h="16838" w:orient="portrait"/>
          <w:cols w:equalWidth="0" w:num="1">
            <w:col w:w="11240"/>
          </w:cols>
          <w:pgMar w:left="320" w:top="785" w:right="339" w:bottom="144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543687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3687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cash (used in) provided by: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49465"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Investing activities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49465" cy="135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2"/>
          <w:szCs w:val="12"/>
          <w:color w:val="auto"/>
        </w:rPr>
        <w:t>Net increase in cash, cash equivalents, and restricted cash</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 from Operating Activities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6"/>
                <w:szCs w:val="16"/>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March 31,</w:t>
            </w:r>
          </w:p>
        </w:tc>
      </w:tr>
      <w:tr>
        <w:trPr>
          <w:trHeight w:val="209"/>
        </w:trPr>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66"/>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(30,875)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(7,279)</w:t>
            </w:r>
          </w:p>
        </w:tc>
      </w:tr>
      <w:tr>
        <w:trPr>
          <w:trHeight w:val="200"/>
        </w:trPr>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(13,365)</w:t>
            </w:r>
          </w:p>
        </w:tc>
        <w:tc>
          <w:tcPr>
            <w:tcW w:w="14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(142)</w:t>
            </w:r>
          </w:p>
        </w:tc>
      </w:tr>
      <w:tr>
        <w:trPr>
          <w:trHeight w:val="206"/>
        </w:trPr>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87,431</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137,197</w:t>
            </w:r>
          </w:p>
        </w:tc>
        <w:tc>
          <w:tcPr>
            <w:tcW w:w="40" w:type="dxa"/>
            <w:vAlign w:val="bottom"/>
          </w:tcPr>
          <w:p>
            <w:pPr>
              <w:spacing w:after="0"/>
              <w:rPr>
                <w:sz w:val="17"/>
                <w:szCs w:val="17"/>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43,191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129,776</w:t>
            </w:r>
          </w:p>
        </w:tc>
        <w:tc>
          <w:tcPr>
            <w:tcW w:w="40" w:type="dxa"/>
            <w:vAlign w:val="bottom"/>
          </w:tcPr>
          <w:p>
            <w:pPr>
              <w:spacing w:after="0"/>
              <w:rPr>
                <w:sz w:val="18"/>
                <w:szCs w:val="18"/>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54" w:lineRule="exact"/>
        <w:rPr>
          <w:sz w:val="20"/>
          <w:szCs w:val="20"/>
          <w:color w:val="auto"/>
        </w:rPr>
      </w:pPr>
    </w:p>
    <w:p>
      <w:pPr>
        <w:sectPr>
          <w:pgSz w:w="11900" w:h="16838" w:orient="portrait"/>
          <w:cols w:equalWidth="0" w:num="2">
            <w:col w:w="7960" w:space="720"/>
            <w:col w:w="2560"/>
          </w:cols>
          <w:pgMar w:left="320" w:top="785" w:right="339" w:bottom="1440" w:gutter="0" w:footer="0" w:header="0"/>
          <w:type w:val="continuous"/>
        </w:sectPr>
      </w:pPr>
    </w:p>
    <w:p>
      <w:pPr>
        <w:ind w:right="120" w:firstLine="284"/>
        <w:spacing w:after="0" w:line="296" w:lineRule="auto"/>
        <w:rPr>
          <w:sz w:val="20"/>
          <w:szCs w:val="20"/>
          <w:color w:val="auto"/>
        </w:rPr>
      </w:pPr>
      <w:r>
        <w:rPr>
          <w:rFonts w:ascii="Arial" w:cs="Arial" w:eastAsia="Arial" w:hAnsi="Arial"/>
          <w:sz w:val="14"/>
          <w:szCs w:val="14"/>
          <w:color w:val="auto"/>
        </w:rPr>
        <w:t>For the three months ended March 31, 2022, we incurred a net income of $1.8 million, which included a non-cash gain related to the remeasurement of warrant liabilities of $10.8 million, non-cash expenses of $1.1 million related to depreciation and amortization, $1.0 million in connection with the issuance and acceleration of stock options, non-cash interest income of $0.4 million related to TTK Solutions, and gain attributed to non-controlling interest in the amount of $1 thousand. Net cash was reduced by a $0.8 million increase in accounts receivable, a $0.6 million decrease in deferred revenue, a $16.4 million increase in inventory due to demand forecast, and a $0.9 million increase in prepaid expenses, a $2.1 million decrease in accrued expenses and other current liabilities and $2.8 million decrease in accounts payable.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type w:val="continuous"/>
        </w:sectPr>
      </w:pPr>
    </w:p>
    <w:bookmarkStart w:id="74" w:name="page75"/>
    <w:bookmarkEnd w:id="74"/>
    <w:p>
      <w:pPr>
        <w:ind w:firstLine="284"/>
        <w:spacing w:after="0" w:line="251" w:lineRule="auto"/>
        <w:rPr>
          <w:sz w:val="20"/>
          <w:szCs w:val="20"/>
          <w:color w:val="auto"/>
        </w:rPr>
      </w:pPr>
      <w:r>
        <w:rPr>
          <w:rFonts w:ascii="Arial" w:cs="Arial" w:eastAsia="Arial" w:hAnsi="Arial"/>
          <w:sz w:val="16"/>
          <w:szCs w:val="16"/>
          <w:color w:val="auto"/>
        </w:rPr>
        <w:t>For the three months ended March 31, 2021, we incurred a net loss of $(3.8) million, which includes non-cash expenses of $147 thousand related to depreciation and amortization, $2.1 million in connection with the issuance and acceleration of stock options, non-cash interest expenses of $33 thousand related to leases and the issuance of notes payable, partially offset by a gain of $2.7 million related to extinguishment of notes payable, loss attributed to non-controlling interest in the amount of $(33) thousand. Net cash was reduced by a $5.2 million increase in accounts receivable, a $3.3 million increase in prepaid inventory due to demand forecast, a $2.2 million increase in prepaid expenses, and a $96 thousand increase in deferred revenue, partially offset by a $7.4 million increase in accrued expenses ($6 million related to construction cots), and a $181 thousand increase in accounts payable.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 from Investing Activities</w:t>
      </w:r>
    </w:p>
    <w:p>
      <w:pPr>
        <w:spacing w:after="0" w:line="194" w:lineRule="exact"/>
        <w:rPr>
          <w:sz w:val="20"/>
          <w:szCs w:val="20"/>
          <w:color w:val="auto"/>
        </w:rPr>
      </w:pPr>
    </w:p>
    <w:p>
      <w:pPr>
        <w:ind w:right="40" w:firstLine="284"/>
        <w:spacing w:after="0" w:line="253" w:lineRule="auto"/>
        <w:rPr>
          <w:sz w:val="20"/>
          <w:szCs w:val="20"/>
          <w:color w:val="auto"/>
        </w:rPr>
      </w:pPr>
      <w:r>
        <w:rPr>
          <w:rFonts w:ascii="Arial" w:cs="Arial" w:eastAsia="Arial" w:hAnsi="Arial"/>
          <w:sz w:val="16"/>
          <w:szCs w:val="16"/>
          <w:color w:val="auto"/>
        </w:rPr>
        <w:t>Net cash used in investing activities primarily relates to net purchases of marketable securities, cash paid associated with the Company’s 2022 acquisition of Lab Society, the issuance of loans receivable in connection with the Company’s financing of construction and equipment under its TTK Solutions offering, and for purchases of property and equipment, expenditures, and purchase of marketable securities. The capital expenditures support growth and investment in property and equipment, to expand research, development, and testing capabilities and, to a lesser extent, the replacement of existing equipment.</w:t>
      </w:r>
    </w:p>
    <w:p>
      <w:pPr>
        <w:spacing w:after="0" w:line="170" w:lineRule="exact"/>
        <w:rPr>
          <w:sz w:val="20"/>
          <w:szCs w:val="20"/>
          <w:color w:val="auto"/>
        </w:rPr>
      </w:pPr>
    </w:p>
    <w:p>
      <w:pPr>
        <w:ind w:right="140" w:firstLine="284"/>
        <w:spacing w:after="0" w:line="257" w:lineRule="auto"/>
        <w:rPr>
          <w:sz w:val="20"/>
          <w:szCs w:val="20"/>
          <w:color w:val="auto"/>
        </w:rPr>
      </w:pPr>
      <w:r>
        <w:rPr>
          <w:rFonts w:ascii="Arial" w:cs="Arial" w:eastAsia="Arial" w:hAnsi="Arial"/>
          <w:sz w:val="16"/>
          <w:szCs w:val="16"/>
          <w:color w:val="auto"/>
        </w:rPr>
        <w:t>For the three months ended March 31, 2022, net cash used in investing activities was $(13.4) million, which included cash outflows of $6.4 million in net purchases of marketable securities, $3.5 million paid in connection with our 2022 acquisitions of Lab Society, $12.5 million related to the issuance of TTK-related loans receivable, and $3.7 million of expenditures for property and equipment.</w:t>
      </w:r>
    </w:p>
    <w:p>
      <w:pPr>
        <w:spacing w:after="0" w:line="166" w:lineRule="exact"/>
        <w:rPr>
          <w:sz w:val="20"/>
          <w:szCs w:val="20"/>
          <w:color w:val="auto"/>
        </w:rPr>
      </w:pPr>
    </w:p>
    <w:p>
      <w:pPr>
        <w:ind w:right="360" w:firstLine="284"/>
        <w:spacing w:after="0" w:line="268" w:lineRule="auto"/>
        <w:rPr>
          <w:sz w:val="20"/>
          <w:szCs w:val="20"/>
          <w:color w:val="auto"/>
        </w:rPr>
      </w:pPr>
      <w:r>
        <w:rPr>
          <w:rFonts w:ascii="Arial" w:cs="Arial" w:eastAsia="Arial" w:hAnsi="Arial"/>
          <w:sz w:val="16"/>
          <w:szCs w:val="16"/>
          <w:color w:val="auto"/>
        </w:rPr>
        <w:t>For the three months ended March 31, 2021, net cash used in investing activities was $(142) thousand for leasehold improvements, purchasing computer equipment and small machinery.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 from Financing Activities</w:t>
      </w:r>
    </w:p>
    <w:p>
      <w:pPr>
        <w:spacing w:after="0" w:line="194" w:lineRule="exact"/>
        <w:rPr>
          <w:sz w:val="20"/>
          <w:szCs w:val="20"/>
          <w:color w:val="auto"/>
        </w:rPr>
      </w:pPr>
    </w:p>
    <w:p>
      <w:pPr>
        <w:ind w:right="180" w:firstLine="284"/>
        <w:spacing w:after="0" w:line="301" w:lineRule="auto"/>
        <w:rPr>
          <w:sz w:val="20"/>
          <w:szCs w:val="20"/>
          <w:color w:val="auto"/>
        </w:rPr>
      </w:pPr>
      <w:r>
        <w:rPr>
          <w:rFonts w:ascii="Arial" w:cs="Arial" w:eastAsia="Arial" w:hAnsi="Arial"/>
          <w:sz w:val="14"/>
          <w:szCs w:val="14"/>
          <w:color w:val="auto"/>
        </w:rPr>
        <w:t>For the three months ended March 31, 2022, net cash provided by financing activities was $87.4 million. Net cash provided by financing activities was primarily driven by the Company’s two private placements during 2022. The Company received $62.4 million in net proceeds from our issuance of debt and warrants in a private placement, and $25.8 million in net proceeds from our issuance of Common Stock and warrants in a private placement. Additionally, the Company received $11 thousand in proceeds from the exercise of stock options and warrants. Each of the above inflows of cash was offset by $782 thousand in payments relating to financing loans and financing leases.</w:t>
      </w:r>
    </w:p>
    <w:p>
      <w:pPr>
        <w:spacing w:after="0" w:line="138" w:lineRule="exact"/>
        <w:rPr>
          <w:sz w:val="20"/>
          <w:szCs w:val="20"/>
          <w:color w:val="auto"/>
        </w:rPr>
      </w:pPr>
    </w:p>
    <w:p>
      <w:pPr>
        <w:ind w:firstLine="284"/>
        <w:spacing w:after="0" w:line="257" w:lineRule="auto"/>
        <w:rPr>
          <w:sz w:val="20"/>
          <w:szCs w:val="20"/>
          <w:color w:val="auto"/>
        </w:rPr>
      </w:pPr>
      <w:r>
        <w:rPr>
          <w:rFonts w:ascii="Arial" w:cs="Arial" w:eastAsia="Arial" w:hAnsi="Arial"/>
          <w:sz w:val="16"/>
          <w:szCs w:val="16"/>
          <w:color w:val="auto"/>
        </w:rPr>
        <w:t>For the three months ended March 31, 2021, net cash provided by financing activities was $137 million, attributable to $57 million proceeds from our initial IPO, $80 million from our secondary public offering, both net of fees, and proceeds from the exercise of options and warrants of $444 thousand, slightly offset by $47 thousand payments relating to financing leases.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98" w:lineRule="exact"/>
        <w:rPr>
          <w:sz w:val="20"/>
          <w:szCs w:val="20"/>
          <w:color w:val="auto"/>
        </w:rPr>
      </w:pPr>
    </w:p>
    <w:p>
      <w:pPr>
        <w:ind w:right="420" w:firstLine="328"/>
        <w:spacing w:after="0" w:line="253" w:lineRule="auto"/>
        <w:rPr>
          <w:sz w:val="20"/>
          <w:szCs w:val="20"/>
          <w:color w:val="auto"/>
        </w:rPr>
      </w:pPr>
      <w:r>
        <w:rPr>
          <w:rFonts w:ascii="Arial" w:cs="Arial" w:eastAsia="Arial" w:hAnsi="Arial"/>
          <w:sz w:val="16"/>
          <w:szCs w:val="16"/>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98" w:lineRule="exact"/>
        <w:rPr>
          <w:sz w:val="20"/>
          <w:szCs w:val="20"/>
          <w:color w:val="auto"/>
        </w:rPr>
      </w:pPr>
    </w:p>
    <w:p>
      <w:pPr>
        <w:ind w:firstLine="284"/>
        <w:spacing w:after="0" w:line="301" w:lineRule="auto"/>
        <w:rPr>
          <w:sz w:val="20"/>
          <w:szCs w:val="20"/>
          <w:color w:val="auto"/>
        </w:rPr>
      </w:pPr>
      <w:r>
        <w:rPr>
          <w:rFonts w:ascii="Arial" w:cs="Arial" w:eastAsia="Arial" w:hAnsi="Arial"/>
          <w:sz w:val="14"/>
          <w:szCs w:val="14"/>
          <w:color w:val="auto"/>
        </w:rPr>
        <w:t>Part I, Item, 2, “Management’s Discussion and Analysis of Financial Condition and Results of Operations” discusses our condensed consolidated financial statements, which have been prepared in accordance with GAAP. The preparation of these condensed consolidated financial statements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 Actual results may differ from these estimates under different assumptions or conditions.</w:t>
      </w:r>
    </w:p>
    <w:p>
      <w:pPr>
        <w:spacing w:after="0" w:line="138" w:lineRule="exact"/>
        <w:rPr>
          <w:sz w:val="20"/>
          <w:szCs w:val="20"/>
          <w:color w:val="auto"/>
        </w:rPr>
      </w:pPr>
    </w:p>
    <w:p>
      <w:pPr>
        <w:ind w:firstLine="284"/>
        <w:spacing w:after="0" w:line="301" w:lineRule="auto"/>
        <w:rPr>
          <w:sz w:val="20"/>
          <w:szCs w:val="20"/>
          <w:color w:val="auto"/>
        </w:rPr>
      </w:pPr>
      <w:r>
        <w:rPr>
          <w:rFonts w:ascii="Arial" w:cs="Arial" w:eastAsia="Arial" w:hAnsi="Arial"/>
          <w:sz w:val="14"/>
          <w:szCs w:val="14"/>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75" w:name="page76"/>
    <w:bookmarkEnd w:id="75"/>
    <w:p>
      <w:pPr>
        <w:ind w:right="20" w:firstLine="284"/>
        <w:spacing w:after="0" w:line="253" w:lineRule="auto"/>
        <w:rPr>
          <w:sz w:val="20"/>
          <w:szCs w:val="20"/>
          <w:color w:val="auto"/>
        </w:rPr>
      </w:pPr>
      <w:r>
        <w:rPr>
          <w:rFonts w:ascii="Arial" w:cs="Arial" w:eastAsia="Arial" w:hAnsi="Arial"/>
          <w:sz w:val="16"/>
          <w:szCs w:val="16"/>
          <w:color w:val="auto"/>
        </w:rPr>
        <w:t>The significant accounting policies and estimates that have been adopted and followed in the preparation of our condensed consolidated financial statements are detailed in Note 3 - Summary of Significant Accounting Policies included in our 2021 Annual Report and Note 3 - Summary of Significant Accounting Policies to our condensed consolidated financial statements in Part I, Item 1 of this Quarterly Report on Form 10-Q. There have been no changes in these policies and estimates that had a significant impact on the financial condition and results of operations for the periods covered in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 Adopted</w:t>
      </w:r>
    </w:p>
    <w:p>
      <w:pPr>
        <w:spacing w:after="0" w:line="198" w:lineRule="exact"/>
        <w:rPr>
          <w:sz w:val="20"/>
          <w:szCs w:val="20"/>
          <w:color w:val="auto"/>
        </w:rPr>
      </w:pPr>
    </w:p>
    <w:p>
      <w:pPr>
        <w:ind w:right="180" w:firstLine="328"/>
        <w:spacing w:after="0" w:line="268" w:lineRule="auto"/>
        <w:rPr>
          <w:sz w:val="20"/>
          <w:szCs w:val="20"/>
          <w:color w:val="auto"/>
        </w:rPr>
      </w:pPr>
      <w:r>
        <w:rPr>
          <w:rFonts w:ascii="Arial" w:cs="Arial" w:eastAsia="Arial" w:hAnsi="Arial"/>
          <w:sz w:val="16"/>
          <w:szCs w:val="16"/>
          <w:color w:val="auto"/>
        </w:rPr>
        <w:t>For more information on recently issued accounting pronouncements are included within Note 4 – Recent Accounting Pronouncements, included elsewhere in the notes to condensed consolidated financial statements covered under Part I, Item 1 of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 Not Yet Adopted</w:t>
      </w:r>
    </w:p>
    <w:p>
      <w:pPr>
        <w:spacing w:after="0" w:line="198" w:lineRule="exact"/>
        <w:rPr>
          <w:sz w:val="20"/>
          <w:szCs w:val="20"/>
          <w:color w:val="auto"/>
        </w:rPr>
      </w:pPr>
    </w:p>
    <w:p>
      <w:pPr>
        <w:ind w:right="20" w:firstLine="328"/>
        <w:spacing w:after="0" w:line="268" w:lineRule="auto"/>
        <w:rPr>
          <w:sz w:val="20"/>
          <w:szCs w:val="20"/>
          <w:color w:val="auto"/>
        </w:rPr>
      </w:pPr>
      <w:r>
        <w:rPr>
          <w:rFonts w:ascii="Arial" w:cs="Arial" w:eastAsia="Arial" w:hAnsi="Arial"/>
          <w:sz w:val="16"/>
          <w:szCs w:val="16"/>
          <w:color w:val="auto"/>
        </w:rPr>
        <w:t>For more information on new accounting pronouncements not yet adopted are included within Note 4 – Recent Accounting Pronouncements, included elsewhere in the notes to condensed consolidated financial statements covered under Part I, Item 1 in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a “smaller reporting company” as defined by Item 10 of Regulation S-K, the Company is not required to provide information required by this Item.</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8" w:lineRule="exact"/>
        <w:rPr>
          <w:sz w:val="20"/>
          <w:szCs w:val="20"/>
          <w:color w:val="auto"/>
        </w:rPr>
      </w:pPr>
    </w:p>
    <w:p>
      <w:pPr>
        <w:ind w:right="260" w:firstLine="284"/>
        <w:spacing w:after="0" w:line="301" w:lineRule="auto"/>
        <w:rPr>
          <w:sz w:val="20"/>
          <w:szCs w:val="20"/>
          <w:color w:val="auto"/>
        </w:rPr>
      </w:pPr>
      <w:r>
        <w:rPr>
          <w:rFonts w:ascii="Arial" w:cs="Arial" w:eastAsia="Arial" w:hAnsi="Arial"/>
          <w:sz w:val="14"/>
          <w:szCs w:val="14"/>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to allow timely decisions regarding required disclosure.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94" w:lineRule="exact"/>
        <w:rPr>
          <w:sz w:val="20"/>
          <w:szCs w:val="20"/>
          <w:color w:val="auto"/>
        </w:rPr>
      </w:pPr>
    </w:p>
    <w:p>
      <w:pPr>
        <w:ind w:right="220" w:firstLine="284"/>
        <w:spacing w:after="0" w:line="268" w:lineRule="auto"/>
        <w:rPr>
          <w:sz w:val="20"/>
          <w:szCs w:val="20"/>
          <w:color w:val="auto"/>
        </w:rPr>
      </w:pPr>
      <w:r>
        <w:rPr>
          <w:rFonts w:ascii="Arial" w:cs="Arial" w:eastAsia="Arial" w:hAnsi="Arial"/>
          <w:sz w:val="16"/>
          <w:szCs w:val="16"/>
          <w:color w:val="auto"/>
        </w:rPr>
        <w:t>As required by Rules 13a-15 and 15d-15 under the Exchange Act, our Chief Executive Officer carried out an evaluation of the effectiveness of the design and operation of our disclosure controls and procedures.</w:t>
      </w:r>
    </w:p>
    <w:p>
      <w:pPr>
        <w:spacing w:after="0" w:line="157" w:lineRule="exact"/>
        <w:rPr>
          <w:sz w:val="20"/>
          <w:szCs w:val="20"/>
          <w:color w:val="auto"/>
        </w:rPr>
      </w:pPr>
    </w:p>
    <w:p>
      <w:pPr>
        <w:ind w:right="220" w:firstLine="284"/>
        <w:spacing w:after="0" w:line="252" w:lineRule="auto"/>
        <w:rPr>
          <w:sz w:val="20"/>
          <w:szCs w:val="20"/>
          <w:color w:val="auto"/>
        </w:rPr>
      </w:pPr>
      <w:r>
        <w:rPr>
          <w:rFonts w:ascii="Arial" w:cs="Arial" w:eastAsia="Arial" w:hAnsi="Arial"/>
          <w:sz w:val="16"/>
          <w:szCs w:val="16"/>
          <w:color w:val="auto"/>
        </w:rPr>
        <w:t>The Company identified errors in the accounting for previously issued warrants, debt issuance costs and the classification of debt. Therefore, the Company restated it’s unaudited condensed financial statements as of and for the periods ended March 31, 2022, June 30, 2022 and September 30, 2022. In connection with the restatements, the Company identified a material weakness in its internal controls related to accounting for complex financial instruments.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94" w:lineRule="exact"/>
        <w:rPr>
          <w:sz w:val="20"/>
          <w:szCs w:val="20"/>
          <w:color w:val="auto"/>
        </w:rPr>
      </w:pPr>
    </w:p>
    <w:p>
      <w:pPr>
        <w:ind w:firstLine="284"/>
        <w:spacing w:after="0" w:line="250" w:lineRule="auto"/>
        <w:rPr>
          <w:sz w:val="20"/>
          <w:szCs w:val="20"/>
          <w:color w:val="auto"/>
        </w:rPr>
      </w:pPr>
      <w:r>
        <w:rPr>
          <w:rFonts w:ascii="Arial" w:cs="Arial" w:eastAsia="Arial" w:hAnsi="Arial"/>
          <w:sz w:val="16"/>
          <w:szCs w:val="16"/>
          <w:color w:val="auto"/>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 In light of the restatement of our financial statements as described above, we plan to enhance our processes to identify and appropriately apply applicable accounting requirements to better evaluate and understand the nuances of the complex accounting standards that apply to our condensed consolidated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6"/>
          <w:szCs w:val="16"/>
          <w:b w:val="1"/>
          <w:bCs w:val="1"/>
          <w:color w:val="auto"/>
        </w:rPr>
        <w:t>PART II —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8" w:lineRule="exact"/>
        <w:rPr>
          <w:sz w:val="20"/>
          <w:szCs w:val="20"/>
          <w:color w:val="auto"/>
        </w:rPr>
      </w:pPr>
    </w:p>
    <w:p>
      <w:pPr>
        <w:ind w:firstLine="284"/>
        <w:spacing w:after="0" w:line="257" w:lineRule="auto"/>
        <w:rPr>
          <w:sz w:val="20"/>
          <w:szCs w:val="20"/>
          <w:color w:val="auto"/>
        </w:rPr>
      </w:pPr>
      <w:r>
        <w:rPr>
          <w:rFonts w:ascii="Arial" w:cs="Arial" w:eastAsia="Arial" w:hAnsi="Arial"/>
          <w:sz w:val="16"/>
          <w:szCs w:val="16"/>
          <w:color w:val="auto"/>
        </w:rPr>
        <w:t>From time to time, we are a party to various legal proceedings or claims arising in the ordinary course of business. For information related to legal proceedings, see the discussion under the caption Legal Proceedings in Note 22 - Commitments and Contingencies to our condensed consolidated financial statements included in Part I, Item 1 of this Quarterly Report, which information is incorporated by reference into this Part II, Item 1.</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8" w:lineRule="exact"/>
        <w:rPr>
          <w:sz w:val="20"/>
          <w:szCs w:val="20"/>
          <w:color w:val="auto"/>
        </w:rPr>
      </w:pPr>
    </w:p>
    <w:p>
      <w:pPr>
        <w:ind w:right="400" w:firstLine="284"/>
        <w:spacing w:after="0" w:line="268" w:lineRule="auto"/>
        <w:rPr>
          <w:sz w:val="20"/>
          <w:szCs w:val="20"/>
          <w:color w:val="auto"/>
        </w:rPr>
      </w:pPr>
      <w:r>
        <w:rPr>
          <w:rFonts w:ascii="Arial" w:cs="Arial" w:eastAsia="Arial" w:hAnsi="Arial"/>
          <w:sz w:val="16"/>
          <w:szCs w:val="16"/>
          <w:color w:val="auto"/>
        </w:rPr>
        <w:t>As of the date of this report, there are no material changes to our risk factors as previously disclosed in Part I, Item 1A of our Annual Report on Form 10-K for the year ended December 31, 2021.</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77" w:name="page78"/>
    <w:bookmarkEnd w:id="77"/>
    <w:tbl>
      <w:tblPr>
        <w:tblLayout w:type="fixed"/>
        <w:tblInd w:w="5" w:type="dxa"/>
        <w:tblCellMar>
          <w:top w:w="0" w:type="dxa"/>
          <w:left w:w="0" w:type="dxa"/>
          <w:bottom w:w="0" w:type="dxa"/>
          <w:right w:w="0" w:type="dxa"/>
        </w:tblCellMar>
      </w:tblPr>
      <w:tr>
        <w:trPr>
          <w:trHeight w:val="204"/>
        </w:trPr>
        <w:tc>
          <w:tcPr>
            <w:tcW w:w="1120" w:type="dxa"/>
            <w:vAlign w:val="bottom"/>
            <w:gridSpan w:val="2"/>
          </w:tcPr>
          <w:p>
            <w:pPr>
              <w:spacing w:after="0"/>
              <w:rPr>
                <w:sz w:val="20"/>
                <w:szCs w:val="20"/>
                <w:color w:val="auto"/>
              </w:rPr>
            </w:pPr>
            <w:r>
              <w:rPr>
                <w:rFonts w:ascii="Arial" w:cs="Arial" w:eastAsia="Arial" w:hAnsi="Arial"/>
                <w:sz w:val="16"/>
                <w:szCs w:val="16"/>
                <w:b w:val="1"/>
                <w:bCs w:val="1"/>
                <w:color w:val="auto"/>
                <w:w w:val="93"/>
              </w:rPr>
              <w:t>Item 6. Exhibits</w:t>
            </w:r>
          </w:p>
        </w:tc>
        <w:tc>
          <w:tcPr>
            <w:tcW w:w="2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3"/>
        </w:trPr>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0140" w:type="dxa"/>
            <w:vAlign w:val="bottom"/>
            <w:gridSpan w:val="15"/>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154"/>
        </w:trPr>
        <w:tc>
          <w:tcPr>
            <w:tcW w:w="1020" w:type="dxa"/>
            <w:vAlign w:val="bottom"/>
            <w:tcBorders>
              <w:top w:val="single" w:sz="8" w:color="auto"/>
            </w:tcBorders>
            <w:shd w:val="clear" w:color="auto" w:fill="CCEEFF"/>
          </w:tcPr>
          <w:p>
            <w:pPr>
              <w:spacing w:after="0" w:line="154" w:lineRule="exact"/>
              <w:rPr>
                <w:sz w:val="20"/>
                <w:szCs w:val="20"/>
                <w:color w:val="auto"/>
              </w:rPr>
            </w:pPr>
            <w:r>
              <w:rPr>
                <w:rFonts w:ascii="Arial" w:cs="Arial" w:eastAsia="Arial" w:hAnsi="Arial"/>
                <w:sz w:val="16"/>
                <w:szCs w:val="16"/>
                <w:color w:val="auto"/>
              </w:rPr>
              <w:t>2.1†</w:t>
            </w:r>
          </w:p>
        </w:tc>
        <w:tc>
          <w:tcPr>
            <w:tcW w:w="100" w:type="dxa"/>
            <w:vAlign w:val="bottom"/>
            <w:tcBorders>
              <w:top w:val="single" w:sz="8" w:color="CCEEFF"/>
            </w:tcBorders>
            <w:shd w:val="clear" w:color="auto" w:fill="CCEEFF"/>
          </w:tcPr>
          <w:p>
            <w:pPr>
              <w:spacing w:after="0"/>
              <w:rPr>
                <w:sz w:val="13"/>
                <w:szCs w:val="13"/>
                <w:color w:val="auto"/>
              </w:rPr>
            </w:pPr>
          </w:p>
        </w:tc>
        <w:tc>
          <w:tcPr>
            <w:tcW w:w="10140" w:type="dxa"/>
            <w:vAlign w:val="bottom"/>
            <w:tcBorders>
              <w:top w:val="single" w:sz="8" w:color="auto"/>
            </w:tcBorders>
            <w:gridSpan w:val="15"/>
            <w:shd w:val="clear" w:color="auto" w:fill="CCEEFF"/>
          </w:tcPr>
          <w:p>
            <w:pPr>
              <w:ind w:left="20"/>
              <w:spacing w:after="0" w:line="154" w:lineRule="exact"/>
              <w:rPr>
                <w:rFonts w:ascii="Arial" w:cs="Arial" w:eastAsia="Arial" w:hAnsi="Arial"/>
                <w:sz w:val="16"/>
                <w:szCs w:val="16"/>
                <w:color w:val="0000EE"/>
                <w:w w:val="93"/>
              </w:rPr>
            </w:pPr>
            <w:hyperlink r:id="rId125">
              <w:r>
                <w:rPr>
                  <w:rFonts w:ascii="Arial" w:cs="Arial" w:eastAsia="Arial" w:hAnsi="Arial"/>
                  <w:sz w:val="16"/>
                  <w:szCs w:val="16"/>
                  <w:color w:val="0000EE"/>
                  <w:w w:val="93"/>
                </w:rPr>
                <w:t>Merger Agreement, dated as of February 1, 2022, among the Registrant, LS Holdings Corp., Lab Society NewCo, LLC, Michael S. Maibach Jr. as Owner</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9"/>
        </w:trPr>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140" w:type="dxa"/>
            <w:vAlign w:val="bottom"/>
            <w:gridSpan w:val="15"/>
            <w:shd w:val="clear" w:color="auto" w:fill="CCEEFF"/>
          </w:tcPr>
          <w:p>
            <w:pPr>
              <w:ind w:left="20"/>
              <w:spacing w:after="0" w:line="169" w:lineRule="exact"/>
              <w:rPr>
                <w:rFonts w:ascii="Arial" w:cs="Arial" w:eastAsia="Arial" w:hAnsi="Arial"/>
                <w:sz w:val="16"/>
                <w:szCs w:val="16"/>
                <w:color w:val="0000EE"/>
                <w:w w:val="90"/>
              </w:rPr>
            </w:pPr>
            <w:hyperlink r:id="rId125">
              <w:r>
                <w:rPr>
                  <w:rFonts w:ascii="Arial" w:cs="Arial" w:eastAsia="Arial" w:hAnsi="Arial"/>
                  <w:sz w:val="16"/>
                  <w:szCs w:val="16"/>
                  <w:color w:val="0000EE"/>
                  <w:w w:val="90"/>
                </w:rPr>
                <w:t>Representative, and each of the Owners named therein (incorporated by reference to Exhibit 2.1 to the Registrant’s Current Report on Form 8-K filed with the</w:t>
              </w:r>
            </w:hyperlink>
          </w:p>
        </w:tc>
      </w:tr>
      <w:tr>
        <w:trPr>
          <w:trHeight w:val="169"/>
        </w:trPr>
        <w:tc>
          <w:tcPr>
            <w:tcW w:w="10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980" w:type="dxa"/>
            <w:vAlign w:val="bottom"/>
            <w:tcBorders>
              <w:top w:val="single" w:sz="8" w:color="0000EE"/>
            </w:tcBorders>
            <w:gridSpan w:val="13"/>
            <w:shd w:val="clear" w:color="auto" w:fill="CCEEFF"/>
          </w:tcPr>
          <w:p>
            <w:pPr>
              <w:ind w:left="20"/>
              <w:spacing w:after="0" w:line="169" w:lineRule="exact"/>
              <w:rPr>
                <w:rFonts w:ascii="Arial" w:cs="Arial" w:eastAsia="Arial" w:hAnsi="Arial"/>
                <w:sz w:val="16"/>
                <w:szCs w:val="16"/>
                <w:color w:val="0000EE"/>
              </w:rPr>
            </w:pPr>
            <w:hyperlink r:id="rId125">
              <w:r>
                <w:rPr>
                  <w:rFonts w:ascii="Arial" w:cs="Arial" w:eastAsia="Arial" w:hAnsi="Arial"/>
                  <w:sz w:val="16"/>
                  <w:szCs w:val="16"/>
                  <w:color w:val="0000EE"/>
                </w:rPr>
                <w:t>Securities and Exchange Commission on February 2, 2022).</w:t>
              </w:r>
            </w:hyperlink>
          </w:p>
        </w:tc>
        <w:tc>
          <w:tcPr>
            <w:tcW w:w="160" w:type="dxa"/>
            <w:vAlign w:val="bottom"/>
            <w:tcBorders>
              <w:top w:val="single" w:sz="8" w:color="CCEEFF"/>
            </w:tcBorders>
            <w:gridSpan w:val="2"/>
            <w:shd w:val="clear" w:color="auto" w:fill="CCEEFF"/>
          </w:tcPr>
          <w:p>
            <w:pPr>
              <w:spacing w:after="0"/>
              <w:rPr>
                <w:sz w:val="14"/>
                <w:szCs w:val="14"/>
                <w:color w:val="auto"/>
              </w:rPr>
            </w:pPr>
          </w:p>
        </w:tc>
      </w:tr>
      <w:tr>
        <w:trPr>
          <w:trHeight w:val="35"/>
        </w:trPr>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40" w:type="dxa"/>
            <w:vAlign w:val="bottom"/>
            <w:shd w:val="clear" w:color="auto" w:fill="0000EE"/>
          </w:tcPr>
          <w:p>
            <w:pPr>
              <w:spacing w:after="0"/>
              <w:rPr>
                <w:sz w:val="3"/>
                <w:szCs w:val="3"/>
                <w:color w:val="auto"/>
              </w:rPr>
            </w:pPr>
          </w:p>
        </w:tc>
        <w:tc>
          <w:tcPr>
            <w:tcW w:w="9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54"/>
        </w:trPr>
        <w:tc>
          <w:tcPr>
            <w:tcW w:w="1020" w:type="dxa"/>
            <w:vAlign w:val="bottom"/>
          </w:tcPr>
          <w:p>
            <w:pPr>
              <w:spacing w:after="0" w:line="154" w:lineRule="exact"/>
              <w:rPr>
                <w:sz w:val="20"/>
                <w:szCs w:val="20"/>
                <w:color w:val="auto"/>
              </w:rPr>
            </w:pPr>
            <w:r>
              <w:rPr>
                <w:rFonts w:ascii="Arial" w:cs="Arial" w:eastAsia="Arial" w:hAnsi="Arial"/>
                <w:sz w:val="16"/>
                <w:szCs w:val="16"/>
                <w:color w:val="auto"/>
              </w:rPr>
              <w:t>4.1</w:t>
            </w:r>
          </w:p>
        </w:tc>
        <w:tc>
          <w:tcPr>
            <w:tcW w:w="100" w:type="dxa"/>
            <w:vAlign w:val="bottom"/>
          </w:tcPr>
          <w:p>
            <w:pPr>
              <w:spacing w:after="0"/>
              <w:rPr>
                <w:sz w:val="13"/>
                <w:szCs w:val="13"/>
                <w:color w:val="auto"/>
              </w:rPr>
            </w:pPr>
          </w:p>
        </w:tc>
        <w:tc>
          <w:tcPr>
            <w:tcW w:w="9900" w:type="dxa"/>
            <w:vAlign w:val="bottom"/>
            <w:tcBorders>
              <w:bottom w:val="single" w:sz="8" w:color="0000EE"/>
            </w:tcBorders>
            <w:gridSpan w:val="12"/>
          </w:tcPr>
          <w:p>
            <w:pPr>
              <w:ind w:left="20"/>
              <w:spacing w:after="0" w:line="154" w:lineRule="exact"/>
              <w:rPr>
                <w:rFonts w:ascii="Arial" w:cs="Arial" w:eastAsia="Arial" w:hAnsi="Arial"/>
                <w:sz w:val="16"/>
                <w:szCs w:val="16"/>
                <w:color w:val="0000EE"/>
                <w:w w:val="89"/>
              </w:rPr>
            </w:pPr>
            <w:hyperlink r:id="rId126">
              <w:r>
                <w:rPr>
                  <w:rFonts w:ascii="Arial" w:cs="Arial" w:eastAsia="Arial" w:hAnsi="Arial"/>
                  <w:sz w:val="16"/>
                  <w:szCs w:val="16"/>
                  <w:color w:val="0000EE"/>
                  <w:w w:val="89"/>
                </w:rPr>
                <w:t>Form of Pre-Funded Warrant dated January 28, 2022 (incorporated by reference to Exhibit 4.1 to the Registrant’s Current Report on Form 8-K filed with the</w:t>
              </w:r>
            </w:hyperlink>
          </w:p>
        </w:tc>
        <w:tc>
          <w:tcPr>
            <w:tcW w:w="240" w:type="dxa"/>
            <w:vAlign w:val="bottom"/>
            <w:gridSpan w:val="3"/>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40" w:type="dxa"/>
            <w:vAlign w:val="bottom"/>
            <w:gridSpan w:val="15"/>
          </w:tcPr>
          <w:p>
            <w:pPr>
              <w:ind w:left="20"/>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Securities and Exchange Commission on January 26, 2022).</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10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14"/>
                <w:szCs w:val="14"/>
                <w:color w:val="auto"/>
              </w:rPr>
            </w:pPr>
          </w:p>
        </w:tc>
        <w:tc>
          <w:tcPr>
            <w:tcW w:w="9860" w:type="dxa"/>
            <w:vAlign w:val="bottom"/>
            <w:tcBorders>
              <w:bottom w:val="single" w:sz="8" w:color="0000EE"/>
            </w:tcBorders>
            <w:gridSpan w:val="10"/>
            <w:shd w:val="clear" w:color="auto" w:fill="CCEEFF"/>
          </w:tcPr>
          <w:p>
            <w:pPr>
              <w:ind w:left="20"/>
              <w:spacing w:after="0" w:line="169" w:lineRule="exact"/>
              <w:rPr>
                <w:rFonts w:ascii="Arial" w:cs="Arial" w:eastAsia="Arial" w:hAnsi="Arial"/>
                <w:sz w:val="16"/>
                <w:szCs w:val="16"/>
                <w:color w:val="0000EE"/>
                <w:w w:val="89"/>
              </w:rPr>
            </w:pPr>
            <w:hyperlink r:id="rId127">
              <w:r>
                <w:rPr>
                  <w:rFonts w:ascii="Arial" w:cs="Arial" w:eastAsia="Arial" w:hAnsi="Arial"/>
                  <w:sz w:val="16"/>
                  <w:szCs w:val="16"/>
                  <w:color w:val="0000EE"/>
                  <w:w w:val="89"/>
                </w:rPr>
                <w:t>Form of Common Stock Purchase Warrant dated January 28, 2022 (incorporated by reference to Exhibit 4.2 to the Registrant’s Current Report on Form 8-K</w:t>
              </w:r>
            </w:hyperlink>
          </w:p>
        </w:tc>
        <w:tc>
          <w:tcPr>
            <w:tcW w:w="280" w:type="dxa"/>
            <w:vAlign w:val="bottom"/>
            <w:tcBorders>
              <w:bottom w:val="single" w:sz="8" w:color="CCEEFF"/>
            </w:tcBorders>
            <w:gridSpan w:val="5"/>
            <w:shd w:val="clear" w:color="auto" w:fill="CCEEFF"/>
          </w:tcPr>
          <w:p>
            <w:pPr>
              <w:spacing w:after="0"/>
              <w:rPr>
                <w:sz w:val="14"/>
                <w:szCs w:val="14"/>
                <w:color w:val="auto"/>
              </w:rPr>
            </w:pPr>
          </w:p>
        </w:tc>
      </w:tr>
      <w:tr>
        <w:trPr>
          <w:trHeight w:val="169"/>
        </w:trPr>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140" w:type="dxa"/>
            <w:vAlign w:val="bottom"/>
            <w:gridSpan w:val="15"/>
            <w:shd w:val="clear" w:color="auto" w:fill="CCEEFF"/>
          </w:tcPr>
          <w:p>
            <w:pPr>
              <w:ind w:left="20"/>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filed with the Securities and Exchange Commission on January 26, 2022).</w:t>
              </w:r>
            </w:hyperlink>
          </w:p>
        </w:tc>
      </w:tr>
      <w:tr>
        <w:trPr>
          <w:trHeight w:val="35"/>
        </w:trPr>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40" w:type="dxa"/>
            <w:vAlign w:val="bottom"/>
            <w:shd w:val="clear" w:color="auto" w:fill="0000EE"/>
          </w:tcPr>
          <w:p>
            <w:pPr>
              <w:spacing w:after="0"/>
              <w:rPr>
                <w:sz w:val="3"/>
                <w:szCs w:val="3"/>
                <w:color w:val="auto"/>
              </w:rPr>
            </w:pPr>
          </w:p>
        </w:tc>
        <w:tc>
          <w:tcPr>
            <w:tcW w:w="9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54"/>
        </w:trPr>
        <w:tc>
          <w:tcPr>
            <w:tcW w:w="1020" w:type="dxa"/>
            <w:vAlign w:val="bottom"/>
          </w:tcPr>
          <w:p>
            <w:pPr>
              <w:spacing w:after="0" w:line="154" w:lineRule="exact"/>
              <w:rPr>
                <w:sz w:val="20"/>
                <w:szCs w:val="20"/>
                <w:color w:val="auto"/>
              </w:rPr>
            </w:pPr>
            <w:r>
              <w:rPr>
                <w:rFonts w:ascii="Arial" w:cs="Arial" w:eastAsia="Arial" w:hAnsi="Arial"/>
                <w:sz w:val="16"/>
                <w:szCs w:val="16"/>
                <w:color w:val="auto"/>
              </w:rPr>
              <w:t>4.3</w:t>
            </w:r>
          </w:p>
        </w:tc>
        <w:tc>
          <w:tcPr>
            <w:tcW w:w="100" w:type="dxa"/>
            <w:vAlign w:val="bottom"/>
          </w:tcPr>
          <w:p>
            <w:pPr>
              <w:spacing w:after="0"/>
              <w:rPr>
                <w:sz w:val="13"/>
                <w:szCs w:val="13"/>
                <w:color w:val="auto"/>
              </w:rPr>
            </w:pPr>
          </w:p>
        </w:tc>
        <w:tc>
          <w:tcPr>
            <w:tcW w:w="9900" w:type="dxa"/>
            <w:vAlign w:val="bottom"/>
            <w:tcBorders>
              <w:bottom w:val="single" w:sz="8" w:color="0000EE"/>
            </w:tcBorders>
            <w:gridSpan w:val="12"/>
          </w:tcPr>
          <w:p>
            <w:pPr>
              <w:ind w:left="20"/>
              <w:spacing w:after="0" w:line="154" w:lineRule="exact"/>
              <w:rPr>
                <w:rFonts w:ascii="Arial" w:cs="Arial" w:eastAsia="Arial" w:hAnsi="Arial"/>
                <w:sz w:val="16"/>
                <w:szCs w:val="16"/>
                <w:color w:val="0000EE"/>
                <w:w w:val="89"/>
              </w:rPr>
            </w:pPr>
            <w:hyperlink r:id="rId128">
              <w:r>
                <w:rPr>
                  <w:rFonts w:ascii="Arial" w:cs="Arial" w:eastAsia="Arial" w:hAnsi="Arial"/>
                  <w:sz w:val="16"/>
                  <w:szCs w:val="16"/>
                  <w:color w:val="0000EE"/>
                  <w:w w:val="89"/>
                </w:rPr>
                <w:t>Form of Common Stock Purchase Warrant (incorporated by reference to Exhibit 4.1 to the Registrant’s Current Report on Form 8-K filed with the Securities</w:t>
              </w:r>
            </w:hyperlink>
          </w:p>
        </w:tc>
        <w:tc>
          <w:tcPr>
            <w:tcW w:w="240" w:type="dxa"/>
            <w:vAlign w:val="bottom"/>
            <w:gridSpan w:val="3"/>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40" w:type="dxa"/>
            <w:vAlign w:val="bottom"/>
            <w:gridSpan w:val="15"/>
          </w:tcPr>
          <w:p>
            <w:pPr>
              <w:ind w:left="20"/>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and Exchange Commission on March 18, 2022).</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10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4"/>
                <w:szCs w:val="14"/>
                <w:color w:val="auto"/>
              </w:rPr>
            </w:pPr>
          </w:p>
        </w:tc>
        <w:tc>
          <w:tcPr>
            <w:tcW w:w="10140" w:type="dxa"/>
            <w:vAlign w:val="bottom"/>
            <w:gridSpan w:val="15"/>
            <w:shd w:val="clear" w:color="auto" w:fill="CCEEFF"/>
          </w:tcPr>
          <w:p>
            <w:pPr>
              <w:ind w:left="20"/>
              <w:spacing w:after="0" w:line="169" w:lineRule="exact"/>
              <w:rPr>
                <w:rFonts w:ascii="Arial" w:cs="Arial" w:eastAsia="Arial" w:hAnsi="Arial"/>
                <w:sz w:val="16"/>
                <w:szCs w:val="16"/>
                <w:color w:val="0000EE"/>
                <w:w w:val="91"/>
              </w:rPr>
            </w:pPr>
            <w:hyperlink r:id="rId129">
              <w:r>
                <w:rPr>
                  <w:rFonts w:ascii="Arial" w:cs="Arial" w:eastAsia="Arial" w:hAnsi="Arial"/>
                  <w:sz w:val="16"/>
                  <w:szCs w:val="16"/>
                  <w:color w:val="0000EE"/>
                  <w:w w:val="91"/>
                </w:rPr>
                <w:t>Form of Senior Secured Note (incorporated by reference to Exhibit 4.2 to the Registrant’s Current Report on Form 8-K filed with the Securities and Exchange</w:t>
              </w:r>
            </w:hyperlink>
          </w:p>
        </w:tc>
      </w:tr>
      <w:tr>
        <w:trPr>
          <w:trHeight w:val="185"/>
        </w:trPr>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140" w:type="dxa"/>
            <w:vAlign w:val="bottom"/>
            <w:tcBorders>
              <w:top w:val="single" w:sz="8" w:color="0000EE"/>
              <w:bottom w:val="single" w:sz="8" w:color="0000EE"/>
            </w:tcBorders>
            <w:shd w:val="clear" w:color="auto" w:fill="CCEEFF"/>
          </w:tcPr>
          <w:p>
            <w:pPr>
              <w:ind w:left="20"/>
              <w:spacing w:after="0" w:line="169" w:lineRule="exact"/>
              <w:rPr>
                <w:rFonts w:ascii="Arial" w:cs="Arial" w:eastAsia="Arial" w:hAnsi="Arial"/>
                <w:sz w:val="16"/>
                <w:szCs w:val="16"/>
                <w:color w:val="0000EE"/>
                <w:w w:val="89"/>
              </w:rPr>
            </w:pPr>
            <w:hyperlink r:id="rId129">
              <w:r>
                <w:rPr>
                  <w:rFonts w:ascii="Arial" w:cs="Arial" w:eastAsia="Arial" w:hAnsi="Arial"/>
                  <w:sz w:val="16"/>
                  <w:szCs w:val="16"/>
                  <w:color w:val="0000EE"/>
                  <w:w w:val="89"/>
                </w:rPr>
                <w:t>Commission on March 18, 2022).</w:t>
              </w:r>
            </w:hyperlink>
          </w:p>
        </w:tc>
        <w:tc>
          <w:tcPr>
            <w:tcW w:w="7840" w:type="dxa"/>
            <w:vAlign w:val="bottom"/>
            <w:tcBorders>
              <w:top w:val="single" w:sz="8" w:color="0000EE"/>
              <w:bottom w:val="single" w:sz="8" w:color="CCEEFF"/>
            </w:tcBorders>
            <w:gridSpan w:val="12"/>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54"/>
        </w:trPr>
        <w:tc>
          <w:tcPr>
            <w:tcW w:w="1120" w:type="dxa"/>
            <w:vAlign w:val="bottom"/>
            <w:gridSpan w:val="2"/>
          </w:tcPr>
          <w:p>
            <w:pPr>
              <w:spacing w:after="0" w:line="154" w:lineRule="exact"/>
              <w:rPr>
                <w:sz w:val="20"/>
                <w:szCs w:val="20"/>
                <w:color w:val="auto"/>
              </w:rPr>
            </w:pPr>
            <w:r>
              <w:rPr>
                <w:rFonts w:ascii="Arial" w:cs="Arial" w:eastAsia="Arial" w:hAnsi="Arial"/>
                <w:sz w:val="16"/>
                <w:szCs w:val="16"/>
                <w:color w:val="auto"/>
              </w:rPr>
              <w:t>10.1†</w:t>
            </w:r>
          </w:p>
        </w:tc>
        <w:tc>
          <w:tcPr>
            <w:tcW w:w="9880" w:type="dxa"/>
            <w:vAlign w:val="bottom"/>
            <w:tcBorders>
              <w:bottom w:val="single" w:sz="8" w:color="0000EE"/>
            </w:tcBorders>
            <w:gridSpan w:val="11"/>
          </w:tcPr>
          <w:p>
            <w:pPr>
              <w:ind w:left="20"/>
              <w:spacing w:after="0" w:line="154" w:lineRule="exact"/>
              <w:rPr>
                <w:rFonts w:ascii="Arial" w:cs="Arial" w:eastAsia="Arial" w:hAnsi="Arial"/>
                <w:sz w:val="16"/>
                <w:szCs w:val="16"/>
                <w:color w:val="0000EE"/>
                <w:w w:val="87"/>
              </w:rPr>
            </w:pPr>
            <w:hyperlink r:id="rId130">
              <w:r>
                <w:rPr>
                  <w:rFonts w:ascii="Arial" w:cs="Arial" w:eastAsia="Arial" w:hAnsi="Arial"/>
                  <w:sz w:val="16"/>
                  <w:szCs w:val="16"/>
                  <w:color w:val="0000EE"/>
                  <w:w w:val="87"/>
                </w:rPr>
                <w:t>Form of Securities Purchase Agreement, dated as of January 25, 2022, between the Registrant and the Purchasers party thereto (incorporated by reference to</w:t>
              </w:r>
            </w:hyperlink>
          </w:p>
        </w:tc>
        <w:tc>
          <w:tcPr>
            <w:tcW w:w="260" w:type="dxa"/>
            <w:vAlign w:val="bottom"/>
            <w:gridSpan w:val="4"/>
          </w:tcPr>
          <w:p>
            <w:pPr>
              <w:spacing w:after="0"/>
              <w:rPr>
                <w:sz w:val="13"/>
                <w:szCs w:val="13"/>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40" w:type="dxa"/>
            <w:vAlign w:val="bottom"/>
            <w:gridSpan w:val="15"/>
          </w:tcPr>
          <w:p>
            <w:pPr>
              <w:ind w:left="20"/>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Exhibit 10.1 to the Registrant’s Current Report on Form 8-K filed with the Securities and Exchange Commission on January 26, 2022.</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10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4"/>
                <w:szCs w:val="14"/>
                <w:color w:val="auto"/>
              </w:rPr>
            </w:pPr>
          </w:p>
        </w:tc>
        <w:tc>
          <w:tcPr>
            <w:tcW w:w="10140" w:type="dxa"/>
            <w:vAlign w:val="bottom"/>
            <w:gridSpan w:val="15"/>
            <w:shd w:val="clear" w:color="auto" w:fill="CCEEFF"/>
          </w:tcPr>
          <w:p>
            <w:pPr>
              <w:ind w:left="20"/>
              <w:spacing w:after="0" w:line="169" w:lineRule="exact"/>
              <w:rPr>
                <w:rFonts w:ascii="Arial" w:cs="Arial" w:eastAsia="Arial" w:hAnsi="Arial"/>
                <w:sz w:val="16"/>
                <w:szCs w:val="16"/>
                <w:color w:val="0000EE"/>
                <w:w w:val="90"/>
              </w:rPr>
            </w:pPr>
            <w:hyperlink r:id="rId131">
              <w:r>
                <w:rPr>
                  <w:rFonts w:ascii="Arial" w:cs="Arial" w:eastAsia="Arial" w:hAnsi="Arial"/>
                  <w:sz w:val="16"/>
                  <w:szCs w:val="16"/>
                  <w:color w:val="0000EE"/>
                  <w:w w:val="90"/>
                </w:rPr>
                <w:t>Form of Registration Rights Agreement, dated as of January 25, 2022, between the Registrant and the Purchasers party thereto (incorporated by reference to</w:t>
              </w:r>
            </w:hyperlink>
          </w:p>
        </w:tc>
      </w:tr>
      <w:tr>
        <w:trPr>
          <w:trHeight w:val="169"/>
        </w:trPr>
        <w:tc>
          <w:tcPr>
            <w:tcW w:w="10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EE"/>
            </w:tcBorders>
            <w:gridSpan w:val="10"/>
            <w:shd w:val="clear" w:color="auto" w:fill="CCEEFF"/>
          </w:tcPr>
          <w:p>
            <w:pPr>
              <w:ind w:left="20"/>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Exhibit 10.2 to the Registrant’s Current Report on Form 8-K filed with the Securities and Exchange Commission on January 26, 2022.</w:t>
              </w:r>
            </w:hyperlink>
          </w:p>
        </w:tc>
        <w:tc>
          <w:tcPr>
            <w:tcW w:w="280" w:type="dxa"/>
            <w:vAlign w:val="bottom"/>
            <w:tcBorders>
              <w:top w:val="single" w:sz="8" w:color="CCEEFF"/>
            </w:tcBorders>
            <w:gridSpan w:val="5"/>
            <w:shd w:val="clear" w:color="auto" w:fill="CCEEFF"/>
          </w:tcPr>
          <w:p>
            <w:pPr>
              <w:spacing w:after="0"/>
              <w:rPr>
                <w:sz w:val="14"/>
                <w:szCs w:val="14"/>
                <w:color w:val="auto"/>
              </w:rPr>
            </w:pPr>
          </w:p>
        </w:tc>
      </w:tr>
      <w:tr>
        <w:trPr>
          <w:trHeight w:val="35"/>
        </w:trPr>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40" w:type="dxa"/>
            <w:vAlign w:val="bottom"/>
            <w:shd w:val="clear" w:color="auto" w:fill="0000EE"/>
          </w:tcPr>
          <w:p>
            <w:pPr>
              <w:spacing w:after="0"/>
              <w:rPr>
                <w:sz w:val="3"/>
                <w:szCs w:val="3"/>
                <w:color w:val="auto"/>
              </w:rPr>
            </w:pPr>
          </w:p>
        </w:tc>
        <w:tc>
          <w:tcPr>
            <w:tcW w:w="92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880" w:type="dxa"/>
            <w:vAlign w:val="bottom"/>
            <w:shd w:val="clear" w:color="auto" w:fill="0000EE"/>
          </w:tcPr>
          <w:p>
            <w:pPr>
              <w:spacing w:after="0"/>
              <w:rPr>
                <w:sz w:val="3"/>
                <w:szCs w:val="3"/>
                <w:color w:val="auto"/>
              </w:rPr>
            </w:pPr>
          </w:p>
        </w:tc>
        <w:tc>
          <w:tcPr>
            <w:tcW w:w="1780" w:type="dxa"/>
            <w:vAlign w:val="bottom"/>
            <w:shd w:val="clear" w:color="auto" w:fill="0000EE"/>
          </w:tcPr>
          <w:p>
            <w:pPr>
              <w:spacing w:after="0"/>
              <w:rPr>
                <w:sz w:val="3"/>
                <w:szCs w:val="3"/>
                <w:color w:val="auto"/>
              </w:rPr>
            </w:pPr>
          </w:p>
        </w:tc>
        <w:tc>
          <w:tcPr>
            <w:tcW w:w="1000" w:type="dxa"/>
            <w:vAlign w:val="bottom"/>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54"/>
        </w:trPr>
        <w:tc>
          <w:tcPr>
            <w:tcW w:w="1120" w:type="dxa"/>
            <w:vAlign w:val="bottom"/>
            <w:gridSpan w:val="2"/>
          </w:tcPr>
          <w:p>
            <w:pPr>
              <w:spacing w:after="0" w:line="154" w:lineRule="exact"/>
              <w:rPr>
                <w:sz w:val="20"/>
                <w:szCs w:val="20"/>
                <w:color w:val="auto"/>
              </w:rPr>
            </w:pPr>
            <w:r>
              <w:rPr>
                <w:rFonts w:ascii="Arial" w:cs="Arial" w:eastAsia="Arial" w:hAnsi="Arial"/>
                <w:sz w:val="16"/>
                <w:szCs w:val="16"/>
                <w:color w:val="auto"/>
              </w:rPr>
              <w:t>10.3†</w:t>
            </w:r>
          </w:p>
        </w:tc>
        <w:tc>
          <w:tcPr>
            <w:tcW w:w="10140" w:type="dxa"/>
            <w:vAlign w:val="bottom"/>
            <w:gridSpan w:val="15"/>
          </w:tcPr>
          <w:p>
            <w:pPr>
              <w:ind w:left="20"/>
              <w:spacing w:after="0" w:line="154" w:lineRule="exact"/>
              <w:rPr>
                <w:rFonts w:ascii="Arial" w:cs="Arial" w:eastAsia="Arial" w:hAnsi="Arial"/>
                <w:sz w:val="16"/>
                <w:szCs w:val="16"/>
                <w:color w:val="0000EE"/>
                <w:w w:val="89"/>
              </w:rPr>
            </w:pPr>
            <w:hyperlink r:id="rId132">
              <w:r>
                <w:rPr>
                  <w:rFonts w:ascii="Arial" w:cs="Arial" w:eastAsia="Arial" w:hAnsi="Arial"/>
                  <w:sz w:val="16"/>
                  <w:szCs w:val="16"/>
                  <w:color w:val="0000EE"/>
                  <w:w w:val="89"/>
                </w:rPr>
                <w:t>Form of Securities Purchase Agreement, dated as of March 14, 2022, between the Registrant and High Trail Special Situations LLC (incorporated by reference</w:t>
              </w:r>
            </w:hyperlink>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40" w:type="dxa"/>
            <w:vAlign w:val="bottom"/>
            <w:tcBorders>
              <w:top w:val="single" w:sz="8" w:color="0000EE"/>
            </w:tcBorders>
            <w:gridSpan w:val="14"/>
          </w:tcPr>
          <w:p>
            <w:pPr>
              <w:ind w:left="20"/>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to Exhibit 10.1 to the Registrant’s Current Report on Form 8-K filed with the Securities and Exchange Commission on March 18, 2022).</w:t>
              </w:r>
            </w:hyperlink>
          </w:p>
        </w:tc>
        <w:tc>
          <w:tcPr>
            <w:tcW w:w="100" w:type="dxa"/>
            <w:vAlign w:val="bottom"/>
          </w:tcPr>
          <w:p>
            <w:pPr>
              <w:spacing w:after="0"/>
              <w:rPr>
                <w:sz w:val="14"/>
                <w:szCs w:val="14"/>
                <w:color w:val="auto"/>
              </w:rPr>
            </w:pPr>
          </w:p>
        </w:tc>
      </w:tr>
      <w:tr>
        <w:trPr>
          <w:trHeight w:val="185"/>
        </w:trPr>
        <w:tc>
          <w:tcPr>
            <w:tcW w:w="10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16"/>
                <w:szCs w:val="16"/>
                <w:color w:val="auto"/>
              </w:rPr>
            </w:pPr>
          </w:p>
        </w:tc>
        <w:tc>
          <w:tcPr>
            <w:tcW w:w="7460" w:type="dxa"/>
            <w:vAlign w:val="bottom"/>
            <w:tcBorders>
              <w:top w:val="single" w:sz="8" w:color="0000EE"/>
              <w:bottom w:val="single" w:sz="8" w:color="0000EE"/>
            </w:tcBorders>
            <w:gridSpan w:val="6"/>
            <w:shd w:val="clear" w:color="auto" w:fill="CCEEFF"/>
          </w:tcPr>
          <w:p>
            <w:pPr>
              <w:ind w:left="20"/>
              <w:spacing w:after="0" w:line="169" w:lineRule="exact"/>
              <w:rPr>
                <w:sz w:val="20"/>
                <w:szCs w:val="20"/>
                <w:color w:val="auto"/>
              </w:rPr>
            </w:pPr>
            <w:r>
              <w:rPr>
                <w:rFonts w:ascii="Arial" w:cs="Arial" w:eastAsia="Arial" w:hAnsi="Arial"/>
                <w:sz w:val="16"/>
                <w:szCs w:val="16"/>
                <w:color w:val="0000EE"/>
                <w:w w:val="91"/>
              </w:rPr>
              <w:t>Rule 13(a)-14(a)/15(d)-14(a) Certification of principal executive officer and principal financial and accounting officer</w:t>
            </w:r>
          </w:p>
        </w:tc>
        <w:tc>
          <w:tcPr>
            <w:tcW w:w="1160" w:type="dxa"/>
            <w:vAlign w:val="bottom"/>
            <w:tcBorders>
              <w:top w:val="single" w:sz="8" w:color="0000EE"/>
              <w:bottom w:val="single" w:sz="8" w:color="CCEEFF"/>
            </w:tcBorders>
            <w:gridSpan w:val="2"/>
            <w:shd w:val="clear" w:color="auto" w:fill="CCEEFF"/>
          </w:tcPr>
          <w:p>
            <w:pPr>
              <w:spacing w:after="0"/>
              <w:rPr>
                <w:sz w:val="16"/>
                <w:szCs w:val="16"/>
                <w:color w:val="auto"/>
              </w:rPr>
            </w:pPr>
          </w:p>
        </w:tc>
        <w:tc>
          <w:tcPr>
            <w:tcW w:w="1520" w:type="dxa"/>
            <w:vAlign w:val="bottom"/>
            <w:tcBorders>
              <w:bottom w:val="single" w:sz="8" w:color="CCEEFF"/>
            </w:tcBorders>
            <w:gridSpan w:val="7"/>
            <w:shd w:val="clear" w:color="auto" w:fill="CCEEFF"/>
          </w:tcPr>
          <w:p>
            <w:pPr>
              <w:spacing w:after="0"/>
              <w:rPr>
                <w:sz w:val="16"/>
                <w:szCs w:val="16"/>
                <w:color w:val="auto"/>
              </w:rPr>
            </w:pPr>
          </w:p>
        </w:tc>
      </w:tr>
      <w:tr>
        <w:trPr>
          <w:trHeight w:val="154"/>
        </w:trPr>
        <w:tc>
          <w:tcPr>
            <w:tcW w:w="1020" w:type="dxa"/>
            <w:vAlign w:val="bottom"/>
          </w:tcPr>
          <w:p>
            <w:pPr>
              <w:spacing w:after="0" w:line="154" w:lineRule="exact"/>
              <w:rPr>
                <w:sz w:val="20"/>
                <w:szCs w:val="20"/>
                <w:color w:val="auto"/>
              </w:rPr>
            </w:pPr>
            <w:r>
              <w:rPr>
                <w:rFonts w:ascii="Arial" w:cs="Arial" w:eastAsia="Arial" w:hAnsi="Arial"/>
                <w:sz w:val="16"/>
                <w:szCs w:val="16"/>
                <w:color w:val="auto"/>
              </w:rPr>
              <w:t>32.1**</w:t>
            </w:r>
          </w:p>
        </w:tc>
        <w:tc>
          <w:tcPr>
            <w:tcW w:w="100" w:type="dxa"/>
            <w:vAlign w:val="bottom"/>
          </w:tcPr>
          <w:p>
            <w:pPr>
              <w:spacing w:after="0"/>
              <w:rPr>
                <w:sz w:val="13"/>
                <w:szCs w:val="13"/>
                <w:color w:val="auto"/>
              </w:rPr>
            </w:pPr>
          </w:p>
        </w:tc>
        <w:tc>
          <w:tcPr>
            <w:tcW w:w="6460" w:type="dxa"/>
            <w:vAlign w:val="bottom"/>
            <w:tcBorders>
              <w:bottom w:val="single" w:sz="8" w:color="0000EE"/>
            </w:tcBorders>
            <w:gridSpan w:val="5"/>
          </w:tcPr>
          <w:p>
            <w:pPr>
              <w:ind w:left="20"/>
              <w:spacing w:after="0" w:line="154" w:lineRule="exact"/>
              <w:rPr>
                <w:sz w:val="20"/>
                <w:szCs w:val="20"/>
                <w:color w:val="auto"/>
              </w:rPr>
            </w:pPr>
            <w:r>
              <w:rPr>
                <w:rFonts w:ascii="Arial" w:cs="Arial" w:eastAsia="Arial" w:hAnsi="Arial"/>
                <w:sz w:val="16"/>
                <w:szCs w:val="16"/>
                <w:color w:val="0000EE"/>
                <w:w w:val="91"/>
              </w:rPr>
              <w:t>Section 1350 Certification of principal executive officer and principal financial and accounting officer</w:t>
            </w:r>
          </w:p>
        </w:tc>
        <w:tc>
          <w:tcPr>
            <w:tcW w:w="3680" w:type="dxa"/>
            <w:vAlign w:val="bottom"/>
            <w:gridSpan w:val="10"/>
          </w:tcPr>
          <w:p>
            <w:pPr>
              <w:spacing w:after="0"/>
              <w:rPr>
                <w:sz w:val="13"/>
                <w:szCs w:val="13"/>
                <w:color w:val="auto"/>
              </w:rPr>
            </w:pPr>
          </w:p>
        </w:tc>
      </w:tr>
      <w:tr>
        <w:trPr>
          <w:trHeight w:val="205"/>
        </w:trPr>
        <w:tc>
          <w:tcPr>
            <w:tcW w:w="1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101.INS</w:t>
            </w:r>
          </w:p>
        </w:tc>
        <w:tc>
          <w:tcPr>
            <w:tcW w:w="1014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rPr>
              <w:t>Inline XBRL Instance Document</w:t>
            </w:r>
          </w:p>
        </w:tc>
      </w:tr>
      <w:tr>
        <w:trPr>
          <w:trHeight w:val="189"/>
        </w:trPr>
        <w:tc>
          <w:tcPr>
            <w:tcW w:w="112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0140" w:type="dxa"/>
            <w:vAlign w:val="bottom"/>
            <w:gridSpan w:val="15"/>
          </w:tcPr>
          <w:p>
            <w:pPr>
              <w:ind w:left="20"/>
              <w:spacing w:after="0"/>
              <w:rPr>
                <w:sz w:val="20"/>
                <w:szCs w:val="20"/>
                <w:color w:val="auto"/>
              </w:rPr>
            </w:pPr>
            <w:r>
              <w:rPr>
                <w:rFonts w:ascii="Arial" w:cs="Arial" w:eastAsia="Arial" w:hAnsi="Arial"/>
                <w:sz w:val="16"/>
                <w:szCs w:val="16"/>
                <w:color w:val="auto"/>
              </w:rPr>
              <w:t>Inline XBRL Taxonomy Extension Schema Document.</w:t>
            </w:r>
          </w:p>
        </w:tc>
      </w:tr>
      <w:tr>
        <w:trPr>
          <w:trHeight w:val="189"/>
        </w:trPr>
        <w:tc>
          <w:tcPr>
            <w:tcW w:w="1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101.CAL</w:t>
            </w:r>
          </w:p>
        </w:tc>
        <w:tc>
          <w:tcPr>
            <w:tcW w:w="1014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189"/>
        </w:trPr>
        <w:tc>
          <w:tcPr>
            <w:tcW w:w="112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0140" w:type="dxa"/>
            <w:vAlign w:val="bottom"/>
            <w:gridSpan w:val="15"/>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189"/>
        </w:trPr>
        <w:tc>
          <w:tcPr>
            <w:tcW w:w="1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101.LAB</w:t>
            </w:r>
          </w:p>
        </w:tc>
        <w:tc>
          <w:tcPr>
            <w:tcW w:w="10140" w:type="dxa"/>
            <w:vAlign w:val="bottom"/>
            <w:gridSpan w:val="15"/>
            <w:shd w:val="clear" w:color="auto" w:fill="CCEEFF"/>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191"/>
        </w:trPr>
        <w:tc>
          <w:tcPr>
            <w:tcW w:w="112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0140" w:type="dxa"/>
            <w:vAlign w:val="bottom"/>
            <w:gridSpan w:val="15"/>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9465"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49465" cy="120015"/>
                    </a:xfrm>
                    <a:prstGeom prst="rect">
                      <a:avLst/>
                    </a:prstGeom>
                    <a:noFill/>
                  </pic:spPr>
                </pic:pic>
              </a:graphicData>
            </a:graphic>
          </wp:anchor>
        </w:drawing>
      </w:r>
    </w:p>
    <w:p>
      <w:pPr>
        <w:ind w:left="505" w:right="4360" w:hanging="505"/>
        <w:spacing w:after="0" w:line="484" w:lineRule="auto"/>
        <w:tabs>
          <w:tab w:leader="none" w:pos="11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 * Filed herewith.</w:t>
      </w:r>
    </w:p>
    <w:p>
      <w:pPr>
        <w:ind w:left="385" w:hanging="279"/>
        <w:spacing w:after="0"/>
        <w:tabs>
          <w:tab w:leader="none" w:pos="385" w:val="left"/>
        </w:tabs>
        <w:numPr>
          <w:ilvl w:val="1"/>
          <w:numId w:val="36"/>
        </w:numPr>
        <w:rPr>
          <w:rFonts w:ascii="Arial" w:cs="Arial" w:eastAsia="Arial" w:hAnsi="Arial"/>
          <w:sz w:val="16"/>
          <w:szCs w:val="16"/>
          <w:color w:val="auto"/>
        </w:rPr>
      </w:pPr>
      <w:r>
        <w:rPr>
          <w:rFonts w:ascii="Arial" w:cs="Arial" w:eastAsia="Arial" w:hAnsi="Arial"/>
          <w:sz w:val="16"/>
          <w:szCs w:val="16"/>
          <w:color w:val="auto"/>
        </w:rPr>
        <w:t>Furnished herewith in accordance with Item 601 (b)(32) of Regulation S-K.</w:t>
      </w:r>
    </w:p>
    <w:p>
      <w:pPr>
        <w:spacing w:after="0" w:line="194" w:lineRule="exact"/>
        <w:rPr>
          <w:sz w:val="20"/>
          <w:szCs w:val="20"/>
          <w:color w:val="auto"/>
        </w:rPr>
      </w:pPr>
    </w:p>
    <w:p>
      <w:pPr>
        <w:ind w:left="5545" w:right="4220" w:hanging="5474"/>
        <w:spacing w:after="0" w:line="761" w:lineRule="auto"/>
        <w:tabs>
          <w:tab w:leader="none" w:pos="3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Certain information has been omitted from this exhibit in reliance upon Item 601(a)(5) of Regulation S-K.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4946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785" w:right="319" w:bottom="1440" w:gutter="0" w:footer="0" w:header="0"/>
        </w:sectPr>
      </w:pPr>
    </w:p>
    <w:bookmarkStart w:id="78" w:name="page79"/>
    <w:bookmarkEnd w:id="78"/>
    <w:p>
      <w:pPr>
        <w:jc w:val="center"/>
        <w:ind w:right="-479"/>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AGRIFY CORPORATION</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  /s/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11430</wp:posOffset>
            </wp:positionV>
            <wp:extent cx="264350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2643505" cy="15240"/>
                    </a:xfrm>
                    <a:prstGeom prst="rect">
                      <a:avLst/>
                    </a:prstGeom>
                    <a:noFill/>
                  </pic:spPr>
                </pic:pic>
              </a:graphicData>
            </a:graphic>
          </wp:anchor>
        </w:drawing>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Raymond Chang</w:t>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(Principal Executive Officer and</w:t>
      </w:r>
    </w:p>
    <w:p>
      <w:pPr>
        <w:spacing w:after="0" w:line="5"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Principal Financial and Accounting Officer)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Date: October 2, 2023</w:t>
      </w:r>
    </w:p>
    <w:p>
      <w:pPr>
        <w:spacing w:after="0" w:line="384"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4946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760"/>
          </w:cols>
          <w:pgMar w:left="320" w:top="785" w:right="81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ind w:right="15"/>
        <w:spacing w:after="0" w:line="260" w:lineRule="auto"/>
        <w:rPr>
          <w:sz w:val="20"/>
          <w:szCs w:val="20"/>
          <w:color w:val="auto"/>
        </w:rPr>
      </w:pPr>
      <w:r>
        <w:rPr>
          <w:rFonts w:ascii="Arial" w:cs="Arial" w:eastAsia="Arial" w:hAnsi="Arial"/>
          <w:sz w:val="16"/>
          <w:szCs w:val="16"/>
          <w:b w:val="1"/>
          <w:bCs w:val="1"/>
          <w:color w:val="auto"/>
        </w:rPr>
        <w:t>CERTIFICATION OF CHIEF EXECUTIVE OFFICER PURSUANT TO RULE 13A-14(A) UNDER THE SECURITIES EXCHANGE ACT OF 1934, AS ADOPTED PURSUANT TO SECTION 302 OF THE SARBANES-OXLEY ACT OF 2002</w:t>
      </w:r>
    </w:p>
    <w:p>
      <w:pPr>
        <w:spacing w:after="0" w:line="163" w:lineRule="exact"/>
        <w:rPr>
          <w:sz w:val="20"/>
          <w:szCs w:val="20"/>
          <w:color w:val="auto"/>
        </w:rPr>
      </w:pPr>
    </w:p>
    <w:p>
      <w:pPr>
        <w:ind w:left="5"/>
        <w:spacing w:after="0"/>
        <w:rPr>
          <w:sz w:val="20"/>
          <w:szCs w:val="20"/>
          <w:color w:val="auto"/>
        </w:rPr>
      </w:pPr>
      <w:r>
        <w:rPr>
          <w:rFonts w:ascii="Arial" w:cs="Arial" w:eastAsia="Arial" w:hAnsi="Arial"/>
          <w:sz w:val="16"/>
          <w:szCs w:val="16"/>
          <w:color w:val="auto"/>
        </w:rPr>
        <w:t>I, Raymond Chang, certify that:</w:t>
      </w:r>
    </w:p>
    <w:p>
      <w:pPr>
        <w:spacing w:after="0" w:line="194" w:lineRule="exact"/>
        <w:rPr>
          <w:sz w:val="20"/>
          <w:szCs w:val="20"/>
          <w:color w:val="auto"/>
        </w:rPr>
      </w:pPr>
    </w:p>
    <w:p>
      <w:pPr>
        <w:ind w:left="285" w:hanging="285"/>
        <w:spacing w:after="0"/>
        <w:tabs>
          <w:tab w:leader="none" w:pos="285" w:val="left"/>
        </w:tabs>
        <w:numPr>
          <w:ilvl w:val="0"/>
          <w:numId w:val="38"/>
        </w:numPr>
        <w:rPr>
          <w:rFonts w:ascii="Arial" w:cs="Arial" w:eastAsia="Arial" w:hAnsi="Arial"/>
          <w:sz w:val="15"/>
          <w:szCs w:val="15"/>
          <w:color w:val="auto"/>
        </w:rPr>
      </w:pPr>
      <w:r>
        <w:rPr>
          <w:rFonts w:ascii="Arial" w:cs="Arial" w:eastAsia="Arial" w:hAnsi="Arial"/>
          <w:sz w:val="15"/>
          <w:szCs w:val="15"/>
          <w:color w:val="auto"/>
        </w:rPr>
        <w:t>I have reviewed this Amendment No. 1 to the Quarterly Report on Form 10-Q of Agrify Corporation (the “Company”) for the quarterly period ended March 31, 2022;</w:t>
      </w:r>
    </w:p>
    <w:p>
      <w:pPr>
        <w:spacing w:after="0" w:line="205" w:lineRule="exact"/>
        <w:rPr>
          <w:rFonts w:ascii="Arial" w:cs="Arial" w:eastAsia="Arial" w:hAnsi="Arial"/>
          <w:sz w:val="15"/>
          <w:szCs w:val="15"/>
          <w:color w:val="auto"/>
        </w:rPr>
      </w:pPr>
    </w:p>
    <w:p>
      <w:pPr>
        <w:ind w:left="285" w:right="80" w:hanging="285"/>
        <w:spacing w:after="0" w:line="302" w:lineRule="auto"/>
        <w:tabs>
          <w:tab w:leader="none" w:pos="285"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5"/>
          <w:szCs w:val="15"/>
          <w:color w:val="auto"/>
        </w:rPr>
      </w:pPr>
    </w:p>
    <w:p>
      <w:pPr>
        <w:ind w:left="285" w:right="60" w:hanging="285"/>
        <w:spacing w:after="0" w:line="268" w:lineRule="auto"/>
        <w:tabs>
          <w:tab w:leader="none" w:pos="2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6"/>
          <w:szCs w:val="16"/>
          <w:color w:val="auto"/>
        </w:rPr>
      </w:pPr>
    </w:p>
    <w:p>
      <w:pPr>
        <w:ind w:left="285" w:right="340" w:hanging="285"/>
        <w:spacing w:after="0" w:line="340" w:lineRule="auto"/>
        <w:tabs>
          <w:tab w:leader="none" w:pos="285"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4"/>
          <w:szCs w:val="14"/>
          <w:color w:val="auto"/>
        </w:rPr>
      </w:pPr>
    </w:p>
    <w:p>
      <w:pPr>
        <w:ind w:left="565" w:right="100" w:hanging="282"/>
        <w:spacing w:after="0" w:line="257" w:lineRule="auto"/>
        <w:tabs>
          <w:tab w:leader="none" w:pos="565"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6"/>
          <w:szCs w:val="16"/>
          <w:color w:val="auto"/>
        </w:rPr>
      </w:pPr>
    </w:p>
    <w:p>
      <w:pPr>
        <w:ind w:left="565" w:right="180" w:hanging="282"/>
        <w:spacing w:after="0" w:line="340" w:lineRule="auto"/>
        <w:tabs>
          <w:tab w:leader="none" w:pos="565" w:val="left"/>
        </w:tabs>
        <w:numPr>
          <w:ilvl w:val="1"/>
          <w:numId w:val="3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4"/>
          <w:szCs w:val="14"/>
          <w:color w:val="auto"/>
        </w:rPr>
      </w:pPr>
    </w:p>
    <w:p>
      <w:pPr>
        <w:ind w:left="565" w:right="260" w:hanging="282"/>
        <w:spacing w:after="0" w:line="268" w:lineRule="auto"/>
        <w:tabs>
          <w:tab w:leader="none" w:pos="565"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6"/>
          <w:szCs w:val="16"/>
          <w:color w:val="auto"/>
        </w:rPr>
      </w:pPr>
    </w:p>
    <w:p>
      <w:pPr>
        <w:ind w:left="565" w:right="240" w:hanging="282"/>
        <w:spacing w:after="0" w:line="257" w:lineRule="auto"/>
        <w:tabs>
          <w:tab w:leader="none" w:pos="565"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5" w:lineRule="exact"/>
        <w:rPr>
          <w:rFonts w:ascii="Arial" w:cs="Arial" w:eastAsia="Arial" w:hAnsi="Arial"/>
          <w:sz w:val="16"/>
          <w:szCs w:val="16"/>
          <w:color w:val="auto"/>
        </w:rPr>
      </w:pPr>
    </w:p>
    <w:p>
      <w:pPr>
        <w:ind w:left="285" w:right="160" w:hanging="285"/>
        <w:spacing w:after="0" w:line="268" w:lineRule="auto"/>
        <w:tabs>
          <w:tab w:leader="none" w:pos="2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6"/>
          <w:szCs w:val="16"/>
          <w:color w:val="auto"/>
        </w:rPr>
      </w:pPr>
    </w:p>
    <w:p>
      <w:pPr>
        <w:ind w:left="565" w:right="60" w:hanging="282"/>
        <w:spacing w:after="0" w:line="268" w:lineRule="auto"/>
        <w:tabs>
          <w:tab w:leader="none" w:pos="565"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6"/>
          <w:szCs w:val="16"/>
          <w:color w:val="auto"/>
        </w:rPr>
      </w:pPr>
    </w:p>
    <w:p>
      <w:pPr>
        <w:ind w:left="565" w:hanging="282"/>
        <w:spacing w:after="0"/>
        <w:tabs>
          <w:tab w:leader="none" w:pos="565" w:val="left"/>
        </w:tabs>
        <w:numPr>
          <w:ilvl w:val="1"/>
          <w:numId w:val="3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4080" w:type="dxa"/>
            <w:vAlign w:val="bottom"/>
          </w:tcPr>
          <w:p>
            <w:pPr>
              <w:spacing w:after="0"/>
              <w:rPr>
                <w:sz w:val="20"/>
                <w:szCs w:val="20"/>
                <w:color w:val="auto"/>
              </w:rPr>
            </w:pPr>
            <w:r>
              <w:rPr>
                <w:rFonts w:ascii="Arial" w:cs="Arial" w:eastAsia="Arial" w:hAnsi="Arial"/>
                <w:sz w:val="16"/>
                <w:szCs w:val="16"/>
                <w:color w:val="auto"/>
              </w:rPr>
              <w:t>Date: October 2, 2023</w:t>
            </w:r>
          </w:p>
        </w:tc>
        <w:tc>
          <w:tcPr>
            <w:tcW w:w="3240" w:type="dxa"/>
            <w:vAlign w:val="bottom"/>
          </w:tcPr>
          <w:p>
            <w:pPr>
              <w:ind w:left="268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Raymond Chang</w:t>
            </w:r>
          </w:p>
        </w:tc>
      </w:tr>
      <w:tr>
        <w:trPr>
          <w:trHeight w:val="177"/>
        </w:trPr>
        <w:tc>
          <w:tcPr>
            <w:tcW w:w="4080" w:type="dxa"/>
            <w:vAlign w:val="bottom"/>
          </w:tcPr>
          <w:p>
            <w:pPr>
              <w:spacing w:after="0"/>
              <w:rPr>
                <w:sz w:val="15"/>
                <w:szCs w:val="15"/>
                <w:color w:val="auto"/>
              </w:rPr>
            </w:pPr>
          </w:p>
        </w:tc>
        <w:tc>
          <w:tcPr>
            <w:tcW w:w="3240" w:type="dxa"/>
            <w:vAlign w:val="bottom"/>
          </w:tcPr>
          <w:p>
            <w:pPr>
              <w:ind w:left="2680"/>
              <w:spacing w:after="0" w:line="176"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7" w:lineRule="exact"/>
              <w:rPr>
                <w:sz w:val="20"/>
                <w:szCs w:val="20"/>
                <w:color w:val="auto"/>
              </w:rPr>
            </w:pPr>
            <w:r>
              <w:rPr>
                <w:rFonts w:ascii="Arial" w:cs="Arial" w:eastAsia="Arial" w:hAnsi="Arial"/>
                <w:sz w:val="16"/>
                <w:szCs w:val="16"/>
                <w:color w:val="auto"/>
              </w:rPr>
              <w:t>Raymond Chang</w:t>
            </w:r>
          </w:p>
        </w:tc>
      </w:tr>
      <w:tr>
        <w:trPr>
          <w:trHeight w:val="189"/>
        </w:trPr>
        <w:tc>
          <w:tcPr>
            <w:tcW w:w="4080" w:type="dxa"/>
            <w:vAlign w:val="bottom"/>
          </w:tcPr>
          <w:p>
            <w:pPr>
              <w:spacing w:after="0"/>
              <w:rPr>
                <w:sz w:val="16"/>
                <w:szCs w:val="16"/>
                <w:color w:val="auto"/>
              </w:rPr>
            </w:pPr>
          </w:p>
        </w:tc>
        <w:tc>
          <w:tcPr>
            <w:tcW w:w="3240" w:type="dxa"/>
            <w:vAlign w:val="bottom"/>
          </w:tcPr>
          <w:p>
            <w:pPr>
              <w:ind w:left="2680"/>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189"/>
        </w:trPr>
        <w:tc>
          <w:tcPr>
            <w:tcW w:w="40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(Principal Executive Officer and Principal Financial and</w:t>
            </w:r>
          </w:p>
        </w:tc>
      </w:tr>
      <w:tr>
        <w:trPr>
          <w:trHeight w:val="200"/>
        </w:trPr>
        <w:tc>
          <w:tcPr>
            <w:tcW w:w="40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Accounting Officer)</w:t>
            </w:r>
          </w:p>
        </w:tc>
      </w:tr>
    </w:tbl>
    <w:p>
      <w:pPr>
        <w:sectPr>
          <w:pgSz w:w="11900" w:h="16838" w:orient="portrait"/>
          <w:cols w:equalWidth="0" w:num="1">
            <w:col w:w="11265"/>
          </w:cols>
          <w:pgMar w:left="315" w:top="123" w:right="31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3" w:lineRule="exact"/>
        <w:rPr>
          <w:sz w:val="20"/>
          <w:szCs w:val="20"/>
          <w:color w:val="auto"/>
        </w:rPr>
      </w:pPr>
    </w:p>
    <w:p>
      <w:pPr>
        <w:jc w:val="both"/>
        <w:ind w:right="100"/>
        <w:spacing w:after="0" w:line="257" w:lineRule="auto"/>
        <w:rPr>
          <w:sz w:val="20"/>
          <w:szCs w:val="20"/>
          <w:color w:val="auto"/>
        </w:rPr>
      </w:pPr>
      <w:r>
        <w:rPr>
          <w:rFonts w:ascii="Arial" w:cs="Arial" w:eastAsia="Arial" w:hAnsi="Arial"/>
          <w:sz w:val="16"/>
          <w:szCs w:val="16"/>
          <w:color w:val="auto"/>
        </w:rPr>
        <w:t>In connection with the Amendment No. 1 to the Quarterly Report on Form 10-Q of Agrify Corporation (the “Company”) for the quarterly period ended March 31, 2022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66" w:lineRule="exact"/>
        <w:rPr>
          <w:sz w:val="20"/>
          <w:szCs w:val="20"/>
          <w:color w:val="auto"/>
        </w:rPr>
      </w:pPr>
    </w:p>
    <w:p>
      <w:pPr>
        <w:ind w:left="560" w:hanging="282"/>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560" w:hanging="282"/>
        <w:spacing w:after="0"/>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Pr>
          <w:p>
            <w:pPr>
              <w:spacing w:after="0"/>
              <w:rPr>
                <w:sz w:val="20"/>
                <w:szCs w:val="20"/>
                <w:color w:val="auto"/>
              </w:rPr>
            </w:pPr>
            <w:r>
              <w:rPr>
                <w:rFonts w:ascii="Arial" w:cs="Arial" w:eastAsia="Arial" w:hAnsi="Arial"/>
                <w:sz w:val="16"/>
                <w:szCs w:val="16"/>
                <w:color w:val="auto"/>
              </w:rPr>
              <w:t>Date: October 2, 2023</w:t>
            </w:r>
          </w:p>
        </w:tc>
        <w:tc>
          <w:tcPr>
            <w:tcW w:w="3240" w:type="dxa"/>
            <w:vAlign w:val="bottom"/>
          </w:tcPr>
          <w:p>
            <w:pPr>
              <w:ind w:left="268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Raymond Chang</w:t>
            </w:r>
          </w:p>
        </w:tc>
      </w:tr>
      <w:tr>
        <w:trPr>
          <w:trHeight w:val="177"/>
        </w:trPr>
        <w:tc>
          <w:tcPr>
            <w:tcW w:w="4080" w:type="dxa"/>
            <w:vAlign w:val="bottom"/>
          </w:tcPr>
          <w:p>
            <w:pPr>
              <w:spacing w:after="0"/>
              <w:rPr>
                <w:sz w:val="15"/>
                <w:szCs w:val="15"/>
                <w:color w:val="auto"/>
              </w:rPr>
            </w:pPr>
          </w:p>
        </w:tc>
        <w:tc>
          <w:tcPr>
            <w:tcW w:w="3240" w:type="dxa"/>
            <w:vAlign w:val="bottom"/>
          </w:tcPr>
          <w:p>
            <w:pPr>
              <w:ind w:left="2680"/>
              <w:spacing w:after="0" w:line="176"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7" w:lineRule="exact"/>
              <w:rPr>
                <w:sz w:val="20"/>
                <w:szCs w:val="20"/>
                <w:color w:val="auto"/>
              </w:rPr>
            </w:pPr>
            <w:r>
              <w:rPr>
                <w:rFonts w:ascii="Arial" w:cs="Arial" w:eastAsia="Arial" w:hAnsi="Arial"/>
                <w:sz w:val="16"/>
                <w:szCs w:val="16"/>
                <w:color w:val="auto"/>
              </w:rPr>
              <w:t>Raymond Chang</w:t>
            </w:r>
          </w:p>
        </w:tc>
      </w:tr>
      <w:tr>
        <w:trPr>
          <w:trHeight w:val="189"/>
        </w:trPr>
        <w:tc>
          <w:tcPr>
            <w:tcW w:w="4080" w:type="dxa"/>
            <w:vAlign w:val="bottom"/>
          </w:tcPr>
          <w:p>
            <w:pPr>
              <w:spacing w:after="0"/>
              <w:rPr>
                <w:sz w:val="16"/>
                <w:szCs w:val="16"/>
                <w:color w:val="auto"/>
              </w:rPr>
            </w:pPr>
          </w:p>
        </w:tc>
        <w:tc>
          <w:tcPr>
            <w:tcW w:w="3240" w:type="dxa"/>
            <w:vAlign w:val="bottom"/>
          </w:tcPr>
          <w:p>
            <w:pPr>
              <w:ind w:left="2680"/>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189"/>
        </w:trPr>
        <w:tc>
          <w:tcPr>
            <w:tcW w:w="40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(Principal Executive Officer and Principal Financial and</w:t>
            </w:r>
          </w:p>
        </w:tc>
      </w:tr>
      <w:tr>
        <w:trPr>
          <w:trHeight w:val="200"/>
        </w:trPr>
        <w:tc>
          <w:tcPr>
            <w:tcW w:w="40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Accounting Officer)</w:t>
            </w:r>
          </w:p>
        </w:tc>
      </w:tr>
    </w:tbl>
    <w:p>
      <w:pPr>
        <w:spacing w:after="0" w:line="1" w:lineRule="exact"/>
        <w:rPr>
          <w:sz w:val="20"/>
          <w:szCs w:val="20"/>
          <w:color w:val="auto"/>
        </w:rPr>
      </w:pPr>
    </w:p>
    <w:sectPr>
      <w:pgSz w:w="11900" w:h="16838" w:orient="portrait"/>
      <w:cols w:equalWidth="0" w:num="1">
        <w:col w:w="11260"/>
      </w:cols>
      <w:pgMar w:left="32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lvl w:ilvl="1">
      <w:lvlJc w:val="left"/>
      <w:lvlText w:val="ο"/>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emdash "/>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04"/>
    </w:lvl>
    <w:lvl w:ilvl="1">
      <w:lvlJc w:val="left"/>
      <w:lvlText w:val="**"/>
      <w:numFmt w:val="bullet"/>
      <w:start w:val="1"/>
    </w:lvl>
    <w:lvl w:ilvl="2">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25" Type="http://schemas.openxmlformats.org/officeDocument/2006/relationships/hyperlink" Target="http://www.sec.gov/Archives/edgar/data/1800637/000121390022004925/ea154783ex2-1_agrifycorp.htm" TargetMode="External"/><Relationship Id="rId126" Type="http://schemas.openxmlformats.org/officeDocument/2006/relationships/hyperlink" Target="http://www.sec.gov/Archives/edgar/data/1800637/000121390022003773/ea154520ex4-1_agrify.htm" TargetMode="External"/><Relationship Id="rId127" Type="http://schemas.openxmlformats.org/officeDocument/2006/relationships/hyperlink" Target="http://www.sec.gov/Archives/edgar/data/1800637/000121390022003773/ea154520ex4-2_agrify.htm" TargetMode="External"/><Relationship Id="rId128" Type="http://schemas.openxmlformats.org/officeDocument/2006/relationships/hyperlink" Target="http://www.sec.gov/Archives/edgar/data/1800637/000121390022013613/ea157101ex4-1_agrifycorp.htm" TargetMode="External"/><Relationship Id="rId129" Type="http://schemas.openxmlformats.org/officeDocument/2006/relationships/hyperlink" Target="http://www.sec.gov/Archives/edgar/data/1800637/000121390022013613/ea157101ex4-2_agrifycorp.htm" TargetMode="External"/><Relationship Id="rId130" Type="http://schemas.openxmlformats.org/officeDocument/2006/relationships/hyperlink" Target="http://www.sec.gov/Archives/edgar/data/1800637/000121390022003773/ea154520ex10-1_agrify.htm" TargetMode="External"/><Relationship Id="rId131" Type="http://schemas.openxmlformats.org/officeDocument/2006/relationships/hyperlink" Target="http://www.sec.gov/Archives/edgar/data/1800637/000121390022003773/ea154520ex10-2_agrify.htm" TargetMode="External"/><Relationship Id="rId132" Type="http://schemas.openxmlformats.org/officeDocument/2006/relationships/hyperlink" Target="http://www.sec.gov/Archives/edgar/data/1800637/000121390022013613/ea157101ex10-1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2023-10-02T08:12:09Z</dcterms:created>
  <dcterms:modified xsi:type="dcterms:W3CDTF">2023-10-02T08:12:09Z</dcterms:modified>
</cp:coreProperties>
</file>