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60" w:after="240"/>
        <w:rPr>
          <w:bdr w:val="single" w:sz="16" w:space="1" w:color="000000"/>
        </w:rPr>
      </w:pPr>
      <w:bookmarkStart w:id="0" w:name="ea177061-8k_agrify.htm"/>
      <w:bookmarkStart w:id="1" w:name="ksea1770618k_agrify"/>
      <w:bookmarkEnd w:id="0"/>
      <w:bookmarkEnd w:id="1"/>
      <w:r>
        <w:rPr>
          <w:bdr w:val="single" w:sz="16" w:space="1" w:color="000000"/>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2_edei--DocumentType_c20230412__20"/>
      <w:bookmarkEnd w:id="2"/>
      <w:r>
        <w:rPr>
          <w:rFonts w:ascii="Times New Roman;Times;Serif" w:hAnsi="Times New Roman;Times;Serif"/>
          <w:b/>
          <w:i w:val="false"/>
          <w:caps w:val="false"/>
          <w:smallCaps w:val="false"/>
          <w:sz w:val="36"/>
        </w:rPr>
        <w:t>8-K</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April 12, 2023</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bookmarkStart w:id="4" w:name="xdx_906_edei--EntityRegistrantName_c2023"/>
      <w:bookmarkEnd w:id="4"/>
      <w:r>
        <w:rPr>
          <w:rFonts w:ascii="Times New Roman;Times;Serif" w:hAnsi="Times New Roman;Times;Serif"/>
          <w:b/>
          <w:i w:val="false"/>
          <w:caps w:val="false"/>
          <w:smallCaps w:val="false"/>
          <w:sz w:val="36"/>
        </w:rPr>
        <w:t>AGRIFY CORPORATION</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8700" w:type="dxa"/>
        <w:jc w:val="left"/>
        <w:tblInd w:w="0" w:type="dxa"/>
        <w:tblCellMar>
          <w:top w:w="0" w:type="dxa"/>
          <w:left w:w="0" w:type="dxa"/>
          <w:bottom w:w="28" w:type="dxa"/>
          <w:right w:w="0" w:type="dxa"/>
        </w:tblCellMar>
      </w:tblPr>
      <w:tblGrid>
        <w:gridCol w:w="3590"/>
        <w:gridCol w:w="60"/>
        <w:gridCol w:w="2210"/>
        <w:gridCol w:w="60"/>
        <w:gridCol w:w="2780"/>
      </w:tblGrid>
      <w:tr>
        <w:trPr/>
        <w:tc>
          <w:tcPr>
            <w:tcW w:w="3590" w:type="dxa"/>
            <w:tcBorders>
              <w:bottom w:val="single" w:sz="8" w:space="0" w:color="000000"/>
            </w:tcBorders>
            <w:shd w:fill="auto" w:val="clear"/>
            <w:vAlign w:val="center"/>
          </w:tcPr>
          <w:p>
            <w:pPr>
              <w:pStyle w:val="TableContents"/>
              <w:spacing w:before="0" w:after="283"/>
              <w:jc w:val="center"/>
              <w:rPr>
                <w:b/>
                <w:sz w:val="20"/>
              </w:rPr>
            </w:pPr>
            <w:bookmarkStart w:id="5" w:name="xdx_90E_edei--EntityIncorporationStateCo"/>
            <w:bookmarkEnd w:id="5"/>
            <w:r>
              <w:rPr>
                <w:b/>
                <w:sz w:val="20"/>
              </w:rPr>
              <w:t>Nevada</w:t>
            </w:r>
          </w:p>
        </w:tc>
        <w:tc>
          <w:tcPr>
            <w:tcW w:w="60" w:type="dxa"/>
            <w:tcBorders/>
            <w:shd w:fill="auto" w:val="clear"/>
            <w:tcMar>
              <w:bottom w:w="0" w:type="dxa"/>
            </w:tcMar>
            <w:vAlign w:val="center"/>
          </w:tcPr>
          <w:p>
            <w:pPr>
              <w:pStyle w:val="TableContents"/>
              <w:spacing w:before="0" w:after="283"/>
              <w:rPr/>
            </w:pPr>
            <w:r>
              <w:rPr/>
              <w:t> </w:t>
            </w:r>
          </w:p>
        </w:tc>
        <w:tc>
          <w:tcPr>
            <w:tcW w:w="2210" w:type="dxa"/>
            <w:tcBorders>
              <w:bottom w:val="single" w:sz="8" w:space="0" w:color="000000"/>
            </w:tcBorders>
            <w:shd w:fill="auto" w:val="clear"/>
            <w:vAlign w:val="center"/>
          </w:tcPr>
          <w:p>
            <w:pPr>
              <w:pStyle w:val="TableContents"/>
              <w:spacing w:before="0" w:after="283"/>
              <w:jc w:val="center"/>
              <w:rPr>
                <w:b/>
                <w:sz w:val="20"/>
              </w:rPr>
            </w:pPr>
            <w:bookmarkStart w:id="6" w:name="xdx_904_edei--EntityFileNumber_c20230412"/>
            <w:bookmarkEnd w:id="6"/>
            <w:r>
              <w:rPr>
                <w:b/>
                <w:sz w:val="20"/>
              </w:rPr>
              <w:t>001-39946</w:t>
            </w:r>
          </w:p>
        </w:tc>
        <w:tc>
          <w:tcPr>
            <w:tcW w:w="60" w:type="dxa"/>
            <w:tcBorders/>
            <w:shd w:fill="auto" w:val="clear"/>
            <w:tcMar>
              <w:bottom w:w="0" w:type="dxa"/>
            </w:tcMar>
            <w:vAlign w:val="center"/>
          </w:tcPr>
          <w:p>
            <w:pPr>
              <w:pStyle w:val="TableContents"/>
              <w:spacing w:before="0" w:after="283"/>
              <w:rPr/>
            </w:pPr>
            <w:r>
              <w:rPr/>
              <w:t> </w:t>
            </w:r>
          </w:p>
        </w:tc>
        <w:tc>
          <w:tcPr>
            <w:tcW w:w="2780" w:type="dxa"/>
            <w:tcBorders>
              <w:bottom w:val="single" w:sz="8" w:space="0" w:color="000000"/>
            </w:tcBorders>
            <w:shd w:fill="auto" w:val="clear"/>
            <w:vAlign w:val="center"/>
          </w:tcPr>
          <w:p>
            <w:pPr>
              <w:pStyle w:val="TableContents"/>
              <w:spacing w:before="0" w:after="283"/>
              <w:jc w:val="center"/>
              <w:rPr>
                <w:b/>
                <w:sz w:val="20"/>
              </w:rPr>
            </w:pPr>
            <w:bookmarkStart w:id="7" w:name="xdx_909_edei--EntityTaxIdentificationNum"/>
            <w:bookmarkEnd w:id="7"/>
            <w:r>
              <w:rPr>
                <w:b/>
                <w:sz w:val="20"/>
              </w:rPr>
              <w:t>30-0943453</w:t>
            </w:r>
          </w:p>
        </w:tc>
      </w:tr>
      <w:tr>
        <w:trPr/>
        <w:tc>
          <w:tcPr>
            <w:tcW w:w="3590"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2210" w:type="dxa"/>
            <w:tcBorders/>
            <w:shd w:fill="auto" w:val="clear"/>
            <w:tcMar>
              <w:bottom w:w="0" w:type="dxa"/>
            </w:tcMar>
            <w:vAlign w:val="center"/>
          </w:tcPr>
          <w:p>
            <w:pPr>
              <w:pStyle w:val="TableContents"/>
              <w:spacing w:before="0" w:after="283"/>
              <w:jc w:val="center"/>
              <w:rPr>
                <w:sz w:val="20"/>
              </w:rPr>
            </w:pPr>
            <w:r>
              <w:rPr>
                <w:sz w:val="2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sz w:val="20"/>
              </w:rPr>
            </w:pPr>
            <w:r>
              <w:rPr>
                <w:sz w:val="20"/>
              </w:rPr>
              <w:t>(IRS Employer Identification No.)</w:t>
            </w:r>
          </w:p>
        </w:tc>
      </w:tr>
    </w:tbl>
    <w:p>
      <w:pPr>
        <w:pStyle w:val="TextBody"/>
        <w:rPr>
          <w:caps w:val="false"/>
          <w:smallCaps w:val="false"/>
        </w:rPr>
      </w:pPr>
      <w:r>
        <w:rPr>
          <w:caps w:val="false"/>
          <w:smallCaps w:val="false"/>
        </w:rPr>
        <w:t> </w:t>
      </w:r>
    </w:p>
    <w:tbl>
      <w:tblPr>
        <w:tblW w:w="4195" w:type="dxa"/>
        <w:jc w:val="left"/>
        <w:tblInd w:w="0" w:type="dxa"/>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76 Treble Cove Rd.</w:t>
            </w:r>
          </w:p>
          <w:p>
            <w:pPr>
              <w:pStyle w:val="TableContents"/>
              <w:jc w:val="center"/>
              <w:rPr>
                <w:rFonts w:ascii="Times New Roman;Times;Serif" w:hAnsi="Times New Roman;Times;Serif"/>
                <w:b/>
                <w:i w:val="false"/>
                <w:caps w:val="false"/>
                <w:smallCaps w:val="false"/>
                <w:sz w:val="20"/>
              </w:rPr>
            </w:pPr>
            <w:bookmarkStart w:id="9" w:name="xdx_907_edei--EntityAddressAddressLine2_"/>
            <w:bookmarkEnd w:id="9"/>
            <w:r>
              <w:rPr>
                <w:rFonts w:ascii="Times New Roman;Times;Serif" w:hAnsi="Times New Roman;Times;Serif"/>
                <w:b/>
                <w:i w:val="false"/>
                <w:caps w:val="false"/>
                <w:smallCaps w:val="false"/>
                <w:sz w:val="20"/>
              </w:rPr>
              <w:t>Building 3</w:t>
            </w:r>
          </w:p>
          <w:p>
            <w:pPr>
              <w:pStyle w:val="TableContents"/>
              <w:spacing w:before="0" w:after="283"/>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Billerica, </w:t>
            </w:r>
            <w:bookmarkStart w:id="11" w:name="xdx_908_edei--EntityAddressStateOrProvin"/>
            <w:bookmarkEnd w:id="11"/>
            <w:r>
              <w:rPr>
                <w:rFonts w:ascii="Times New Roman;Times;Serif" w:hAnsi="Times New Roman;Times;Serif"/>
                <w:b/>
                <w:i w:val="false"/>
                <w:caps w:val="false"/>
                <w:smallCaps w:val="false"/>
                <w:sz w:val="20"/>
              </w:rPr>
              <w:t xml:space="preserve">MA </w:t>
            </w:r>
          </w:p>
        </w:tc>
        <w:tc>
          <w:tcPr>
            <w:tcW w:w="60" w:type="dxa"/>
            <w:tcBorders/>
            <w:shd w:fill="auto" w:val="clear"/>
            <w:tcMar>
              <w:bottom w:w="0" w:type="dxa"/>
            </w:tcMar>
            <w:vAlign w:val="center"/>
          </w:tcPr>
          <w:p>
            <w:pPr>
              <w:pStyle w:val="TableContents"/>
              <w:spacing w:before="0" w:after="283"/>
              <w:rPr/>
            </w:pPr>
            <w:r>
              <w:rPr/>
              <w:t> </w:t>
            </w:r>
          </w:p>
        </w:tc>
        <w:tc>
          <w:tcPr>
            <w:tcW w:w="920" w:type="dxa"/>
            <w:tcBorders>
              <w:bottom w:val="single" w:sz="8" w:space="0" w:color="000000"/>
            </w:tcBorders>
            <w:shd w:fill="auto" w:val="clear"/>
            <w:vAlign w:val="center"/>
          </w:tcPr>
          <w:p>
            <w:pPr>
              <w:pStyle w:val="TableContents"/>
              <w:spacing w:before="0" w:after="283"/>
              <w:jc w:val="center"/>
              <w:rPr>
                <w:b/>
                <w:sz w:val="20"/>
              </w:rPr>
            </w:pPr>
            <w:bookmarkStart w:id="12" w:name="xdx_90C_edei--EntityAddressPostalZipCode"/>
            <w:bookmarkEnd w:id="12"/>
            <w:r>
              <w:rPr>
                <w:b/>
                <w:sz w:val="20"/>
              </w:rPr>
              <w:t>01862</w:t>
            </w:r>
          </w:p>
        </w:tc>
      </w:tr>
      <w:tr>
        <w:trPr/>
        <w:tc>
          <w:tcPr>
            <w:tcW w:w="3215" w:type="dxa"/>
            <w:tcBorders/>
            <w:shd w:fill="auto" w:val="clear"/>
            <w:tcMar>
              <w:bottom w:w="0" w:type="dxa"/>
            </w:tcMar>
            <w:vAlign w:val="center"/>
          </w:tcPr>
          <w:p>
            <w:pPr>
              <w:pStyle w:val="TableContents"/>
              <w:spacing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920" w:type="dxa"/>
            <w:tcBorders/>
            <w:shd w:fill="auto" w:val="clear"/>
            <w:tcMar>
              <w:bottom w:w="0" w:type="dxa"/>
            </w:tcMar>
            <w:vAlign w:val="center"/>
          </w:tcPr>
          <w:p>
            <w:pPr>
              <w:pStyle w:val="TableContents"/>
              <w:spacing w:before="0" w:after="283"/>
              <w:jc w:val="center"/>
              <w:rPr>
                <w:sz w:val="20"/>
              </w:rPr>
            </w:pPr>
            <w:r>
              <w:rPr>
                <w:sz w:val="20"/>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2_edei--CityAreaCode_c20230412__20"/>
      <w:bookmarkEnd w:id="13"/>
      <w:r>
        <w:rPr>
          <w:rFonts w:ascii="Times New Roman;Times;Serif" w:hAnsi="Times New Roman;Times;Serif"/>
          <w:b/>
          <w:i w:val="false"/>
          <w:caps w:val="false"/>
          <w:smallCaps w:val="false"/>
          <w:sz w:val="20"/>
        </w:rPr>
        <w:t xml:space="preserve">(617) </w:t>
      </w:r>
      <w:bookmarkStart w:id="14" w:name="xdx_908_edei--LocalPhoneNumber_c20230412"/>
      <w:bookmarkEnd w:id="14"/>
      <w:r>
        <w:rPr>
          <w:rFonts w:ascii="Times New Roman;Times;Serif" w:hAnsi="Times New Roman;Times;Serif"/>
          <w:b/>
          <w:i w:val="false"/>
          <w:caps w:val="false"/>
          <w:smallCaps w:val="false"/>
          <w:sz w:val="20"/>
        </w:rPr>
        <w:t>896-5243</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bookmarkStart w:id="15" w:name="xdx_907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bookmarkStart w:id="16" w:name="xdx_90B_edei--SolicitingMaterial_c202304"/>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bookmarkStart w:id="17" w:name="xdx_907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bookmarkStart w:id="18" w:name="xdx_90C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ind w:left="360" w:right="0" w:hanging="36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rPr>
          <w:caps w:val="false"/>
          <w:smallCaps w:val="false"/>
        </w:rPr>
      </w:pPr>
      <w:r>
        <w:rPr>
          <w:caps w:val="false"/>
          <w:smallCaps w:val="false"/>
        </w:rPr>
        <w:t> </w:t>
      </w:r>
    </w:p>
    <w:tbl>
      <w:tblPr>
        <w:tblW w:w="8925" w:type="dxa"/>
        <w:jc w:val="left"/>
        <w:tblInd w:w="0" w:type="dxa"/>
        <w:tblCellMar>
          <w:top w:w="0" w:type="dxa"/>
          <w:left w:w="0" w:type="dxa"/>
          <w:bottom w:w="28" w:type="dxa"/>
          <w:right w:w="0" w:type="dxa"/>
        </w:tblCellMar>
      </w:tblPr>
      <w:tblGrid>
        <w:gridCol w:w="3515"/>
        <w:gridCol w:w="60"/>
        <w:gridCol w:w="1580"/>
        <w:gridCol w:w="60"/>
        <w:gridCol w:w="3710"/>
      </w:tblGrid>
      <w:tr>
        <w:trPr/>
        <w:tc>
          <w:tcPr>
            <w:tcW w:w="3515"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580" w:type="dxa"/>
            <w:tcBorders>
              <w:bottom w:val="single" w:sz="8"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3710"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3515" w:type="dxa"/>
            <w:tcBorders/>
            <w:shd w:fill="CCEEFF" w:val="clear"/>
            <w:tcMar>
              <w:bottom w:w="0" w:type="dxa"/>
            </w:tcMar>
            <w:vAlign w:val="center"/>
          </w:tcPr>
          <w:p>
            <w:pPr>
              <w:pStyle w:val="TableContents"/>
              <w:spacing w:before="0" w:after="283"/>
              <w:jc w:val="center"/>
              <w:rPr>
                <w:sz w:val="20"/>
              </w:rPr>
            </w:pPr>
            <w:bookmarkStart w:id="19" w:name="xdx_90D_edei--Security12bTitle_c20230412"/>
            <w:bookmarkEnd w:id="19"/>
            <w:r>
              <w:rPr>
                <w:sz w:val="20"/>
              </w:rPr>
              <w:t>Common Stock, par value $0.001 per share</w:t>
            </w:r>
          </w:p>
        </w:tc>
        <w:tc>
          <w:tcPr>
            <w:tcW w:w="60" w:type="dxa"/>
            <w:tcBorders/>
            <w:shd w:fill="CCEEFF" w:val="clear"/>
            <w:tcMar>
              <w:bottom w:w="0" w:type="dxa"/>
            </w:tcMar>
            <w:vAlign w:val="center"/>
          </w:tcPr>
          <w:p>
            <w:pPr>
              <w:pStyle w:val="TableContents"/>
              <w:spacing w:before="0" w:after="283"/>
              <w:jc w:val="center"/>
              <w:rPr/>
            </w:pPr>
            <w:r>
              <w:rPr/>
              <w:t> </w:t>
            </w:r>
          </w:p>
        </w:tc>
        <w:tc>
          <w:tcPr>
            <w:tcW w:w="1580" w:type="dxa"/>
            <w:tcBorders/>
            <w:shd w:fill="CCEEFF" w:val="clear"/>
            <w:tcMar>
              <w:bottom w:w="0" w:type="dxa"/>
            </w:tcMar>
            <w:vAlign w:val="center"/>
          </w:tcPr>
          <w:p>
            <w:pPr>
              <w:pStyle w:val="TableContents"/>
              <w:spacing w:before="0" w:after="283"/>
              <w:jc w:val="center"/>
              <w:rPr>
                <w:sz w:val="20"/>
              </w:rPr>
            </w:pPr>
            <w:bookmarkStart w:id="20" w:name="xdx_90C_edei--TradingSymbol_c20230412__2"/>
            <w:bookmarkEnd w:id="20"/>
            <w:r>
              <w:rPr>
                <w:sz w:val="20"/>
              </w:rPr>
              <w:t>AGFY</w:t>
            </w:r>
          </w:p>
        </w:tc>
        <w:tc>
          <w:tcPr>
            <w:tcW w:w="60" w:type="dxa"/>
            <w:tcBorders/>
            <w:shd w:fill="CCEEFF" w:val="clear"/>
            <w:tcMar>
              <w:bottom w:w="0" w:type="dxa"/>
            </w:tcMar>
            <w:vAlign w:val="center"/>
          </w:tcPr>
          <w:p>
            <w:pPr>
              <w:pStyle w:val="TableContents"/>
              <w:spacing w:before="0" w:after="283"/>
              <w:jc w:val="center"/>
              <w:rPr/>
            </w:pPr>
            <w:r>
              <w:rPr/>
              <w:t> </w:t>
            </w:r>
          </w:p>
        </w:tc>
        <w:tc>
          <w:tcPr>
            <w:tcW w:w="3710" w:type="dxa"/>
            <w:tcBorders/>
            <w:shd w:fill="CCEEFF" w:val="clear"/>
            <w:tcMar>
              <w:bottom w:w="0" w:type="dxa"/>
            </w:tcMar>
            <w:vAlign w:val="center"/>
          </w:tcPr>
          <w:p>
            <w:pPr>
              <w:pStyle w:val="TableContents"/>
              <w:spacing w:before="0" w:after="283"/>
              <w:jc w:val="center"/>
              <w:rPr>
                <w:sz w:val="20"/>
              </w:rPr>
            </w:pPr>
            <w:bookmarkStart w:id="21" w:name="xdx_90F_edei--SecurityExchangeName_c2023"/>
            <w:bookmarkEnd w:id="21"/>
            <w:r>
              <w:rPr>
                <w:sz w:val="20"/>
              </w:rPr>
              <w:t>The Nasdaq Stock Market LLC</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Wingdings" w:hAnsi="Wingdings"/>
          <w:b w:val="false"/>
          <w:i w:val="false"/>
          <w:caps w:val="false"/>
          <w:smallCaps w:val="false"/>
          <w:sz w:val="20"/>
        </w:rPr>
        <w:t>x</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5_edei--EntityExTransitionPeriod_c"/>
      <w:bookmarkEnd w:id="23"/>
      <w:r>
        <w:rPr>
          <w:rFonts w:ascii="Wingdings" w:hAnsi="Wingdings"/>
          <w:b w:val="false"/>
          <w:i w:val="false"/>
          <w:caps w:val="false"/>
          <w:smallCaps w:val="false"/>
          <w:sz w:val="20"/>
        </w:rPr>
        <w:t>o</w:t>
      </w:r>
    </w:p>
    <w:p>
      <w:pPr>
        <w:pStyle w:val="TextBody"/>
        <w:rPr>
          <w:caps w:val="false"/>
          <w:smallCaps w:val="false"/>
        </w:rPr>
      </w:pPr>
      <w:r>
        <w:rPr>
          <w:caps w:val="false"/>
          <w:smallCaps w:val="false"/>
        </w:rPr>
        <w:t> </w:t>
      </w:r>
    </w:p>
    <w:p>
      <w:pPr>
        <w:pStyle w:val="TextBody"/>
        <w:spacing w:before="0" w:after="0"/>
        <w:ind w:left="0" w:right="0" w:hanging="0"/>
        <w:rPr/>
      </w:pPr>
      <w:r>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0"/>
        <w:gridCol w:w="9385"/>
      </w:tblGrid>
      <w:tr>
        <w:trPr/>
        <w:tc>
          <w:tcPr>
            <w:tcW w:w="820" w:type="dxa"/>
            <w:tcBorders/>
            <w:shd w:fill="auto" w:val="clear"/>
            <w:vAlign w:val="center"/>
          </w:tcPr>
          <w:p>
            <w:pPr>
              <w:pStyle w:val="TableContents"/>
              <w:spacing w:before="0" w:after="283"/>
              <w:rPr>
                <w:b/>
                <w:sz w:val="20"/>
              </w:rPr>
            </w:pPr>
            <w:r>
              <w:rPr>
                <w:b/>
                <w:sz w:val="20"/>
              </w:rPr>
              <w:t>Item 4.02</w:t>
            </w:r>
          </w:p>
        </w:tc>
        <w:tc>
          <w:tcPr>
            <w:tcW w:w="9385" w:type="dxa"/>
            <w:tcBorders/>
            <w:shd w:fill="auto" w:val="clear"/>
            <w:vAlign w:val="center"/>
          </w:tcPr>
          <w:p>
            <w:pPr>
              <w:pStyle w:val="TableContents"/>
              <w:spacing w:before="0" w:after="283"/>
              <w:jc w:val="both"/>
              <w:rPr>
                <w:b/>
                <w:sz w:val="20"/>
              </w:rPr>
            </w:pPr>
            <w:r>
              <w:rPr>
                <w:b/>
                <w:sz w:val="20"/>
              </w:rPr>
              <w:t>Non-Reliance on Previously Issued Financial Statements or a Related Audit Report or Completed Interim Review.</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2023, the Audit Committee of the Board of Directors (the “Audit Committee”) of Agrify Corporation (the “Company”), in consultation with management of the Company and the Company’s independent registered public accounting firm, Marcum LLP (“Marcum”), concluded that the Company’s previously issued unaudited condensed consolidated interim financial statements as of and for the fiscal periods ended March 31, 2022, June 30, 2022 and September 30, 2022 included in the Company’s Quarterly Reports on Form 10-Q for such periods should no longer be relied upon. Similarly, earnings releases, and investor communications describing the financial statements for the periods described above should no longer be relied upon.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errors in the accounting for warrants previously issued by the Company. Specifically, the Audit Committee concluded 301,575 warrants issued in a private placement on January 28, 2022 and 688,111 warrants issued in a private placement on March 23, 2022 (collectively, the “Warrants”) should have been classified as a liability measured at fair value, with changes in fair value each period reported in earnings, rather than as a component of equity. The change in fair value of the Warrants is a non-cash charge and will be reflected in the Company’s statement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determination, the Company will correct the material misstatements in the Company’s previously issued unaudited condensed consolidated interim financial statements as of and for the fiscal periods ended March 31, 2022, June 30, 2022 and September 30, 2022 in amended quarterly reports for the affected periods.  The Company intends to file such amended reports as soon as practicable.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Audit Committee discussed the matters described in this Item 4.02 with representatives of Marcum.</w:t>
      </w:r>
    </w:p>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Forward-Looking Statements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Certain statements included in this Form 8-K are “forward-looking statements” within the meaning of the Private Securities Litigation Reform Act of 1995. These statements include statements regarding the effects of the restatement of the Company’s past financial statements and the expected timing of filing of the Company’s amended periodic reports. Forward-looking statements may involve known and unknown risks, uncertainties and other factors that may cause actual results, performance or achievements of the Company to be materially different from historical results or from any future results or projections expressed or implied by such forward-looking statements. Accordingly, readers should not place undue reliance on any forward-looking statements. In addition to statements that explicitly describe such risks and uncertainties, readers are urged to consider statements in the conditional or future tenses or that include terms such as “believes,” “belief,” “expects,” “estimates,” “intends,” “anticipates” or “plans” to be uncertain and forward-looking. </w:t>
      </w:r>
      <w:r>
        <w:rPr>
          <w:rFonts w:ascii="Times New Roman;Times;Serif" w:hAnsi="Times New Roman;Times;Serif"/>
          <w:b w:val="false"/>
          <w:i w:val="false"/>
          <w:caps w:val="false"/>
          <w:smallCaps w:val="false"/>
          <w:sz w:val="20"/>
        </w:rPr>
        <w:t>Factors that may cause actual results to differ materially from current expectations include, among other things, those listed under Part I, Item 1A. “Risk Factors” in the Company’s Annual Report on Form 10-K for the fiscal year ended December 31, 2021 and the Company’s other filings with the SEC. Except as required by law, the Company assumes no obligation to update or revise these forward-looking statements for any reason, even if new information becomes available in the future.</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jc w:val="both"/>
        <w:rPr>
          <w:caps w:val="false"/>
          <w:smallCaps w:val="false"/>
        </w:rPr>
      </w:pPr>
      <w:r>
        <w:rPr>
          <w:caps w:val="false"/>
          <w:smallCaps w:val="false"/>
        </w:rPr>
        <w:t> </w:t>
      </w:r>
    </w:p>
    <w:tbl>
      <w:tblPr>
        <w:tblW w:w="4230" w:type="dxa"/>
        <w:jc w:val="left"/>
        <w:tblInd w:w="0" w:type="dxa"/>
        <w:tblCellMar>
          <w:top w:w="0" w:type="dxa"/>
          <w:left w:w="0" w:type="dxa"/>
          <w:bottom w:w="0" w:type="dxa"/>
          <w:right w:w="0" w:type="dxa"/>
        </w:tblCellMar>
      </w:tblPr>
      <w:tblGrid>
        <w:gridCol w:w="1760"/>
        <w:gridCol w:w="320"/>
        <w:gridCol w:w="2150"/>
      </w:tblGrid>
      <w:tr>
        <w:trPr/>
        <w:tc>
          <w:tcPr>
            <w:tcW w:w="1760"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b/>
                <w:sz w:val="20"/>
              </w:rPr>
            </w:pPr>
            <w:r>
              <w:rPr>
                <w:b/>
                <w:sz w:val="20"/>
              </w:rPr>
              <w:t>AGRIFY CORPORATION</w:t>
            </w:r>
          </w:p>
        </w:tc>
      </w:tr>
      <w:tr>
        <w:trPr/>
        <w:tc>
          <w:tcPr>
            <w:tcW w:w="17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283"/>
              <w:rPr/>
            </w:pPr>
            <w:r>
              <w:rPr/>
              <w:t> </w:t>
            </w:r>
            <w:r>
              <w:rPr>
                <w:sz w:val="20"/>
              </w:rPr>
              <w:t>Date: April 17, 2023</w:t>
            </w:r>
          </w:p>
        </w:tc>
        <w:tc>
          <w:tcPr>
            <w:tcW w:w="320" w:type="dxa"/>
            <w:tcBorders/>
            <w:shd w:fill="auto" w:val="clear"/>
            <w:vAlign w:val="center"/>
          </w:tcPr>
          <w:p>
            <w:pPr>
              <w:pStyle w:val="TableContents"/>
              <w:spacing w:before="0" w:after="283"/>
              <w:rPr>
                <w:sz w:val="20"/>
              </w:rPr>
            </w:pPr>
            <w:r>
              <w:rPr>
                <w:sz w:val="20"/>
              </w:rPr>
              <w:t>By:</w:t>
            </w:r>
          </w:p>
        </w:tc>
        <w:tc>
          <w:tcPr>
            <w:tcW w:w="2150"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Raymond Nobu Chang</w:t>
            </w:r>
          </w:p>
        </w:tc>
      </w:tr>
      <w:tr>
        <w:trPr/>
        <w:tc>
          <w:tcPr>
            <w:tcW w:w="17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sz w:val="20"/>
              </w:rPr>
            </w:pPr>
            <w:r>
              <w:rPr>
                <w:sz w:val="20"/>
              </w:rPr>
              <w:t>Raymond Nobu Chang</w:t>
            </w:r>
          </w:p>
        </w:tc>
      </w:tr>
      <w:tr>
        <w:trPr/>
        <w:tc>
          <w:tcPr>
            <w:tcW w:w="17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sz w:val="20"/>
              </w:rPr>
            </w:pPr>
            <w:r>
              <w:rPr>
                <w:sz w:val="20"/>
              </w:rPr>
              <w:t>Chief Executive Officer</w:t>
            </w:r>
          </w:p>
        </w:tc>
      </w:tr>
    </w:tbl>
    <w:p>
      <w:pPr>
        <w:pStyle w:val="TextBody"/>
        <w:spacing w:before="100" w:after="100"/>
        <w:ind w:left="100" w:right="100" w:hanging="0"/>
        <w:rPr>
          <w:caps w:val="false"/>
          <w:smallCaps w:val="false"/>
        </w:rPr>
      </w:pPr>
      <w:r>
        <w:rPr>
          <w:caps w:val="false"/>
          <w:smallCaps w:val="false"/>
        </w:rPr>
        <w:t> </w:t>
      </w:r>
    </w:p>
    <w:p>
      <w:pPr>
        <w:pStyle w:val="TextBody"/>
        <w:spacing w:before="60" w:after="60"/>
        <w:ind w:left="60" w:right="60" w:hanging="0"/>
        <w:rPr>
          <w:bdr w:val="single" w:sz="12" w:space="1" w:color="000000"/>
        </w:rPr>
      </w:pPr>
      <w:r>
        <w:rPr>
          <w:bdr w:val="single" w:sz="12" w:space="1" w:color="000000"/>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862</Words>
  <CharactersWithSpaces>5758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