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20" w:type="dxa"/>
            <w:vAlign w:val="bottom"/>
          </w:tcPr>
          <w:p>
            <w:pPr>
              <w:spacing w:after="0"/>
              <w:rPr>
                <w:sz w:val="20"/>
                <w:szCs w:val="20"/>
                <w:color w:val="auto"/>
              </w:rPr>
            </w:pPr>
          </w:p>
        </w:tc>
      </w:tr>
      <w:tr>
        <w:trPr>
          <w:trHeight w:val="410"/>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20" w:type="dxa"/>
            <w:vAlign w:val="bottom"/>
          </w:tcPr>
          <w:p>
            <w:pPr>
              <w:spacing w:after="0"/>
              <w:rPr>
                <w:sz w:val="18"/>
                <w:szCs w:val="18"/>
                <w:color w:val="auto"/>
              </w:rPr>
            </w:pPr>
          </w:p>
        </w:tc>
      </w:tr>
      <w:tr>
        <w:trPr>
          <w:trHeight w:val="238"/>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20" w:type="dxa"/>
            <w:vAlign w:val="bottom"/>
          </w:tcPr>
          <w:p>
            <w:pPr>
              <w:spacing w:after="0"/>
              <w:rPr>
                <w:sz w:val="20"/>
                <w:szCs w:val="20"/>
                <w:color w:val="auto"/>
              </w:rPr>
            </w:pPr>
          </w:p>
        </w:tc>
      </w:tr>
      <w:tr>
        <w:trPr>
          <w:trHeight w:val="432"/>
        </w:trPr>
        <w:tc>
          <w:tcPr>
            <w:tcW w:w="3200" w:type="dxa"/>
            <w:vAlign w:val="bottom"/>
          </w:tcPr>
          <w:p>
            <w:pPr>
              <w:spacing w:after="0"/>
              <w:rPr>
                <w:sz w:val="24"/>
                <w:szCs w:val="24"/>
                <w:color w:val="auto"/>
              </w:rPr>
            </w:pPr>
          </w:p>
        </w:tc>
        <w:tc>
          <w:tcPr>
            <w:tcW w:w="48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28, 2024</w:t>
            </w:r>
          </w:p>
        </w:tc>
        <w:tc>
          <w:tcPr>
            <w:tcW w:w="3220" w:type="dxa"/>
            <w:vAlign w:val="bottom"/>
          </w:tcPr>
          <w:p>
            <w:pPr>
              <w:spacing w:after="0"/>
              <w:rPr>
                <w:sz w:val="24"/>
                <w:szCs w:val="24"/>
                <w:color w:val="auto"/>
              </w:rPr>
            </w:pPr>
          </w:p>
        </w:tc>
      </w:tr>
      <w:tr>
        <w:trPr>
          <w:trHeight w:val="414"/>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2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20" w:type="dxa"/>
            <w:vAlign w:val="bottom"/>
          </w:tcPr>
          <w:p>
            <w:pPr>
              <w:spacing w:after="0"/>
              <w:rPr>
                <w:sz w:val="20"/>
                <w:szCs w:val="20"/>
                <w:color w:val="auto"/>
              </w:rPr>
            </w:pPr>
          </w:p>
        </w:tc>
      </w:tr>
      <w:tr>
        <w:trPr>
          <w:trHeight w:val="439"/>
        </w:trPr>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40" w:type="dxa"/>
            <w:vAlign w:val="bottom"/>
            <w:gridSpan w:val="5"/>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200" w:type="dxa"/>
            <w:vAlign w:val="bottom"/>
            <w:tcBorders>
              <w:top w:val="single" w:sz="8" w:color="auto"/>
            </w:tcBorders>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20" w:type="dxa"/>
            <w:vAlign w:val="bottom"/>
            <w:gridSpan w:val="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220" w:type="dxa"/>
            <w:vAlign w:val="bottom"/>
          </w:tcPr>
          <w:p>
            <w:pPr>
              <w:spacing w:after="0"/>
              <w:rPr>
                <w:sz w:val="24"/>
                <w:szCs w:val="24"/>
                <w:color w:val="auto"/>
              </w:rPr>
            </w:pPr>
          </w:p>
        </w:tc>
      </w:tr>
      <w:tr>
        <w:trPr>
          <w:trHeight w:val="245"/>
        </w:trPr>
        <w:tc>
          <w:tcPr>
            <w:tcW w:w="3200" w:type="dxa"/>
            <w:vAlign w:val="bottom"/>
            <w:tcBorders>
              <w:bottom w:val="single" w:sz="8" w:color="auto"/>
            </w:tcBorders>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80" w:type="dxa"/>
            <w:vAlign w:val="bottom"/>
            <w:gridSpan w:val="3"/>
          </w:tcPr>
          <w:p>
            <w:pPr>
              <w:spacing w:after="0"/>
              <w:rPr>
                <w:sz w:val="20"/>
                <w:szCs w:val="20"/>
                <w:color w:val="auto"/>
              </w:rPr>
            </w:pPr>
          </w:p>
        </w:tc>
        <w:tc>
          <w:tcPr>
            <w:tcW w:w="322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28, 2023, Agrify Corporation (the “Company”) entered into a purchase agreement (the “Purchase Agreement”) and a registration rights agreement (the “Registration Rights Agreement”), with Ionic Ventures, LLC (“Ionic”), pursuant to which Ionic has committed to purchase up to an aggregate of $15.0 million of the Company’s common stock, par value $0.001 per share (“Common Stock”), subject to certain limitations, from time to time and at the Company’s sole discretion over the term of the Purchase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of the Purchase Agreement, the Company has the right, but not the obligation, to sell to Ionic, and Ionic is obligated to purchase up to $15.0 million of the Company’s Common Stock. Such sales of Common Stock by the Company, if any, will be subject to certain limitations set forth in the Purchase Agreement, and may occur from time to time, at the Company’s sole discretion, over the 36-month period commencing on the date of the Purchase Agreement, including that a registration statement covering the resale by Ionic of shares of Common Stock that have been and may be issued to Ionic under the Purchase Agreement, which the Company agreed to file with the Securities and Exchange Commission (the “SEC”) pursuant to the Registration Rights Agreement, is declared effective by the SEC and a final prospectus relating thereto is filed with the SEC (the date on which all of such conditions are satisfied, the “Commencement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and after the Commencement Date, the Company may from time to time on any business day, by written notice delivered by the Company to Ionic, direct Ionic to purchase between $250,000 and $750,000 of shares of Common Stock on such business day, at a purchase price per share that will be equal to 93% (or 80% if the Common Stock is not then trading on the Nasdaq Capital Market) of the lowest daily VWAP over a specified measurement period beginning after the delivery of the purchase notice, as described further in the Purchase Agreement (each, a “Regular Purchase”). The Purchase Agreement also permits the Company to deliver an exemption purchase notice for $400,000 on the date of signing, with the shares so purchased to be delivered following the Commencement Date, and the Company delivered an exemption purchase notice for $400,000 for the purchase by Ionic of 2,844,672 shares of Common Stock.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control the timing and amount of any sales of Common Stock to Ionic pursuant to the Purchase Agreement. Ionic has no right to require the Company to sell any shares of Common Stock to Ionic, but Ionic is obligated to make purchases as the Company directs, subject to certain conditions.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sales of shares of Common Stock to Ionic will depend on a variety of factors to be determined by the Company from time to time, including, among others, market conditions, the trading price of the Company’s Common Stock and determinations by the Company as to the appropriate sources of funding for the Company and its operations. Ionic will not be required to buy any shares of Common Stock on any trading day on which the closing price of the Common Stock is below $0.25. The net proceeds under the Purchase Agreement to the Company will depend on the frequency and prices at which the Company sells shares of its stock to Ionic. The Company expects that any proceeds received by the Company from such sales to Ionic will be used to support its operations, for working capital and for other general corporate purposes.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number of shares that the Company can issue to Ionic under the Purchase Agreement may in no case exceed 2,844,672 shares (subject to adjustment as described above) of the Common Stock (which is equal to approximately 19.99% of the shares of the Common Stock outstanding immediately prior to the execution of the Purchase Agreement) (the “Exchange Cap”), unless (i) stockholder approval is obtained to issue Purchase Shares above the Exchange Cap, or (ii) the average price of all applicable sales of Common Stock to Ionic under the Purchase Agreement equals or exceeds $0.25668 per share (representing the average official closing price of the Common Stock on Nasdaq for the five consecutive trading days ending on the trading day immediately preceding the date of the Purchase Agreement), so that the Exchange Cap limitation would not apply to issuances and sales of Common Stock under the Purchase Agreement pursuant to the rules of The Nasdaq Capital Market.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Purchase Agreement prohibits the Company from directing Ionic to purchase any shares of Common Stock if those shares, when aggregated with all other shares of Common Stock then beneficially owned by Ionic (as calculated pursuant to Section 13(d) of the Securities Exchange Act of 1934, as amended, and Rule 13d-3 thereunder), would result in Ionic beneficially owning more than 4.99% of the outstanding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Ionic has agreed not to engage in or effect, directly or indirectly, for its own principal account or for the principal account of any of its affiliates, any short sales of the Common Stock or hedging transaction that establishes a net short position in the Common Stock during the term of the Purchase Agreement.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Registration Rights Agreement, the Company agreed to file one or more registration statements, as necessary, to register under the Securities Act the resale of all of the shares of Common Stock that may, from time to time, be issued or become issuable to Ionic under the Purchase Agreement and the Registration Rights Agreement. The Registration Rights Agreement requires that the Company file, within 30 days after signing, a resale registration statement and use commercially reasonable efforts to have such resale registration statement declared effective by the SEC on or before the earlier of (i) 60 days after signing (or 90 days if such registration statement is subject to full review by the SEC) and (ii) the 2nd business day after the Company is notified it will not be subject to further SEC review. If the Company fails to have such registration statement filed by the specified deadline or declared effective by the specified deadline, then the Company will be required to issue to Ionic 250,000 shares of Common Stock within 2 trading days after such failure.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Agreement and the Registration Rights Agreement contain customary representations, warranties, conditions and indemnification obligations of the parties. The Company has the right to terminate the Purchase Agreement at any time, provided that if at the time of termination the Company has sold less than $5 million in Common Stock to Ionic under the Purchase Agreement, the Company shall pay an additional commitment fee of $300,000, which may be paid either in cash or in shares of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Registration Rights Agreement are qualified in their entirety by reference to the full text of such agreements, copies of which are attached hereto as Exhibits 10.1 and 10.2, respectively, and each of which is incorporated herein in its entirety by reference.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shares of common stock in any state or jurisdiction in which such an offer, solicitation or sale would be unlawful prior to registration or qualification under the securities laws of any such state or other jurisdiction.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 Amendments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on June 30, 2024, the Company amended the terms of a pre-funded warrant (the “CP Warrant”) held by CP Acquisitions, LLC (“CP”), an entity affiliated with and controlled by Raymond Chang, the Chairman and Chief Executive Officer of the Company, and a pre-funded warrant (the “GIC Warrant”) held by GIC Acquisition LLC (“GIC”), an entity that is affiliated with and controlled by Mr. Chang and by I-Tseng Jenny Chan, a member of the Company’s Board of Directors. Among other things, the June 30, 2024 amendments removed certain adjustment provisions (the “Adjustment Provisions”) from the CP Warrant and the GIC Warrant. Pursuant to the Adjustment Provisions, each time the Company consummated any bona fide equity financing with the primary purpose of raising capital, then the number of shares of common stock underlying the CP Warrant or the GIC Warrant, as applicable, would be increased to an amount equal to (i) the amount of the convertible note that was originally converted into CP Warrant or the GIC Warrant, as applicable, divided by (ii) the purchase or conversion price in the equity financing transaction, subject to proportional adjustment in the event the CP Warrant or GIC Warrant, as applicable, has been partially exercised.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Also as previously reported, on August 12, 2024, the shareholders of the Company approved a proposal to amend the CP Warrant and the GIC Warrant to add the Adjustment Provisions at a future date. Pursuant to that approval, on August 28, 2024, immediately prior to the execution of the Purchase Agreement, the Company entered into an amendment to the CP Warrant (the “CP Warrant Amendment”) and an amendment to the GIC Warrant (the “GIC Warrant Amendment). The CP Warrant Amendment and the GIC Warrant Amendment inserted the Adjustment Provisions into the CP Warrant and the GIC Warrant, respectively. As a result of the CP Warrant Amendment and the GIC Warrant Amendment and the subsequent issuance of 2,844,672 shares of Common Stock to Ionic pursuant to the Purchase Agreement at an effective purchase price of approximately $0.1406 per share of Common Stock, the number of shares of Common Stock underlying the CP Warrant was adjusted to 81,784,320 and the number of shares of Common Stock underlying the GIC Warrant was adjusted to 16,276,832. As a result of such adjustment and the issuance to Ionic, CP agreed not to exercise the CP Warrant for more than 4,000,000 shares of Common Stock or to convert its outstanding convertible notes, and GIC agreed not to exercise the GIC Warrant for more than 7,383,053 shares of Common Stock, in each case until the Company completes a reverse stock split or increase in authorized shares resulting in sufficient authorized but unissued shares to permit such conversion or exercise.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CP Warrant Amendment and the GIC Warrant Amendment are qualified in their entirety by reference to the full text of such documents, copies of which are attached hereto as Exhibits 10.3 and 10.4, respectively, and each of which is incorporated herein in its entirety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above under Item 1.01 of this Current Report on Form 8-K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7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Purchase Agreement, dated as of August 28, 2024, by and between Agrify Corporation and Ionic Ventures,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7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Registration Rights Agreement, dated as of August 28, 2024, by and between Agrify Corporation and Ionic Ventures,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7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to Pre-Funded Common Stock Purchase Warrant, dated as of August 28, 2024, by and between Agrify Corporation and CP</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Acquisitions,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7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to Pre-Funded Common Stock Purchase Warrant, dated as of August 28, 2024, by and between Agrify Corporation and GIC</w:t>
            </w: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Acquisition LLC</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7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29,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as of August 28, 2024, by and between Agrify Corporation, a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signatory hereto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this Agreement, the Company wishes to sell to the Investor, and the Investor wishes to buy from the Company, up to Fifteen Million Dollars ($15,000,000) of Common Stock of the Company,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shares of Common Stock to be purchased hereunder are referred to herein as the “</w:t>
      </w:r>
      <w:r>
        <w:rPr>
          <w:rFonts w:ascii="Times New Roman" w:cs="Times New Roman" w:eastAsia="Times New Roman" w:hAnsi="Times New Roman"/>
          <w:sz w:val="18"/>
          <w:szCs w:val="18"/>
          <w:u w:val="single" w:color="auto"/>
          <w:color w:val="auto"/>
        </w:rPr>
        <w:t>Purchase Shares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offer and sale of the Common Stock issuable hereunder will be made in reliance upon Section 4(a)(2) under the Securities Act 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upon such other exemption from the registration requirements of the Securities Act as may be available with respect to any or all of the transactions to be made 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Investor hereby agree as follows:</w:t>
      </w:r>
    </w:p>
    <w:p>
      <w:pPr>
        <w:spacing w:after="0" w:line="15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5"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89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xml:space="preserve">” means, initially, Fifteen Million Dollars ($15,000,000) in the aggregate, which amount shall be reduced by the Purchase Amount each time the Investor purchases shares of Common Stock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9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Market is open for trading, including any day on which the Principal Market is open for trading for a period of time less than the customary time.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Sale Price</w:t>
      </w:r>
      <w:r>
        <w:rPr>
          <w:rFonts w:ascii="Times New Roman" w:cs="Times New Roman" w:eastAsia="Times New Roman" w:hAnsi="Times New Roman"/>
          <w:sz w:val="18"/>
          <w:szCs w:val="18"/>
          <w:color w:val="auto"/>
        </w:rPr>
        <w:t>” means, for any security as of any date, the last closing sale price for such security on the Principal Market as reported by the Principal Market.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9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information disclosed by either party to the other party, either directly or indirectly, in writing, orally or by inspection of tangible objects (including, without limitation, documents, prototypes, samples, plant and equipment), which is designated as “Confidential,” “Proprietary” or some similar designation. Information communicated orally shall be considered Confidential Information if such information is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w:t>
      </w:r>
    </w:p>
    <w:p>
      <w:pPr>
        <w:spacing w:after="0" w:line="3"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without confidential restriction at the time of disclosure by the disclosing party as shown by the receiving party’s files and records immediately prior to the time of disclosure; (iv) is obtained by the receiving party from a third party without a breach of such third party’s obligations of confidentiality; (v) is independently developed by the receiving party without use of or reference to the disclosing party’s Confidential Information, as shown by documents and other competent evidence in the receiving party’s possession; or (vi) is required by law to be disclosed by the receiving party, provided that the receiving party gives the disclosing party prompt written notice of such requirement prior to such disclosure and assistance in obtaining an order protecting the information from public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860" w:hanging="224"/>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or any successor performing substantially the same function for the Company.</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9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 Shares</w:t>
      </w:r>
      <w:r>
        <w:rPr>
          <w:rFonts w:ascii="Times New Roman" w:cs="Times New Roman" w:eastAsia="Times New Roman" w:hAnsi="Times New Roman"/>
          <w:sz w:val="18"/>
          <w:szCs w:val="18"/>
          <w:color w:val="auto"/>
        </w:rPr>
        <w:t>” means shares of Common Stock that are (i) issued in electronic form, (ii) freely tradable and transferable and without restriction on resale and (iii) timely credited by the Company to the Investor’s or its designee’s specified Deposit/Withdrawal at Custodian (DWAC) account with DTC under its Fast Automated Securities Transfer (FAST) Program, or any similar program hereafter adopted by DTC performing substantially the same function.</w:t>
      </w:r>
    </w:p>
    <w:p>
      <w:pPr>
        <w:spacing w:after="0" w:line="179"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8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Exemption Purchase Measurement Period</w:t>
      </w:r>
      <w:r>
        <w:rPr>
          <w:rFonts w:ascii="Times New Roman" w:cs="Times New Roman" w:eastAsia="Times New Roman" w:hAnsi="Times New Roman"/>
          <w:sz w:val="18"/>
          <w:szCs w:val="18"/>
          <w:color w:val="auto"/>
        </w:rPr>
        <w:t>” means the period starting on the day that the Investor receives the Exemption Purchase Notice and ending on the Trading Day upon which the aggregate dollar volume of the Common Stock traded on the Principal Market equals seven (7) times the Purchase Amount, in the aggregate, subject to a ten (10) Trading Day minimum; provided that the calculation of the dollar volume of the Common Stock traded on the Principal Market for purposes of this definition will begin on the day following the delivery of Pre-Settlement Regular Purchase Shares from an effective Registration Statement.</w:t>
      </w:r>
    </w:p>
    <w:p>
      <w:pPr>
        <w:spacing w:after="0" w:line="183" w:lineRule="exact"/>
        <w:rPr>
          <w:rFonts w:ascii="Times New Roman" w:cs="Times New Roman" w:eastAsia="Times New Roman" w:hAnsi="Times New Roman"/>
          <w:sz w:val="18"/>
          <w:szCs w:val="18"/>
          <w:color w:val="auto"/>
        </w:rPr>
      </w:pPr>
    </w:p>
    <w:p>
      <w:pPr>
        <w:ind w:left="-20" w:firstLine="656"/>
        <w:spacing w:after="0" w:line="282" w:lineRule="auto"/>
        <w:tabs>
          <w:tab w:leader="none" w:pos="8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Exemption Purchase Notice</w:t>
      </w:r>
      <w:r>
        <w:rPr>
          <w:rFonts w:ascii="Times New Roman" w:cs="Times New Roman" w:eastAsia="Times New Roman" w:hAnsi="Times New Roman"/>
          <w:sz w:val="18"/>
          <w:szCs w:val="18"/>
          <w:color w:val="auto"/>
        </w:rPr>
        <w:t xml:space="preserve">” means, with respect to any Exemption Purchase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an irrevocable written notice from the Company to the Investor directing the Investor to buy such applicable amount of Purchase Shares as specified by the Company therein.</w:t>
      </w:r>
    </w:p>
    <w:p>
      <w:pPr>
        <w:spacing w:after="0" w:line="161" w:lineRule="exact"/>
        <w:rPr>
          <w:rFonts w:ascii="Times New Roman" w:cs="Times New Roman" w:eastAsia="Times New Roman" w:hAnsi="Times New Roman"/>
          <w:sz w:val="18"/>
          <w:szCs w:val="18"/>
          <w:color w:val="auto"/>
        </w:rPr>
      </w:pPr>
    </w:p>
    <w:p>
      <w:pPr>
        <w:jc w:val="both"/>
        <w:ind w:left="-20" w:right="20" w:firstLine="656"/>
        <w:spacing w:after="0" w:line="266" w:lineRule="auto"/>
        <w:tabs>
          <w:tab w:leader="none" w:pos="8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Exemption Purchase Notice Date</w:t>
      </w:r>
      <w:r>
        <w:rPr>
          <w:rFonts w:ascii="Times New Roman" w:cs="Times New Roman" w:eastAsia="Times New Roman" w:hAnsi="Times New Roman"/>
          <w:sz w:val="18"/>
          <w:szCs w:val="18"/>
          <w:color w:val="auto"/>
        </w:rPr>
        <w:t xml:space="preserve">” means, with respect to an Exemption Purchase made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the Business Day on which the Investor receives, after 4:00 p.m., Eastern time, but prior to 5:00 p.m., Eastern time, on such Business Day, a valid Exemption Purchase Notice for such Exemption Purchase in accordance with this Agreement.</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9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Exemption Purchase Price</w:t>
      </w:r>
      <w:r>
        <w:rPr>
          <w:rFonts w:ascii="Times New Roman" w:cs="Times New Roman" w:eastAsia="Times New Roman" w:hAnsi="Times New Roman"/>
          <w:sz w:val="18"/>
          <w:szCs w:val="18"/>
          <w:color w:val="auto"/>
        </w:rPr>
        <w:t xml:space="preserve">” means, with respect to any Exemption Purchase made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93% (or, if the Common Stock is suspended from trading or delisted from the Principal Market at any time after the Commencement Date, 80%) (the “</w:t>
      </w:r>
      <w:r>
        <w:rPr>
          <w:rFonts w:ascii="Times New Roman" w:cs="Times New Roman" w:eastAsia="Times New Roman" w:hAnsi="Times New Roman"/>
          <w:sz w:val="18"/>
          <w:szCs w:val="18"/>
          <w:u w:val="single" w:color="auto"/>
          <w:color w:val="auto"/>
        </w:rPr>
        <w:t>EPP Percentage</w:t>
      </w:r>
      <w:r>
        <w:rPr>
          <w:rFonts w:ascii="Times New Roman" w:cs="Times New Roman" w:eastAsia="Times New Roman" w:hAnsi="Times New Roman"/>
          <w:sz w:val="18"/>
          <w:szCs w:val="18"/>
          <w:color w:val="auto"/>
        </w:rPr>
        <w:t>”) of the lowest daily VWAP during an Exemption Purchase Measurement Period (in each case, to be appropriately adjusted for any reorganization, recapitalization, non-cash dividend, share split or other similar transaction that occurs on or after the date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7" w:name="page8"/>
    <w:bookmarkEnd w:id="7"/>
    <w:p>
      <w:pPr>
        <w:jc w:val="both"/>
        <w:ind w:firstLine="656"/>
        <w:spacing w:after="0" w:line="266" w:lineRule="auto"/>
        <w:tabs>
          <w:tab w:leader="none" w:pos="9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xml:space="preserve">” means $0.25, which shall be appropriately adjusted for any reorganization, recapitalization, non-cash dividend, share split or other similar transaction and, effective upon the consummation of any such reorganization, recapitalization, non-cash dividend, share split or other similar transaction, the Floor Price shall mean the </w:t>
      </w:r>
      <w:r>
        <w:rPr>
          <w:rFonts w:ascii="Times New Roman" w:cs="Times New Roman" w:eastAsia="Times New Roman" w:hAnsi="Times New Roman"/>
          <w:sz w:val="18"/>
          <w:szCs w:val="18"/>
          <w:u w:val="single" w:color="auto"/>
          <w:color w:val="auto"/>
        </w:rPr>
        <w:t>lower</w:t>
      </w:r>
      <w:r>
        <w:rPr>
          <w:rFonts w:ascii="Times New Roman" w:cs="Times New Roman" w:eastAsia="Times New Roman" w:hAnsi="Times New Roman"/>
          <w:sz w:val="18"/>
          <w:szCs w:val="18"/>
          <w:color w:val="auto"/>
        </w:rPr>
        <w:t xml:space="preserve"> of (i) the adjusted price and (ii) $0.25.</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 otherwise) or prospects of the Company or any Subsidiary,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first day of the month immediately following the thirty-six (36) month anniversary of the Commencement Date.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PEA Period</w:t>
      </w:r>
      <w:r>
        <w:rPr>
          <w:rFonts w:ascii="Times New Roman" w:cs="Times New Roman" w:eastAsia="Times New Roman" w:hAnsi="Times New Roman"/>
          <w:sz w:val="18"/>
          <w:szCs w:val="18"/>
          <w:color w:val="auto"/>
        </w:rPr>
        <w:t>” means the period commencing at 9:30 a.m., Eastern time, on the tenth (10th) Business Day immediately prior to the filing of any post-effective amendment to the Registration Statement (as defined herein) or New Registration Statement (as such term is defined in the Registration Rights Agreement), and ending at 9:30 a.m., Eastern time, on the Business Day immediately following the effective date of such post-effective amendment to the Registration Statement (as defined herein) or such New Registration Statement (as such term is defined in the Registration Rights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82" w:lineRule="auto"/>
        <w:tabs>
          <w:tab w:leader="none" w:pos="8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entity including but not limited to any limited liability company, an exempted company, a partnership, an exempted limited partnership, a joint venture, a corporation, a trust, an unincorporated organization and a government or any department or agency thereof.</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Amount</w:t>
      </w:r>
      <w:r>
        <w:rPr>
          <w:rFonts w:ascii="Times New Roman" w:cs="Times New Roman" w:eastAsia="Times New Roman" w:hAnsi="Times New Roman"/>
          <w:sz w:val="18"/>
          <w:szCs w:val="18"/>
          <w:color w:val="auto"/>
        </w:rPr>
        <w:t xml:space="preserve">” means, with respect to any Regular Purchase made hereunder, the portion of the Available Amount to be purchased by the Investor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means a Regular Purchase Notice with respect to any Regular Purchase or an Exemption Purchase Notice with respect to any Exemption Purchase.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Notice Date</w:t>
      </w:r>
      <w:r>
        <w:rPr>
          <w:rFonts w:ascii="Times New Roman" w:cs="Times New Roman" w:eastAsia="Times New Roman" w:hAnsi="Times New Roman"/>
          <w:sz w:val="18"/>
          <w:szCs w:val="18"/>
          <w:color w:val="auto"/>
        </w:rPr>
        <w:t>” means a Regular Purchase Notice Date with respect to any Regular Purchase or an Exemption Purchase Notice Date with respect to any Exemption Purchase.</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that certain Registration Rights Agreement, of even date herewith between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56"/>
        <w:spacing w:after="0" w:line="258"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Purchase Measurement Period</w:t>
      </w:r>
      <w:r>
        <w:rPr>
          <w:rFonts w:ascii="Times New Roman" w:cs="Times New Roman" w:eastAsia="Times New Roman" w:hAnsi="Times New Roman"/>
          <w:sz w:val="18"/>
          <w:szCs w:val="18"/>
          <w:color w:val="auto"/>
        </w:rPr>
        <w:t>” means the period starting on the Trading Day immediately after the day that the Investor receives the Pre-Settlement Regular Purchase Shares and ending on the Trading Day upon which the aggregate dollar volume of the Common Stock traded on the Principal Market equals seven (7) times the Purchase Amount, in the aggregate, subject to a ten (10) Trading Day minimum; provided, however, that each day on which (i) Investor has requested Purchase Shares which cannot be delivered to Investor or (ii) Purchase Shares are not free trading for any reason, shall be excluded from such calculation.</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Purchase Notice</w:t>
      </w:r>
      <w:r>
        <w:rPr>
          <w:rFonts w:ascii="Times New Roman" w:cs="Times New Roman" w:eastAsia="Times New Roman" w:hAnsi="Times New Roman"/>
          <w:sz w:val="18"/>
          <w:szCs w:val="18"/>
          <w:color w:val="auto"/>
        </w:rPr>
        <w:t xml:space="preserve">” means, with respect to any Regular Purchase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an irrevocable written notice from the Company to the Investor directing the Investor to buy such applicable amount of Purchase Shares as specified by the Company therein.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Purchase Notice Date</w:t>
      </w:r>
      <w:r>
        <w:rPr>
          <w:rFonts w:ascii="Times New Roman" w:cs="Times New Roman" w:eastAsia="Times New Roman" w:hAnsi="Times New Roman"/>
          <w:sz w:val="18"/>
          <w:szCs w:val="18"/>
          <w:color w:val="auto"/>
        </w:rPr>
        <w:t xml:space="preserve">” means, with respect to a Regular Purchase made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the Business Day on which the Investor receives, after 4:00 p.m., Eastern time, but prior to 5:00 p.m., Eastern time, on such Business Day, a valid Regular Purchase Notice for such Regular Purchase in accordance with this Agreement.</w:t>
      </w:r>
    </w:p>
    <w:p>
      <w:pPr>
        <w:spacing w:after="0" w:line="176" w:lineRule="exact"/>
        <w:rPr>
          <w:sz w:val="20"/>
          <w:szCs w:val="20"/>
          <w:color w:val="auto"/>
        </w:rPr>
      </w:pPr>
    </w:p>
    <w:p>
      <w:pPr>
        <w:jc w:val="both"/>
        <w:ind w:firstLine="656"/>
        <w:spacing w:after="0" w:line="261" w:lineRule="auto"/>
        <w:tabs>
          <w:tab w:leader="none" w:pos="9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Purchase Price</w:t>
      </w:r>
      <w:r>
        <w:rPr>
          <w:rFonts w:ascii="Times New Roman" w:cs="Times New Roman" w:eastAsia="Times New Roman" w:hAnsi="Times New Roman"/>
          <w:sz w:val="18"/>
          <w:szCs w:val="18"/>
          <w:color w:val="auto"/>
        </w:rPr>
        <w:t xml:space="preserve">” means, with respect to any Regular Purchase made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93% (or, if the Common Stock is suspended from trading or delisted from the Principal Market at any time after the Commencement Date, 80%) (the “</w:t>
      </w:r>
      <w:r>
        <w:rPr>
          <w:rFonts w:ascii="Times New Roman" w:cs="Times New Roman" w:eastAsia="Times New Roman" w:hAnsi="Times New Roman"/>
          <w:sz w:val="18"/>
          <w:szCs w:val="18"/>
          <w:u w:val="single" w:color="auto"/>
          <w:color w:val="auto"/>
        </w:rPr>
        <w:t>RPP Percentage</w:t>
      </w:r>
      <w:r>
        <w:rPr>
          <w:rFonts w:ascii="Times New Roman" w:cs="Times New Roman" w:eastAsia="Times New Roman" w:hAnsi="Times New Roman"/>
          <w:sz w:val="18"/>
          <w:szCs w:val="18"/>
          <w:color w:val="auto"/>
        </w:rPr>
        <w:t>”) of the lowest daily VWAPs during a Regular Purchase Measurement Period (in each case, to be appropriately adjusted for any reorganization, recapitalization, non-cash dividend, share split or other similar transaction that occurs on or after the date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Delivery Date</w:t>
      </w:r>
      <w:r>
        <w:rPr>
          <w:rFonts w:ascii="Times New Roman" w:cs="Times New Roman" w:eastAsia="Times New Roman" w:hAnsi="Times New Roman"/>
          <w:sz w:val="18"/>
          <w:szCs w:val="18"/>
          <w:color w:val="auto"/>
        </w:rPr>
        <w:t>” means any date on which the Company or the Transfer Agent is required to deliver shares of Common Stock to Investor hereunder and under the Registration Rights Agreement, including, without limitation, Pre-Settlement Regular Purchase Shares, and Settlement Regular Purchase Shares.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collectively, the Purchase Shares and the Exemption Purchase Shares (as defined in Section 2(b)), and Additional Commitment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Market Price</w:t>
      </w:r>
      <w:r>
        <w:rPr>
          <w:rFonts w:ascii="Times New Roman" w:cs="Times New Roman" w:eastAsia="Times New Roman" w:hAnsi="Times New Roman"/>
          <w:sz w:val="18"/>
          <w:szCs w:val="18"/>
          <w:color w:val="auto"/>
        </w:rPr>
        <w:t>” means $0.25668, representing the average official closing price of the Common Stock on Nasdaq (as reflected on Nasdaq.com) for the five (5) consecutive trading days ending on the Trading Day immediately preceding the date of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Person the Company wholly owns or controls, or in which the Company, directly or indirectly, owns a majority of the voting stock, voting shares or similar voting interest, in each case that would be disclosable pursuant to Item 601(b)(21) of Regulation S-K promulgated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56"/>
        <w:spacing w:after="0" w:line="254" w:lineRule="auto"/>
        <w:tabs>
          <w:tab w:leader="none" w:pos="9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during the period beginning at 9:30:01 a.m., New York time, and ending at 4:00:00 p.m., New York time; provided that “Trading Day” shall not include any day on which the Common Stock are scheduled to trade on such exchange or market for less than 4.5 hours or any day that the Common Stock are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Investor or (y) with respect to all determinations other than price determinations relating to the Common Stock, any day on which Nasdaq (or any successor thereto) is open for trading of securities.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and the schedules and exhibits hereto, the Registration Rights Agreement and the schedules and exhibits thereto and each of the other agreements, documents, certificates, and instruments entered into or furnished by the parties hereto in connection with the transactions contemplated hereby and thereby.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Financial Solutions, Inc., the registrar and transfer agent for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9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L.P.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L.P., or, if no dollar volume-weighted average price is reported for such security by Bloomberg, L.P. for such hours, the average of the highest closing bid price and the lowest closing ask price of any of the market makers for such security as reported in the “pink sheets” by OTC Markets Group Inc. (formerly Pink Sheets LLC).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12(a). All such determinations shall be appropriately adjusted for any stock dividend, stock split, stock combination, recapitalization or other similar transaction applicable during such period.</w:t>
      </w:r>
    </w:p>
    <w:p>
      <w:pPr>
        <w:spacing w:after="0" w:line="18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OF SHARES OF COMMON STOCK.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set forth in this Agreement, the Company has the right to sell to the Investor, and the Investor has the obligation to purchase from the Company, Purchase Shares as follows:</w:t>
      </w:r>
    </w:p>
    <w:p>
      <w:pPr>
        <w:spacing w:after="0" w:line="162"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Commencement of Regular Sales of Shares of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2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Regular Purchase Notice</w:t>
      </w:r>
      <w:r>
        <w:rPr>
          <w:rFonts w:ascii="Times New Roman" w:cs="Times New Roman" w:eastAsia="Times New Roman" w:hAnsi="Times New Roman"/>
          <w:sz w:val="18"/>
          <w:szCs w:val="18"/>
          <w:color w:val="auto"/>
        </w:rPr>
        <w:t xml:space="preserve">. Upon the satisfaction of the conditions set forth in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Commencement</w:t>
      </w:r>
      <w:r>
        <w:rPr>
          <w:rFonts w:ascii="Times New Roman" w:cs="Times New Roman" w:eastAsia="Times New Roman" w:hAnsi="Times New Roman"/>
          <w:sz w:val="18"/>
          <w:szCs w:val="18"/>
          <w:color w:val="auto"/>
        </w:rPr>
        <w:t>” and the date of satisfaction of such conditions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the Company shall have the right, but not the obligation, to direct the Investor, by its delivery to the Investor of a Regular Purchase Notice from time to time in accordance with this Agreement, anytime during three (3) years from the date hereof or until earlier termination pursuant to Section 11 (the “</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to purchase any amount between $250,000 and $750,000 (a “</w:t>
      </w:r>
      <w:r>
        <w:rPr>
          <w:rFonts w:ascii="Times New Roman" w:cs="Times New Roman" w:eastAsia="Times New Roman" w:hAnsi="Times New Roman"/>
          <w:sz w:val="18"/>
          <w:szCs w:val="18"/>
          <w:u w:val="single" w:color="auto"/>
          <w:color w:val="auto"/>
        </w:rPr>
        <w:t>Regular Purchase</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4" w:firstLine="644"/>
        <w:spacing w:after="0" w:line="255" w:lineRule="auto"/>
        <w:tabs>
          <w:tab w:leader="none" w:pos="91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Frequency</w:t>
      </w:r>
      <w:r>
        <w:rPr>
          <w:rFonts w:ascii="Times New Roman" w:cs="Times New Roman" w:eastAsia="Times New Roman" w:hAnsi="Times New Roman"/>
          <w:sz w:val="18"/>
          <w:szCs w:val="18"/>
          <w:color w:val="auto"/>
        </w:rPr>
        <w:t xml:space="preserve">. Subject also to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the Company may deliver a Regular Purchase Notice to the Investor as often as every Business Day, so long as (i) there is an effective Registration Statement covering the resale of the Purchase Shares covered by such Regular Purchase Notice, (ii) on any Regular Purchase Notice Date, the Closing Sale Price of the Common Stock is not below the Floor Price, (iii) Purchase Shares for all prior Regular Purchases have theretofore been received by the Investor in accordance with this Agreement, and (iv) no current Regular Purchase Measurement Period or Variable Conversion Measuring Period is running (unless the Company and the Investor mutually agree otherwise in writing). Notwithstanding the foregoing, the Company shall not deliver a Regular Purchase Notice to the Investor during the PEA Period.</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Pre-Settlement</w:t>
      </w:r>
      <w:r>
        <w:rPr>
          <w:rFonts w:ascii="Times New Roman" w:cs="Times New Roman" w:eastAsia="Times New Roman" w:hAnsi="Times New Roman"/>
          <w:sz w:val="18"/>
          <w:szCs w:val="18"/>
          <w:color w:val="auto"/>
        </w:rPr>
        <w:t>. No later than one (1) Trading Day (or such earlier date as required pursuant to the Exchange Act or other applicable law, rule or regulation for the settlement of a trade initiated on the Regular Purchase Notice Date of such shares of Common Stock issuable pursuant to the Regular Purchase) after the Regular Purchase Notice Date, the Company shall cause the Transfer Agent to deliver to the Investor as DWAC Shares such number of shares of Common Stock (the “</w:t>
      </w:r>
      <w:r>
        <w:rPr>
          <w:rFonts w:ascii="Times New Roman" w:cs="Times New Roman" w:eastAsia="Times New Roman" w:hAnsi="Times New Roman"/>
          <w:sz w:val="18"/>
          <w:szCs w:val="18"/>
          <w:u w:val="single" w:color="auto"/>
          <w:color w:val="auto"/>
        </w:rPr>
        <w:t>Pre-Settlement Regular Purchase Shares</w:t>
      </w:r>
      <w:r>
        <w:rPr>
          <w:rFonts w:ascii="Times New Roman" w:cs="Times New Roman" w:eastAsia="Times New Roman" w:hAnsi="Times New Roman"/>
          <w:sz w:val="18"/>
          <w:szCs w:val="18"/>
          <w:color w:val="auto"/>
        </w:rPr>
        <w:t>”) equal to the product of the quotient of</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Amount divided by (z) the Pre-Settlement Regular Purchase Price (as defined below), and as to which the Holder shall be the owner thereof as of such time of delivery of such Pre-Settlement Regular Purchase Shares. The “</w:t>
      </w:r>
      <w:r>
        <w:rPr>
          <w:rFonts w:ascii="Times New Roman" w:cs="Times New Roman" w:eastAsia="Times New Roman" w:hAnsi="Times New Roman"/>
          <w:sz w:val="18"/>
          <w:szCs w:val="18"/>
          <w:u w:val="single" w:color="auto"/>
          <w:color w:val="auto"/>
        </w:rPr>
        <w:t>Pre-Settlement Regular Purchase Price</w:t>
      </w:r>
      <w:r>
        <w:rPr>
          <w:rFonts w:ascii="Times New Roman" w:cs="Times New Roman" w:eastAsia="Times New Roman" w:hAnsi="Times New Roman"/>
          <w:sz w:val="18"/>
          <w:szCs w:val="18"/>
          <w:color w:val="auto"/>
        </w:rPr>
        <w:t>” means 90% of the Closing Price on the date immediately preceding the Regular Purchase Notice Date or 80% of the Closing Price on the date immediately preceding the Regular Purchase Notice Date if an Event of Default occurs and for so long as such Event of Default remains uncured. All such determinations shall be appropriately adjusted for any share split, share dividend, share combination or other similar transaction during any such measuring period. Investor shall have the right to request additional Pre-Settlement Regular Purchase Shares during the Regular Purchase Measurement Period at any time there is an anticipated shortfall as reasonably determined by Investor and the obligation to return any delivered Pre-Settlement Regular Purchase Shares that results in an overage after the Regular Purchase Measurement Period has ended.</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Regular Purchase Shares</w:t>
      </w:r>
      <w:r>
        <w:rPr>
          <w:rFonts w:ascii="Times New Roman" w:cs="Times New Roman" w:eastAsia="Times New Roman" w:hAnsi="Times New Roman"/>
          <w:sz w:val="18"/>
          <w:szCs w:val="18"/>
          <w:color w:val="auto"/>
        </w:rPr>
        <w:t>. If the Company delivers a valid Regular Purchase Notice to Investor and delivers the Pre-Settlement Regular Purchase Shares in accordance with the terms herein, then the Investor shall pay to the Company an amount equal to the Purchase Amount with respect to such Regular Purchase as full payment for such Purchase Shares via wire transfer of immediately available funds on the first Business Day following the date that the Investor receives the Pre-Settlement Regular Purchase Shares, if such Purchase Shares are received by the Investor before 1:00 p.m., Eastern time, or, if such Purchase Shares are received by the Investor after 1:00 p.m., Eastern time, the following Business Day.</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No later than one (1) Trading Day after the Regular Purchase Measurement Period (the “</w:t>
      </w:r>
      <w:r>
        <w:rPr>
          <w:rFonts w:ascii="Times New Roman" w:cs="Times New Roman" w:eastAsia="Times New Roman" w:hAnsi="Times New Roman"/>
          <w:sz w:val="18"/>
          <w:szCs w:val="18"/>
          <w:u w:val="single" w:color="auto"/>
          <w:color w:val="auto"/>
        </w:rPr>
        <w:t>Regular Purchase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Company shall cause the Transfer Agent to deliver to the Investor as DWAC Shares such number of shares of Common Stock (the “</w:t>
      </w:r>
      <w:r>
        <w:rPr>
          <w:rFonts w:ascii="Times New Roman" w:cs="Times New Roman" w:eastAsia="Times New Roman" w:hAnsi="Times New Roman"/>
          <w:sz w:val="18"/>
          <w:szCs w:val="18"/>
          <w:u w:val="single" w:color="auto"/>
          <w:color w:val="auto"/>
        </w:rPr>
        <w:t>Settlement Regular Purchase Shares</w:t>
      </w:r>
      <w:r>
        <w:rPr>
          <w:rFonts w:ascii="Times New Roman" w:cs="Times New Roman" w:eastAsia="Times New Roman" w:hAnsi="Times New Roman"/>
          <w:sz w:val="18"/>
          <w:szCs w:val="18"/>
          <w:color w:val="auto"/>
        </w:rPr>
        <w:t>”) equal to the Purchase Amount divided by the Regular Purchase Price. The number of shares of Common Stock to be delivered on the Regular Purchase Settlement Date shall be reduced by the number of Pre-Settlement Regular Purchase Shares delivered. Notwithstanding anything herein to the contrary, if the number of Pre-Settlement Regular Purchase Shares delivered to the Investor exceeds the number of Settlement Regular Purchase Shares, then the Investor shall return such excess shares.</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jc w:val="both"/>
        <w:ind w:left="4" w:firstLine="644"/>
        <w:spacing w:after="0" w:line="258" w:lineRule="auto"/>
        <w:tabs>
          <w:tab w:leader="none" w:pos="97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 Adjustment</w:t>
      </w:r>
      <w:r>
        <w:rPr>
          <w:rFonts w:ascii="Times New Roman" w:cs="Times New Roman" w:eastAsia="Times New Roman" w:hAnsi="Times New Roman"/>
          <w:sz w:val="18"/>
          <w:szCs w:val="18"/>
          <w:color w:val="auto"/>
        </w:rPr>
        <w:t>. If an Event of Default occurs between the Regular Purchase Notice Date and any time through the Regular Purchase Settlement Date, then (i) the RPP Percentage shall be automatically adjusted to 80% for so long as such Event of Default remains uncured (provided, however, that if the Company is in default under Section 10(b), then the RPP Percentage shall be automatically adjusted to 85%) and (ii) the Investor shall be entitled to all the rights hereunder as if such Event of Default occurred immediately prior to such Regular Purchase Notice Date.</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 Purchases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Exemption Purchase Notice</w:t>
      </w:r>
      <w:r>
        <w:rPr>
          <w:rFonts w:ascii="Times New Roman" w:cs="Times New Roman" w:eastAsia="Times New Roman" w:hAnsi="Times New Roman"/>
          <w:sz w:val="18"/>
          <w:szCs w:val="18"/>
          <w:color w:val="auto"/>
        </w:rPr>
        <w:t>. Subject to the Exchange Cap and the Beneficial Ownership Limitation, the Company shall be permitted to deliver one irrevocable written notice (an “</w:t>
      </w:r>
      <w:r>
        <w:rPr>
          <w:rFonts w:ascii="Times New Roman" w:cs="Times New Roman" w:eastAsia="Times New Roman" w:hAnsi="Times New Roman"/>
          <w:sz w:val="18"/>
          <w:szCs w:val="18"/>
          <w:u w:val="single" w:color="auto"/>
          <w:color w:val="auto"/>
        </w:rPr>
        <w:t>Exemption Purchase Notice</w:t>
      </w:r>
      <w:r>
        <w:rPr>
          <w:rFonts w:ascii="Times New Roman" w:cs="Times New Roman" w:eastAsia="Times New Roman" w:hAnsi="Times New Roman"/>
          <w:sz w:val="18"/>
          <w:szCs w:val="18"/>
          <w:color w:val="auto"/>
        </w:rPr>
        <w:t>”) to the Investor directing the Investor to buy such applicable amount of Purchase Shares (the “</w:t>
      </w:r>
      <w:r>
        <w:rPr>
          <w:rFonts w:ascii="Times New Roman" w:cs="Times New Roman" w:eastAsia="Times New Roman" w:hAnsi="Times New Roman"/>
          <w:sz w:val="18"/>
          <w:szCs w:val="18"/>
          <w:u w:val="single" w:color="auto"/>
          <w:color w:val="auto"/>
        </w:rPr>
        <w:t>Exemption Purchase Shares</w:t>
      </w:r>
      <w:r>
        <w:rPr>
          <w:rFonts w:ascii="Times New Roman" w:cs="Times New Roman" w:eastAsia="Times New Roman" w:hAnsi="Times New Roman"/>
          <w:sz w:val="18"/>
          <w:szCs w:val="18"/>
          <w:color w:val="auto"/>
        </w:rPr>
        <w:t>”) as specified by the Company therein in an amount not to exceed Four Hundred Thousand Dollars ($400,000) (the “</w:t>
      </w:r>
      <w:r>
        <w:rPr>
          <w:rFonts w:ascii="Times New Roman" w:cs="Times New Roman" w:eastAsia="Times New Roman" w:hAnsi="Times New Roman"/>
          <w:sz w:val="18"/>
          <w:szCs w:val="18"/>
          <w:u w:val="single" w:color="auto"/>
          <w:color w:val="auto"/>
        </w:rPr>
        <w:t>Exemption Amount</w:t>
      </w:r>
      <w:r>
        <w:rPr>
          <w:rFonts w:ascii="Times New Roman" w:cs="Times New Roman" w:eastAsia="Times New Roman" w:hAnsi="Times New Roman"/>
          <w:sz w:val="18"/>
          <w:szCs w:val="18"/>
          <w:color w:val="auto"/>
        </w:rPr>
        <w:t>”), which amount shall be reduced by the Purchase Amount each time the Investor purchases Common Stock pursuant to an Exemption Purchase Notice (an “</w:t>
      </w:r>
      <w:r>
        <w:rPr>
          <w:rFonts w:ascii="Times New Roman" w:cs="Times New Roman" w:eastAsia="Times New Roman" w:hAnsi="Times New Roman"/>
          <w:sz w:val="18"/>
          <w:szCs w:val="18"/>
          <w:u w:val="single" w:color="auto"/>
          <w:color w:val="auto"/>
        </w:rPr>
        <w:t>Exemption Purchase</w:t>
      </w:r>
      <w:r>
        <w:rPr>
          <w:rFonts w:ascii="Times New Roman" w:cs="Times New Roman" w:eastAsia="Times New Roman" w:hAnsi="Times New Roman"/>
          <w:sz w:val="18"/>
          <w:szCs w:val="18"/>
          <w:color w:val="auto"/>
        </w:rPr>
        <w:t>”). Such purchases shall be subject to Section 2(a) herein, with “EPP Percentage” replacing “RPP Percentage”, with “Exemption Purchase Measurement Period” replacing “Regular Purchase Measurement Period”, with “Exemption Purchase Notice” replacing “Regular Purchase Notice” and with “Exemption Purchase Notice Date” replacing “Regular Purchase Notice Date” for all purposes hereunder with respect to such Exemption Purchase, with Section 2(a)(iii) being inapplicable with no obligation to deliver Pre-Settlement Regular Purchase Shares until there is an effective Registration Statement, and with Section 2(a)(iv) being replaced by the following with respect to such Exemption Purchase:</w:t>
      </w:r>
    </w:p>
    <w:p>
      <w:pPr>
        <w:spacing w:after="0" w:line="194"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If the Company delivers a valid Exemption Purchase Notice to Investor, Investor shall pay to the Company an amount equal to the Purchase Amount with respect to such Exemption Purchase as full payment for such Purchase Shares via wire transfer of immediately available funds on the first Business Day following the date that the Investor receives the Exemption Purchase Notice.</w:t>
      </w:r>
    </w:p>
    <w:p>
      <w:pPr>
        <w:spacing w:after="0" w:line="176" w:lineRule="exact"/>
        <w:rPr>
          <w:sz w:val="20"/>
          <w:szCs w:val="20"/>
          <w:color w:val="auto"/>
        </w:rPr>
      </w:pPr>
    </w:p>
    <w:p>
      <w:pPr>
        <w:jc w:val="both"/>
        <w:ind w:left="4" w:firstLine="644"/>
        <w:spacing w:after="0" w:line="255" w:lineRule="auto"/>
        <w:tabs>
          <w:tab w:leader="none" w:pos="9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permitted to deliver one Exemption Purchase Notice (the “</w:t>
      </w:r>
      <w:r>
        <w:rPr>
          <w:rFonts w:ascii="Times New Roman" w:cs="Times New Roman" w:eastAsia="Times New Roman" w:hAnsi="Times New Roman"/>
          <w:sz w:val="18"/>
          <w:szCs w:val="18"/>
          <w:u w:val="single" w:color="auto"/>
          <w:color w:val="auto"/>
        </w:rPr>
        <w:t>Initial Exemption Purchase Notice</w:t>
      </w:r>
      <w:r>
        <w:rPr>
          <w:rFonts w:ascii="Times New Roman" w:cs="Times New Roman" w:eastAsia="Times New Roman" w:hAnsi="Times New Roman"/>
          <w:sz w:val="18"/>
          <w:szCs w:val="18"/>
          <w:color w:val="auto"/>
        </w:rPr>
        <w:t>”) on the date of the execution of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for a Purchase Amount of Four Hundred Thousand Dollars ($400,000) for 2,844,672 Exemption Purchase Shares (the “Initial Exemption Purchase Shares”). The Initial Exemption Purchase Notice shall not be subject to any Exemption Purchase Measurement Period. The Initial Exemption Purchase Shares issuable pursuant to the Initial Exemption Purchase Notice shall not be subject to any adjustment pursuant to Section 2(a)(iii) or 2(a)(iv), but shall be equitably adjusted in the event of any reorganization, recapitalization, non-cash dividend, share split or other similar transaction that occurs on or after the date of the Initial Exemption Purchase Notice but prior to the delivery of the Initial Exemption Purchase Shares thereunder.</w:t>
      </w:r>
    </w:p>
    <w:p>
      <w:pPr>
        <w:spacing w:after="0" w:line="188" w:lineRule="exact"/>
        <w:rPr>
          <w:rFonts w:ascii="Times New Roman" w:cs="Times New Roman" w:eastAsia="Times New Roman" w:hAnsi="Times New Roman"/>
          <w:sz w:val="18"/>
          <w:szCs w:val="18"/>
          <w:color w:val="auto"/>
        </w:rPr>
      </w:pPr>
    </w:p>
    <w:p>
      <w:pPr>
        <w:ind w:left="4" w:firstLine="644"/>
        <w:spacing w:after="0" w:line="282" w:lineRule="auto"/>
        <w:tabs>
          <w:tab w:leader="none" w:pos="9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Exemption Purchase Notices that are not in accordance with the terms and provisions of the Purchase Agreement shall be subject to Investor’s approval.</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 w:name="page13"/>
    <w:bookmarkEnd w:id="12"/>
    <w:p>
      <w:pPr>
        <w:jc w:val="both"/>
        <w:ind w:left="4" w:right="20" w:firstLine="644"/>
        <w:spacing w:after="0" w:line="266" w:lineRule="auto"/>
        <w:tabs>
          <w:tab w:leader="none" w:pos="99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Exemption Purchase Notice other than the Initial Exemption Purchase Notice, the Investor shall receive an up to an additional 50,000 Exemption Purchase Shares for each $100,000 of the Purchase Amount under the applicable Exemption Purchase Notice in connection with the delivery of such Exemption Purchase Notice.</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3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on the Trading Day (or such earlier date as required pursuant to the Exchange Act or other applicable law, rule or regulation for the settlement of a trade initiated on the Exemption Purchase Notice Date of such shares of Common Stock issuable pursuant to the Exemption Purchase) immediately following the date of effectiveness of the Registration Statement, subject to the limitations set forth in Section 2(d) and Section 2(e), the Company shall cause the Transfer Agent to deliver to the Investor as DWAC Shares the Exemption Purchase Shares.</w:t>
      </w:r>
    </w:p>
    <w:p>
      <w:pPr>
        <w:spacing w:after="0" w:line="18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Principal Market Rules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Company shall not be required or permitted to issue, and the Investor shall not be required to purchase, any shares of Common Stock under this Agreement if such issuance would violate the rules or regulations of the Principal Market.</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2(d)(iii) below, from the Commencement Date until the Stockholder Approval is obtained, the Company shall not issue or sell any shares of Common Stock pursuant to this Agreement, and the Investor shall not purchase or acquire any shares of Common Stock pursuant to this Agreement, to the extent that after giving effect thereto, the aggregate number of shares of Common Stock that would be issued pursuant to this Agreement and the transactions contemplated hereby would exceed 2,844,672 (such number of shares equal to 19.99% of the shares of Common Stock issued and outstanding immediately prior to the execution of this Agreement), which number of shares shall be (i) reduced, on a share-for-share basis, by the number of shares of Common Stock issued or issuable pursuant to any transaction or series of transactions that may be aggregated with the transactions contemplated by this Agreement under applicable rules of Nasdaq and (ii) appropriately adjusted for any reorganization, recapitalization, non-cash dividend, stock split or other similar transaction that occurs after the date of this Agreement (such maximum number of shares, the “Exchange Cap”).</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2(d)(ii) above, the Exchange Cap shall not be applicable for any purposes of this Agreement and the transactions contemplated hereby, solely to the extent that (and only for so long as) the average per share purchase price of all shares of Common Stock issued pursuant to this Agreement shall equal or exceed the Signing Market Price (it being hereby acknowledged and agreed that the Exchange Cap shall be applicable for all purposes of this Agreement and the transactions contemplated hereby at all other times during the term of this Agreement, unless the Stockholder Approval is obtained).</w:t>
      </w:r>
    </w:p>
    <w:p>
      <w:pPr>
        <w:spacing w:after="0" w:line="183" w:lineRule="exact"/>
        <w:rPr>
          <w:rFonts w:ascii="Times New Roman" w:cs="Times New Roman" w:eastAsia="Times New Roman" w:hAnsi="Times New Roman"/>
          <w:sz w:val="18"/>
          <w:szCs w:val="18"/>
          <w:color w:val="auto"/>
        </w:rPr>
      </w:pPr>
    </w:p>
    <w:p>
      <w:pPr>
        <w:ind w:left="4" w:firstLine="644"/>
        <w:spacing w:after="0" w:line="282" w:lineRule="auto"/>
        <w:tabs>
          <w:tab w:leader="none" w:pos="9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2(d) shall be implemented in a manner otherwise than in strict conformity with the terms hereof only if necessary to ensure compliance with the Securities Act and the rules and regulations of the Principal Market.</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jc w:val="both"/>
        <w:ind w:firstLine="656"/>
        <w:spacing w:after="0" w:line="255" w:lineRule="auto"/>
        <w:tabs>
          <w:tab w:leader="none" w:pos="8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Notwithstanding anything to the contrary contained in this Agreement, the Company shall not issue or sell, 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and its affiliates of more than 4.99% of the then issued and outstanding shares of Common Stock of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Upon the written or oral request of the Investor, the Company shall promptly (but not later than twenty-four (24) hours after the request) confirm orally or in writing to the Investor the amount of shares of Common Stock then outstanding. The Investor and the Company shall each cooperate in good faith in the determinations required hereby and the application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Share Limitation</w:t>
      </w:r>
      <w:r>
        <w:rPr>
          <w:rFonts w:ascii="Times New Roman" w:cs="Times New Roman" w:eastAsia="Times New Roman" w:hAnsi="Times New Roman"/>
          <w:sz w:val="18"/>
          <w:szCs w:val="18"/>
          <w:color w:val="auto"/>
        </w:rPr>
        <w:t xml:space="preserve">. If the Company delivers any Purchase Notice for a Purchase Amount in excess of the limitations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such Purchase Notice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to the extent of the amount by which the number of Purchase Shares set forth in such Purchase Notice exceeds the number of Purchase Shares which the Company is permitted to include in such Purchase Notice in accordance herewith, and the Investor shall have no obligation to purchase such excess Purchase Shares with respect to such Purchase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shall remain obligated to purchase the number of Purchase Shares which the Company is permitted to include in such Purchase Notice.</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93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Shares</w:t>
      </w:r>
      <w:r>
        <w:rPr>
          <w:rFonts w:ascii="Times New Roman" w:cs="Times New Roman" w:eastAsia="Times New Roman" w:hAnsi="Times New Roman"/>
          <w:sz w:val="18"/>
          <w:szCs w:val="18"/>
          <w:color w:val="auto"/>
        </w:rPr>
        <w:t xml:space="preserve">. All share-related numbers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adjusted to take into account any reorganization, recapitalization, non-cash dividend, share split or other similar transaction effected with respect to the Common Stock, except as specifically stated herein.</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INVESTOR’S 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Investor represents and warrants to the Company that as of the date hereof and as of the Commencement Date:</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0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Investor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Investor’s right to sell shares of Common Stock representing the Securities at any time pursuant to the Registration Statement described herein or otherwise in compliance with applicable federal and state securities laws). The Investor is acquiring the Securities hereunder in the ordinary course of its business.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The Investor is an “accredited investor” as that term is defined in Rule 501(a)(3) of Regulation D promulgated under the Securities Act.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Investor understands that the Securities may be offered and sold to it in reliance on specific exemptions from the registration requirements of United States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56"/>
        <w:spacing w:after="0" w:line="256" w:lineRule="auto"/>
        <w:tabs>
          <w:tab w:leader="none" w:pos="9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Investor and its advisors, if any, have been furnished with all materials relating to the business, finances, and operations of the Company and materials relating to the offer and sale of the Securities that have been requested by Investor. Investor and its advisors, if any, have been afforded the opportunity to ask questions of the Company. Neither such inquiries nor any other due diligence investigations conducted by Investor or its advisors, if any, or its representatives shall modify, amend or affect Investor’s right to rely on the Company’s representations and warranties contained herein. Investor understands that its investment in the Securities involves a high degree of risk. Investor has sought such accounting, legal and tax advice as it has considered necessary to make an informed investment decision with respect to its acquisition of the Securities.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The Investor understands that no U.S. federal or state agency or any other government or governmental agency has passed on or made any recommendation or endorsement of the Securities or the fairness or suitability of an investment in the Securities nor have such authorities passed upon or endorsed the merits of the offering of the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8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Sale</w:t>
      </w:r>
      <w:r>
        <w:rPr>
          <w:rFonts w:ascii="Times New Roman" w:cs="Times New Roman" w:eastAsia="Times New Roman" w:hAnsi="Times New Roman"/>
          <w:sz w:val="18"/>
          <w:szCs w:val="18"/>
          <w:color w:val="auto"/>
        </w:rPr>
        <w:t>. The Investor understands that (i) the Securities may not be offered for sale, sold, assigned or transferred unless (A) registered pursuant to the Securities Act or (B) an exemption exists permitting such Securities to be sold, assigned or transferred without such registration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3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This Agreement and each of the other Transactions Documents to which it is a party have been duly and validly authorized, executed and delivered on behalf of the Investor and is a valid and binding agreement of the Investor enforceable against the Investor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The Investor is a resident of the State of California.</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Selling</w:t>
      </w:r>
      <w:r>
        <w:rPr>
          <w:rFonts w:ascii="Times New Roman" w:cs="Times New Roman" w:eastAsia="Times New Roman" w:hAnsi="Times New Roman"/>
          <w:sz w:val="18"/>
          <w:szCs w:val="18"/>
          <w:color w:val="auto"/>
        </w:rPr>
        <w:t>. The Investor represents and warrants to the Company that at no time prior to the date of this Agreement has any of the Investor, its agents, representatives or affiliates engaged in or effected, and shall not engage in or effect, in any manner whatsoever, directly or indirectly, any (i) “short sale” (as such term is defined in Rule 200 of Regulation SHO of the Exchange Act) of the Common Stock (excluding transactions properly marked “short exempt”) or (ii) hedging transaction, which establishes a net short position with respect to the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represents and warrants to the Investor that as of the date hereof and as of the Commencement Date:</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1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each of its material Subsidiaries is an entity duly incorporated or otherwise organized, validly existing and in good standing under the laws of the jurisdiction in which it was formed and have the requisite corporate power and authority to own and use its properties and assets and to carry on its business as currently conducted. Each of the Company and its Subsidiaries is duly qualified as a foreign entity to conduct business and is in good standing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The Company has no Subsidiaries except as set forth on Schedule 4(a). The Company has furnished or made available to the Investor true and correct copies of the Company’s Articles of Incorporation, as amended (the “</w:t>
      </w:r>
      <w:r>
        <w:rPr>
          <w:rFonts w:ascii="Times New Roman" w:cs="Times New Roman" w:eastAsia="Times New Roman" w:hAnsi="Times New Roman"/>
          <w:sz w:val="18"/>
          <w:szCs w:val="18"/>
          <w:u w:val="single" w:color="auto"/>
          <w:color w:val="auto"/>
        </w:rPr>
        <w:t>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Bylaws, summaries of the material terms of all securities convertible into or exercisable for Common Stock or Common Stock, if any, and copies of any documents containing the material rights of the holders thereof in respect thereto (it being understood that any filing available to the Investor via the SEC’s EDGAR system shall be deemed “furnished to the Investor” hereunder).</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(i) The Company has the requisite corporate power and authority to enter into and perform its obligations under this Agreement and each of the other Transaction Documents, and to issue the Securities in accordance with the terms hereof and thereof, (ii) the execution and delivery of the Transaction Documents by the Company and the consummation by it of the transactions contemplated hereby and thereby, including without limitation, the issuance of the Exemption Purchase Shares, and the Additional Commitment Shares and the reservation for issuance and the issuance of the Purchase Shares issuable under this Agreement, have been duly authorized by the Company’s Board of Directors (the “</w:t>
      </w:r>
      <w:r>
        <w:rPr>
          <w:rFonts w:ascii="Times New Roman" w:cs="Times New Roman" w:eastAsia="Times New Roman" w:hAnsi="Times New Roman"/>
          <w:sz w:val="18"/>
          <w:szCs w:val="18"/>
          <w:u w:val="single" w:color="auto"/>
          <w:color w:val="auto"/>
        </w:rPr>
        <w:t>Signing Resolutions</w:t>
      </w:r>
      <w:r>
        <w:rPr>
          <w:rFonts w:ascii="Times New Roman" w:cs="Times New Roman" w:eastAsia="Times New Roman" w:hAnsi="Times New Roman"/>
          <w:sz w:val="18"/>
          <w:szCs w:val="18"/>
          <w:color w:val="auto"/>
        </w:rPr>
        <w:t>”); the Signing Resolutions are valid, in full force and effect, have been made available or furnished to Investor, and have not been modified or supplemented in any respect; and except as set forth in this Agreement, and no further consent or authorization is required by the Company, its Board of Directors or its stockholders, in connection with the consummation of the transactions contemplated by this Agreement, (iii) this Agreement has been, and each other Transaction Document shall be on the Commencement Date, duly executed and delivered by the Company and (iv) this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and except as rights to indemnification and to contribution may be limited by federal or state securities laws.</w:t>
      </w:r>
    </w:p>
    <w:p>
      <w:pPr>
        <w:spacing w:after="0" w:line="18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28"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28, 2024, the authorized share capital of the Company consists of 3,000,000 shares of preferred stock, par value $0.001 per share, of which 105,000 shares have been designated as Series A Convertible Preferred Stock, par value $0.001 per share (the “Series A Preferred Stock”), of which 0 shares are issued and outstanding and 0 shares are reserved for issuance pursuant to outstanding securities exercisable or exchangeable for, or convertible into, Series A Preferred Stock; 35,000,000 shares of Common Stock, of which 14,230,477 shares are issued and outstanding and 26,876,800 shares are reserved for issuance pursuant to outstanding securities exercisable or exchangeable for, or convertible into, Common Stock. No Common Stock is held in the treasury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660" w:firstLine="644"/>
        <w:spacing w:after="0" w:line="253" w:lineRule="auto"/>
        <w:tabs>
          <w:tab w:leader="none" w:pos="15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such outstanding shares are duly authorized and have been validly issued and are fully paid and nonassessable. All shares underlying convertible securities are duly authorized and, upon issuance in accordance with the terms of the agreements governing such convertible securities, will be validly issued, fully paid and nonassessable.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4(c)(ii) sets forth the number of shares of Common Stock that are (A) reserved for issuance pursuant to convertible securities and (B) as of the date hereof, owned by Persons who are “affiliates” (as defined in Rule 405 of the Securities Act and calculated based on the assumption that only officers, directors and holders of at least 10% of the Company’s issued and outstanding shares of Common Stock are “affiliates” without conceding that any such Persons are “affiliates” for purposes of federal securities laws) of the Company or any of its Subsidiaries. To the Company’s knowledge, except as is set forth in the SEC Documents, no Person owns 10% or more of the Company’s issued and outstanding shares of Common Stock (calculated based on the assumption that all convertible securities,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4(c)(iii), (i) none of the Company’s or any Subsidiary’s shares are subject to preemptive rights or any other similar rights or any liens, encumbrances and defects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suffered or permitted by the Company or any Subsidiary, (ii) neither the Company nor any Subsidiary has any outstanding debt securities, (iii) there are no outstanding options, warrants, scrip, rights to subscribe to, calls or commitments of any character whatsoever relating to, or securities or rights convertible into, any of the Company’s or any of its Subsidiary’s shares, or contracts, commitments, understandings or arrangements by which the Company or any of its Subsidiaries is or may become bound to issue additional shares of Common Stock of the Company or any shares of capital stock of its Subsidiaries or options, warrants, scrip, rights to subscribe to, calls or commitments of any character whatsoever relating to, or securities or rights convertible into, any of the Company’s shares or of capital stock of any of its Subsidiaries, (iv) there are no agreements or arrangements under which the Company or any of its Subsidiaries is obligated to register the sale of any of their securities under the Securities Act (except the Registration Rights Agreement),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Securities as described in this Agreement and (vii) the Company does not have any stock appreciation rights or “phantom stock” plans or agreements or any similar plan or agreement.</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Upon issuance and payment therefor in accordance with the terms and conditions of this Agreement, the Purchase Shares shall be validly issued, fully paid and nonassessable and free from all taxes, Liens, charges, restrictions, rights of first refusal and preemptive rights with respect to the issue thereof, with the holders being entitled to all rights accorded to a holder of Common Stock. The Company shall reserve a sufficient number of its currently authorized but unissued Common Stock for issuance as Purchase Shares, Exemption Purchase Shares, Additional Commitment Shares, Filing Default Shares (as such term is defined in the Registration Rights Agreement) and Effectiveness Default Shares (as such term is defined in the Registration Rights Agreement) hereunder and under the terms of the Transaction Documents, subject to equitable adjustment for any reorganization, recapitalization, non-cash dividend, share split or other similar transaction. The Additional Commitment Shares, Exemption Purchase Shares, Filing Default Shares, and Effectiveness Default Shares shall be validly issued, fully paid and nonassessable and free from all taxes, Liens, charges, restrictions, rights of first refusal and preemptive rights with respect to the issue thereof, with the holders thereof being entitled to all rights accorded to a holder of Common Stock. Subject to the accuracy of the representations and warranties of Investor in this Agreement, the offer and issuance by the Company of the Securities is exempt from registration under the Securities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56"/>
        <w:spacing w:after="0" w:line="251" w:lineRule="auto"/>
        <w:tabs>
          <w:tab w:leader="none" w:pos="9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xml:space="preserve">. Neither the Company nor any of its Subsidiaries, (i) except as disclosed on </w:t>
      </w:r>
      <w:r>
        <w:rPr>
          <w:rFonts w:ascii="Times New Roman" w:cs="Times New Roman" w:eastAsia="Times New Roman" w:hAnsi="Times New Roman"/>
          <w:sz w:val="18"/>
          <w:szCs w:val="18"/>
          <w:u w:val="single" w:color="auto"/>
          <w:color w:val="auto"/>
        </w:rPr>
        <w:t>Schedule 4(e)</w:t>
      </w:r>
      <w:r>
        <w:rPr>
          <w:rFonts w:ascii="Times New Roman" w:cs="Times New Roman" w:eastAsia="Times New Roman" w:hAnsi="Times New Roman"/>
          <w:sz w:val="18"/>
          <w:szCs w:val="18"/>
          <w:color w:val="auto"/>
        </w:rPr>
        <w:t xml:space="preserve">, has any outstanding debt securities, notes, credit agreements, credit facilities or other agreements, documents or instruments evidencing Indebtedness of the Company or any of its Subsidiaries or by which the Company or any of its Subsidiaries is or may become bound, (ii) except as set forth on </w:t>
      </w:r>
      <w:r>
        <w:rPr>
          <w:rFonts w:ascii="Times New Roman" w:cs="Times New Roman" w:eastAsia="Times New Roman" w:hAnsi="Times New Roman"/>
          <w:sz w:val="18"/>
          <w:szCs w:val="18"/>
          <w:u w:val="single" w:color="auto"/>
          <w:color w:val="auto"/>
        </w:rPr>
        <w:t>Schedule 4(e)</w:t>
      </w:r>
      <w:r>
        <w:rPr>
          <w:rFonts w:ascii="Times New Roman" w:cs="Times New Roman" w:eastAsia="Times New Roman" w:hAnsi="Times New Roman"/>
          <w:sz w:val="18"/>
          <w:szCs w:val="18"/>
          <w:color w:val="auto"/>
        </w:rPr>
        <w:t xml:space="preserve"> and disclosed in the SEC Documents, is a party to any contract, agreement or instrument, the violation of which, or default under which, by the other party or parties to such contract, agreement or instrument could reasonably be expected to result in a Material Adverse Effect, (iii) has any financing statements securing obligations in any amounts filed in connection with the Company or any of its Subsidiaries, or (iv) is in violation of any term of, or in default under, any contract, agreement or instrument relating to any Indebtedness, except where such violations and defaults would not result, individually or in the aggregate, in a Material Adverse Effect. For purposes of this Agreement: (x)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in accordance with U.S.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U.S.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204" w:lineRule="exact"/>
        <w:rPr>
          <w:rFonts w:ascii="Times New Roman" w:cs="Times New Roman" w:eastAsia="Times New Roman" w:hAnsi="Times New Roman"/>
          <w:sz w:val="18"/>
          <w:szCs w:val="18"/>
          <w:color w:val="auto"/>
        </w:rPr>
      </w:pPr>
    </w:p>
    <w:p>
      <w:pPr>
        <w:jc w:val="both"/>
        <w:ind w:firstLine="656"/>
        <w:spacing w:after="0" w:line="252" w:lineRule="auto"/>
        <w:tabs>
          <w:tab w:leader="none" w:pos="8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The execution, delivery and performance of the Transaction Documents by the Company and the consummation by the Company of the transactions contemplated hereby and thereby (including, without limitation, the reservation for issuance and issuance of the Securities) will not (i) result in a violation of the Articles of Incorporation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(iii) assuming the accuracy of the representations and warranties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and the making of the Required Filings, result in a violation of any law, rule, regulation, order, judgment or decree (including, without limitation foreign, federal and state securities laws and regulations and the rules and regulations of the Principal Market and including all applicable foreign, federal and state laws, rules and regulations) applicable to the Company or any of its Subsidiaries or by which any property or asset of the Company or any of its Subsidiaries is bound or affected, except in the case of clauses (ii) and (iii) above, for such breaches, violations or conflicts as would not reasonably be expected, individually or in the aggregate, to have a Material Adverse Effect. Other than the Required Filings and such consents, authorizations, filings or registrations the absence of which would not, individually or in the aggregate, reasonably be expected to have a Material Adverse Effect,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set forth elsewhere in this Agreement, all consents, Authorizations, orders, filings and registrations which the Company is required to obtain pursuant to the preceding sentence shall be obtained or effected on or prior to the Commencement 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56"/>
        <w:spacing w:after="0" w:line="251" w:lineRule="auto"/>
        <w:tabs>
          <w:tab w:leader="none" w:pos="91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4(g)</w:t>
      </w:r>
      <w:r>
        <w:rPr>
          <w:rFonts w:ascii="Times New Roman" w:cs="Times New Roman" w:eastAsia="Times New Roman" w:hAnsi="Times New Roman"/>
          <w:sz w:val="18"/>
          <w:szCs w:val="18"/>
          <w:color w:val="auto"/>
        </w:rPr>
        <w:t>, since December 31, 2023, the Company has filed all reports, schedules, forms, proxy statements, information statements and other documents required to be filed or furnished by the Company under the Securities Act and the Exchange Act, including pursuant to Section 13(a) or 15(d) thereof (all of the foregoing materials, including all exhibits and appendices included therein and financial statements, notes and schedules thereto and documents incorporated by reference therein and SEC correspondence, being collectively referred to herein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xml:space="preserve">”) on a timely basis or has received a valid extension of such time of filing and has filed any such SEC Documents prior to the expiration of any such extension. The Company has delivered or has made available to Investor or its representatives true, correct and complete copies of each of the SEC Documents not available on the EDGAR system. As of their respective dates, the SEC Documents complied in all material respects with the requirements of the Securities Act and the Exchange Act, as applicable.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Except as set forth on </w:t>
      </w:r>
      <w:r>
        <w:rPr>
          <w:rFonts w:ascii="Times New Roman" w:cs="Times New Roman" w:eastAsia="Times New Roman" w:hAnsi="Times New Roman"/>
          <w:sz w:val="18"/>
          <w:szCs w:val="18"/>
          <w:u w:val="single" w:color="auto"/>
          <w:color w:val="auto"/>
        </w:rPr>
        <w:t>Schedule 4(g)</w:t>
      </w:r>
      <w:r>
        <w:rPr>
          <w:rFonts w:ascii="Times New Roman" w:cs="Times New Roman" w:eastAsia="Times New Roman" w:hAnsi="Times New Roman"/>
          <w:sz w:val="18"/>
          <w:szCs w:val="18"/>
          <w:color w:val="auto"/>
        </w:rPr>
        <w:t>, the financial statements of the Company included in the SEC Documents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comply in all material respects with applicable accounting requirements and the published rules and regulations of the SEC with respect thereto as in effect at the time of filing. Such Financial Statements have been prepared in accordance with United States generally accepted accounting principles applied on a consistent basis during the periods involved (“GAAP”) (except (i) as may be otherwise specified in such Financial Statements or the notes thereto and (ii) in the case of any unaudited interim statements, to the extent they may exclude footnotes or may be condensed or summary statements), and, except as set forth on </w:t>
      </w:r>
      <w:r>
        <w:rPr>
          <w:rFonts w:ascii="Times New Roman" w:cs="Times New Roman" w:eastAsia="Times New Roman" w:hAnsi="Times New Roman"/>
          <w:sz w:val="18"/>
          <w:szCs w:val="18"/>
          <w:u w:val="single" w:color="auto"/>
          <w:color w:val="auto"/>
        </w:rPr>
        <w:t>Schedule 4(g)</w:t>
      </w:r>
      <w:r>
        <w:rPr>
          <w:rFonts w:ascii="Times New Roman" w:cs="Times New Roman" w:eastAsia="Times New Roman" w:hAnsi="Times New Roman"/>
          <w:sz w:val="18"/>
          <w:szCs w:val="18"/>
          <w:color w:val="auto"/>
        </w:rPr>
        <w:t xml:space="preserve">, fairly present in all material respects the financial position of the Company and its consolidated Subsidiaries as of and for the dates thereof and the results of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Investor which is not included in the SEC Documents (including, without limitation, information referred to in Section 3(d)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Except as set forth on </w:t>
      </w:r>
      <w:r>
        <w:rPr>
          <w:rFonts w:ascii="Times New Roman" w:cs="Times New Roman" w:eastAsia="Times New Roman" w:hAnsi="Times New Roman"/>
          <w:sz w:val="18"/>
          <w:szCs w:val="18"/>
          <w:u w:val="single" w:color="auto"/>
          <w:color w:val="auto"/>
        </w:rPr>
        <w:t>Schedule 4(g)</w:t>
      </w:r>
      <w:r>
        <w:rPr>
          <w:rFonts w:ascii="Times New Roman" w:cs="Times New Roman" w:eastAsia="Times New Roman" w:hAnsi="Times New Roman"/>
          <w:sz w:val="18"/>
          <w:szCs w:val="18"/>
          <w:color w:val="auto"/>
        </w:rPr>
        <w:t xml:space="preserve">, the Company is not currently contemplating to amend or restate any of the Financial Statements (including, without limitation, any notes or any letter of the independent accountants of the Company with respect thereto), nor is the Company currently aware of facts or circumstances which would require the Company to amend or restate any of the Financial Statements, in each case, in order for any of the Financials Statements to be in material compliance with GAAP and the rules and regulations of the SEC. Except as set forth on </w:t>
      </w:r>
      <w:r>
        <w:rPr>
          <w:rFonts w:ascii="Times New Roman" w:cs="Times New Roman" w:eastAsia="Times New Roman" w:hAnsi="Times New Roman"/>
          <w:sz w:val="18"/>
          <w:szCs w:val="18"/>
          <w:u w:val="single" w:color="auto"/>
          <w:color w:val="auto"/>
        </w:rPr>
        <w:t>Schedule 4(g)</w:t>
      </w:r>
      <w:r>
        <w:rPr>
          <w:rFonts w:ascii="Times New Roman" w:cs="Times New Roman" w:eastAsia="Times New Roman" w:hAnsi="Times New Roman"/>
          <w:sz w:val="18"/>
          <w:szCs w:val="18"/>
          <w:color w:val="auto"/>
        </w:rPr>
        <w:t xml:space="preserve">, the Company has not been informed by its independent accountants that they recommend that the Company amend or restate any of the Financial Statements or that there is any need for the Company to amend or restate any of the Financial Statements. Except as set forth on </w:t>
      </w:r>
      <w:r>
        <w:rPr>
          <w:rFonts w:ascii="Times New Roman" w:cs="Times New Roman" w:eastAsia="Times New Roman" w:hAnsi="Times New Roman"/>
          <w:sz w:val="18"/>
          <w:szCs w:val="18"/>
          <w:u w:val="single" w:color="auto"/>
          <w:color w:val="auto"/>
        </w:rPr>
        <w:t>Schedule 4(g)</w:t>
      </w:r>
      <w:r>
        <w:rPr>
          <w:rFonts w:ascii="Times New Roman" w:cs="Times New Roman" w:eastAsia="Times New Roman" w:hAnsi="Times New Roman"/>
          <w:sz w:val="18"/>
          <w:szCs w:val="18"/>
          <w:color w:val="auto"/>
        </w:rPr>
        <w:t>, neither the Company nor any of its Subsidiaries has received any accountant, Governmental Entity or other Person relating to any potential material weakness or significant deficiency in any part of the internal controls over financial reporting of the Company or any of its Subsidiaries. The SEC has not commenced any enforcement proceedings against the Company or any of its Subsidiaries.</w:t>
      </w:r>
    </w:p>
    <w:p>
      <w:pPr>
        <w:spacing w:after="0" w:line="200"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Since the date of the Company’s most recent audited Financial Statements filed with the SEC,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filed with the SEC, except as otherwise disclosed on </w:t>
      </w:r>
      <w:r>
        <w:rPr>
          <w:rFonts w:ascii="Times New Roman" w:cs="Times New Roman" w:eastAsia="Times New Roman" w:hAnsi="Times New Roman"/>
          <w:sz w:val="18"/>
          <w:szCs w:val="18"/>
          <w:u w:val="single" w:color="auto"/>
          <w:color w:val="auto"/>
        </w:rPr>
        <w:t>Schedule 4(h)</w:t>
      </w:r>
      <w:r>
        <w:rPr>
          <w:rFonts w:ascii="Times New Roman" w:cs="Times New Roman" w:eastAsia="Times New Roman" w:hAnsi="Times New Roman"/>
          <w:sz w:val="18"/>
          <w:szCs w:val="18"/>
          <w:color w:val="auto"/>
        </w:rPr>
        <w:t>, neither the Company nor any of its Subsidiaries has (i) declared or paid any dividends,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any assets, individually or in the aggregate, outside of the ordinary course 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Commencement, will not be Insolvent (as defined below). For purposes of this Section 4(h), “</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 with which to conduct the business in which it is engaged as such business is now conducted and is proposed to be conducted.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56"/>
        <w:spacing w:after="0" w:line="253" w:lineRule="auto"/>
        <w:tabs>
          <w:tab w:leader="none" w:pos="8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 material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except as set forth on </w:t>
      </w:r>
      <w:r>
        <w:rPr>
          <w:rFonts w:ascii="Times New Roman" w:cs="Times New Roman" w:eastAsia="Times New Roman" w:hAnsi="Times New Roman"/>
          <w:sz w:val="18"/>
          <w:szCs w:val="18"/>
          <w:u w:val="single" w:color="auto"/>
          <w:color w:val="auto"/>
        </w:rPr>
        <w:t>Schedule 4(i)</w:t>
      </w:r>
      <w:r>
        <w:rPr>
          <w:rFonts w:ascii="Times New Roman" w:cs="Times New Roman" w:eastAsia="Times New Roman" w:hAnsi="Times New Roman"/>
          <w:sz w:val="18"/>
          <w:szCs w:val="18"/>
          <w:color w:val="auto"/>
        </w:rPr>
        <w:t>. To the Company’s knowledge, no director, officer or employee of the Company or any of its Subsidiaries has willfully violated 18 U.S.C. §1519 or engaged in spoliation in reasonable anticipation of litigation. Without limitation of the foregoing, there has not been, there is not pending, and to the knowledge of the Company, there is not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Securities Act or the Exchange Act. The Company has no knowledge of any fact that might result in or form the basis for any such action, suit, arbitration, investigation, inquiry or other proceeding. Neither the Company nor any of its Subsidiaries is subject to any order, writ, judgment, injunction, decree, determination, or award of any Governmental Entity.</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8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Investor’s Purchase of Securities</w:t>
      </w:r>
      <w:r>
        <w:rPr>
          <w:rFonts w:ascii="Times New Roman" w:cs="Times New Roman" w:eastAsia="Times New Roman" w:hAnsi="Times New Roman"/>
          <w:sz w:val="18"/>
          <w:szCs w:val="18"/>
          <w:color w:val="auto"/>
        </w:rPr>
        <w:t>. The Company acknowledges and agrees that Investor is acting solely in the capacity of an arm’s length purchaser with respect to the Transaction Documents and the transactions contemplated hereby and thereby and that Investor is not (i) an officer or director of the Company or any of its Subsidiaries, (ii) an “affiliate” (as defined in Rule 144) of the Company or any of its Subsidiaries or (iii) to the Company’s knowledge, a “beneficial owner” (as defined for purposes of Rule 13d-3 of the Exchange Act of more than 10% of the Common Stock. The Company acknowledges that Investor is not acting as a financial advisor or fiduciary of the Company or any of its Subsidiaries (or in any similar capacity) with respect to the Transaction Documents and the transactions contemplated hereby and thereby, and any advice given by Investor or any of its representatives or agents in connection with the Transaction Documents and the transactions contemplated hereby and thereby is merely incidental to Investor’s purchase of the Securities. The Company represents to Investor that the Company’s and each Subsidiary’s decision to enter into the Transaction Documents to which each is a party has been based solely on the independent evaluation by the Company, each Subsidiary and their respective representatives. For the avoidance of doubt, Company further acknowledges to Investor that Investor is not a broker dealer nor is Investor registered or required to be registered as a broker dealer.</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or Aggregated Offering</w:t>
      </w:r>
      <w:r>
        <w:rPr>
          <w:rFonts w:ascii="Times New Roman" w:cs="Times New Roman" w:eastAsia="Times New Roman" w:hAnsi="Times New Roman"/>
          <w:sz w:val="18"/>
          <w:szCs w:val="18"/>
          <w:color w:val="auto"/>
        </w:rPr>
        <w:t>. None of the Company, its Subsidiaries or any of their affiliates, nor any Person acting on its or their behalf has, directly or indirectly, made any offers or sales of any security or solicited any offers to buy any security, under circumstances that would require registration of the offer and sale of any of the Securities under the Securities Act, whether through integration with prior offerings or otherwise, or cause the transactions contemplated hereby to be aggregated with prior offerings by the Company in a manner that would require stockholder approval for purposes of the Securities Act or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require registration of the issuance of any of the Securities under the Securities Act or cause the offering of any of the Securities to be integrated with other offerings of securities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56"/>
        <w:spacing w:after="0" w:line="253" w:lineRule="auto"/>
        <w:tabs>
          <w:tab w:leader="none" w:pos="8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necessary to conduct their respective businesses as now conducted. Each of the patents owned by the Company or any of its Subsidiaries is set forth on Schedule 4(l).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except where such claim, action or proceeding is not likely to result in a Material Adverse Effect. Neither the Company nor any of its Subsidiaries is aware of any facts or circumstances that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9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Company’s knowledge, the Company and its Subsidiaries (A) are in compliance with any and all Environmental Laws (as defined below), (B) have received all permits, licenses or other approvals required of them under applicable Environmental Laws to conduct their respective businesses and (C) are in compliance with all terms and conditions of any such permit, license or approval except where, in each of the foregoing clauses (A), (B) and (C), the failure to so comply would be reasonably expected to have, individually or in the aggregate, a Material Adverse Effect. The term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2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Each of the Company and its Subsidiaries holds good title to all real property, leases in real property, facilities or other interests in real property owned or held by the Company or any of its Subsidiaries (the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owned by the Company or any of its Subsidiaries (as applicable). Such Real Property is free and clear of all Liens and is not subject to any rights of way, building use restrictions, exceptions, variances, reservations, or limitations of any nature except for (a) Liens for current taxes not yet due, (b) zoning laws and other land use restrictions that do not impair the present or anticipated use of the property subject thereto and (c) those that are not likely to result in a Material Adverse Effect. Any Real Property held under lease by the Company or any of its Subsidiaries are held by them under valid, subsisting and enforceable leases with such exceptions as are not material and do not interfere in any material respect with the use made and proposed to be made of such property and buildings by the Company or any of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660" w:firstLine="644"/>
        <w:spacing w:after="0" w:line="254" w:lineRule="auto"/>
        <w:tabs>
          <w:tab w:leader="none" w:pos="157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Fixtures and Equipment</w:t>
      </w:r>
      <w:r>
        <w:rPr>
          <w:rFonts w:ascii="Times New Roman" w:cs="Times New Roman" w:eastAsia="Times New Roman" w:hAnsi="Times New Roman"/>
          <w:sz w:val="18"/>
          <w:szCs w:val="18"/>
          <w:color w:val="auto"/>
        </w:rPr>
        <w:t>. Each of the Company and its Subsidiaries (as applicable) has good title to, or a valid leasehold interest in, the tangible personal property, equipment, improvements, fixtures, and other personal property and appurtenances that are used by the Company or such Subsidiaries in connection with the conduct of their respective businesses (the “</w:t>
      </w:r>
      <w:r>
        <w:rPr>
          <w:rFonts w:ascii="Times New Roman" w:cs="Times New Roman" w:eastAsia="Times New Roman" w:hAnsi="Times New Roman"/>
          <w:sz w:val="18"/>
          <w:szCs w:val="18"/>
          <w:u w:val="single" w:color="auto"/>
          <w:color w:val="auto"/>
        </w:rPr>
        <w:t>Fixtures and Equipment</w:t>
      </w:r>
      <w:r>
        <w:rPr>
          <w:rFonts w:ascii="Times New Roman" w:cs="Times New Roman" w:eastAsia="Times New Roman" w:hAnsi="Times New Roman"/>
          <w:sz w:val="18"/>
          <w:szCs w:val="18"/>
          <w:color w:val="auto"/>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each Closing. Each of the Company and its Subsidiaries owns all of their respective Fixtures and Equipment free and clear of all Liens except for (a) liens for current taxes not yet due and (b) zoning laws and other land use restrictions that do not impair the present or anticipated use of the property subject thereto.</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4(p)</w:t>
      </w:r>
      <w:r>
        <w:rPr>
          <w:rFonts w:ascii="Times New Roman" w:cs="Times New Roman" w:eastAsia="Times New Roman" w:hAnsi="Times New Roman"/>
          <w:sz w:val="18"/>
          <w:szCs w:val="18"/>
          <w:color w:val="auto"/>
        </w:rPr>
        <w:t>, neither the Company nor any of its Subsidiaries is a party to any collective bargaining agreement or employs any member of a union. The Company and its Subsidiaries believe that their relations with their employees are good. No executive officer (as defined in Rule 501(f) promulgated under the Securities Act) or other key employee of the Company or any of its Subsidiaries has notified the Company or any such Subsidiary that such officer or employee intends to leave the Company or any such Subsidiary or otherwise terminate such officer’s or employee’s employment with the Company or any such Subsidiary.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Violations; Regulatory Permits</w:t>
      </w:r>
      <w:r>
        <w:rPr>
          <w:rFonts w:ascii="Times New Roman" w:cs="Times New Roman" w:eastAsia="Times New Roman" w:hAnsi="Times New Roman"/>
          <w:sz w:val="18"/>
          <w:szCs w:val="18"/>
          <w:color w:val="auto"/>
        </w:rPr>
        <w:t xml:space="preserve">. Neither the Company nor any of its Subsidiaries is in violation of any term of or in default under the Articles of Incorporation, any certificate of designation, preferences or rights of any outstanding series of preferred shares or other special shares of the Company or any of its Subsidiaries or the certificate of formation, memorandum of association, articles of association, articles of incorporation, certificate of incorporation, bylaws or other organizational documents of any of the Subsidiaries, as applicable. Except as disclosed on Schedule 4(q),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Except as disclosed on </w:t>
      </w:r>
      <w:r>
        <w:rPr>
          <w:rFonts w:ascii="Times New Roman" w:cs="Times New Roman" w:eastAsia="Times New Roman" w:hAnsi="Times New Roman"/>
          <w:sz w:val="18"/>
          <w:szCs w:val="18"/>
          <w:u w:val="single" w:color="auto"/>
          <w:color w:val="auto"/>
        </w:rPr>
        <w:t>Schedule 4(q)</w:t>
      </w:r>
      <w:r>
        <w:rPr>
          <w:rFonts w:ascii="Times New Roman" w:cs="Times New Roman" w:eastAsia="Times New Roman" w:hAnsi="Times New Roman"/>
          <w:sz w:val="18"/>
          <w:szCs w:val="18"/>
          <w:color w:val="auto"/>
        </w:rPr>
        <w:t>, since December 31, 2022, (i) the Common Stock has been listed or designated for quotation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reasonably be expected to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right="20" w:firstLine="656"/>
        <w:spacing w:after="0" w:line="282" w:lineRule="auto"/>
        <w:tabs>
          <w:tab w:leader="none" w:pos="8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Rights</w:t>
      </w:r>
      <w:r>
        <w:rPr>
          <w:rFonts w:ascii="Times New Roman" w:cs="Times New Roman" w:eastAsia="Times New Roman" w:hAnsi="Times New Roman"/>
          <w:sz w:val="18"/>
          <w:szCs w:val="18"/>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8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Subsidiaries (i) have made or filed all foreign, federal and state income and all other tax returns, reports and declarations required by any jurisdiction to which it is subject, (ii) have paid all material taxes and other governmental assessments and charges that are material in amount, shown or determined to be due on such returns, reports and declarations, except those being contested in good faith and for which reserves required by U.S. GAAP have been created in the financial statements of the Company and (iii) have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United States Internal Revenue Code, as amended (the “Code”). The net operating loss carryforwards (“NOLs”) for United States federal income tax purposes of the consolidated group of which the Company is the common parent, if any, shall not be adversely affected by the transactions contemplated hereby. The transactions contemplated hereby do not constitute an “ownership change” within the meaning of Section 382 of the Code, thereby preserving the Company’s ability to utilize such NOLs.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set forth on Schedule 4(t), none of the officers or directors of the Company and, to the knowledge of the Company, none of the Company’s stockholders, the officers or directors of any stockholder of the Company, or, to the knowledge of the Company, any family member or affiliate of any of the foregoing, has either directly or indirectly any interest in, or is a party to, any transaction that is required to be disclosed as a related party transaction pursuant to Item 404 of Regulation S-K promulgated under the Securities Act.</w:t>
      </w:r>
    </w:p>
    <w:p>
      <w:pPr>
        <w:spacing w:after="0" w:line="179" w:lineRule="exact"/>
        <w:rPr>
          <w:rFonts w:ascii="Times New Roman" w:cs="Times New Roman" w:eastAsia="Times New Roman" w:hAnsi="Times New Roman"/>
          <w:sz w:val="18"/>
          <w:szCs w:val="18"/>
          <w:color w:val="auto"/>
        </w:rPr>
      </w:pPr>
    </w:p>
    <w:p>
      <w:pPr>
        <w:jc w:val="both"/>
        <w:ind w:firstLine="656"/>
        <w:spacing w:after="0" w:line="273" w:lineRule="auto"/>
        <w:tabs>
          <w:tab w:leader="none" w:pos="93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 of Takeover Protections; Rights Agreement</w:t>
      </w:r>
      <w:r>
        <w:rPr>
          <w:rFonts w:ascii="Times New Roman" w:cs="Times New Roman" w:eastAsia="Times New Roman" w:hAnsi="Times New Roman"/>
          <w:sz w:val="17"/>
          <w:szCs w:val="17"/>
          <w:color w:val="auto"/>
        </w:rPr>
        <w:t>. The Company and its Board of Directors have taken or will take prior to the Commencement Date all necessary action, if any, in order to render inapplicable any control share acquisition, business combination, poison pill (including any distribution under a rights agreement) stockholder rights plan or other similar anti-takeover provision under the Articles of Incorporation or other organizational documents or the laws of the jurisdiction of its incorporation or otherwise which is or could become applicable to the Investor as a result of the transactions contemplated by this Agreement, including, without limitation, the Company’s issuance of the Securities and the Investor’s ownership of the Securities. The Company and its Board of Directors have taken all necessary action, if any, in order to render inapplicable any stockholder rights plan or similar arrangement relating to accumulations of beneficial ownership of Common Stock or a change in control of the Company or any of its Subsidiaries.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56"/>
        <w:spacing w:after="0" w:line="253" w:lineRule="auto"/>
        <w:tabs>
          <w:tab w:leader="none" w:pos="9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that will be timely publicly disclosed by the Company and the disclosures made in the Company’s disclosure schedules attached hereto, the Company confirms that neither it nor any other Person acting on its behalf has provided the Investor or its agents or counsel with any information that it believes constitutes or might constitute material, non-public information which is not otherwise disclosed in the Registration Statement or the SEC Documents. The Company understands and confirms that the Investor will rely on the foregoing representation in effecting purchases and sales of securities of the Company. All of the disclosure furnished by or on behalf of the Company to the Investor regarding the Company, its business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Company acknowledges and agrees that the Investor neither makes nor has made any representations or warranties with respect to the transactions contemplated hereby other than those specifically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w:t>
      </w:r>
    </w:p>
    <w:p>
      <w:pPr>
        <w:spacing w:after="0" w:line="194" w:lineRule="exact"/>
        <w:rPr>
          <w:rFonts w:ascii="Times New Roman" w:cs="Times New Roman" w:eastAsia="Times New Roman" w:hAnsi="Times New Roman"/>
          <w:sz w:val="18"/>
          <w:szCs w:val="18"/>
          <w:color w:val="auto"/>
        </w:rPr>
      </w:pPr>
    </w:p>
    <w:p>
      <w:pPr>
        <w:jc w:val="both"/>
        <w:ind w:firstLine="656"/>
        <w:spacing w:after="0" w:line="251" w:lineRule="auto"/>
        <w:tabs>
          <w:tab w:leader="none" w:pos="9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of the Subsidiaries nor, to the knowledge of the Company, any director, officer, agent, employee or affiliate of the Company or any of the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 The operations of the Company and the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applicable governmental agency,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 Neither the Company nor any of its Subsidiaries, nor to the knowledge of the Company any of the directors, officers or employees, agents, affiliates or representatives of the Company or its Subsidiaries, is an individual or entity that is, or is owned or controlled by an individual or entity that is: (i) the subject of any sanctions administered or enforced by the U.S. Department of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(ii) located, organized or resident in a country or territory that is the subject of Sanctions (including, without limitation, the Balkans, Belarus, Burma/Myanmar, Cote D’Ivoire, Cuba, Democratic Republic of Congo, Iran, Iraq, Liberia, Libya, North Korea, Sudan, Syria, Venezuela and Zimbabwe). Neither the Company nor any of its Subsidiaries will, directly or indirectly, use the proceeds of the transactions contemplated hereby, or lend, contribute or otherwise make available such proceeds to any subsidiary, joint venture partner or other individual or entity: (i) to fund or facilitate any activities or business of or with any individual or entity or in any country or territory that, at the time of such funding or facilitation, is the subject of Sanctions or (ii) in any other manner that will result in a violation of Sanctions by any individual or entity (including any individual or entity participating in the transactions contemplated hereby, whether as underwriter, advisor, investor or otherwise).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Eligibility</w:t>
      </w:r>
      <w:r>
        <w:rPr>
          <w:rFonts w:ascii="Times New Roman" w:cs="Times New Roman" w:eastAsia="Times New Roman" w:hAnsi="Times New Roman"/>
          <w:sz w:val="18"/>
          <w:szCs w:val="18"/>
          <w:color w:val="auto"/>
        </w:rPr>
        <w:t>. The Company, through the Transfer Agent, currently participates in the DTC Fast Automated Securities Transfer (FAST) Program and the Common Stock can be transferred electronically to third parties via the DTC Fast Automated Securities Transfer (FAST) Program.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56"/>
        <w:spacing w:after="0" w:line="261" w:lineRule="auto"/>
        <w:tabs>
          <w:tab w:leader="none" w:pos="91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 Sarbanes-Oxley</w:t>
      </w:r>
      <w:r>
        <w:rPr>
          <w:rFonts w:ascii="Times New Roman" w:cs="Times New Roman" w:eastAsia="Times New Roman" w:hAnsi="Times New Roman"/>
          <w:sz w:val="18"/>
          <w:szCs w:val="18"/>
          <w:color w:val="auto"/>
        </w:rPr>
        <w:t>. Except as set forth in the SEC Documents, the Company maintains a system of internal accounting controls sufficient to provide reasonable assurances that (A) transactions are executed in accordance with management’s general or specific authorization;</w:t>
      </w: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 only in accordance with management’s general or specific authorization; and (D) the recorded accountability for assets is compared with existing assets at reasonable intervals and appropriate action is taken with respect to any differences. The Board of Directors has, subject to the exceptions, cure periods and the phase in periods specified in the applicable stock exchange rules of the Principal Market (“</w:t>
      </w:r>
      <w:r>
        <w:rPr>
          <w:rFonts w:ascii="Times New Roman" w:cs="Times New Roman" w:eastAsia="Times New Roman" w:hAnsi="Times New Roman"/>
          <w:sz w:val="18"/>
          <w:szCs w:val="18"/>
          <w:u w:val="single" w:color="auto"/>
          <w:color w:val="auto"/>
        </w:rPr>
        <w:t>Exchange Rules</w:t>
      </w:r>
      <w:r>
        <w:rPr>
          <w:rFonts w:ascii="Times New Roman" w:cs="Times New Roman" w:eastAsia="Times New Roman" w:hAnsi="Times New Roman"/>
          <w:sz w:val="18"/>
          <w:szCs w:val="18"/>
          <w:color w:val="auto"/>
        </w:rPr>
        <w:t>”), validly appointed an audit committee to oversee internal accounting controls whose composition satisfies the applicable independence and other requirements of the Exchange Rules and the rules under the Exchange Act, and the Board of Directors has adopted a charter for the audit committee that satisfies the requirements of the Exchange Rules and the rules under the Exchange Act. No relationship, direct or indirect, exists between or among the Company, on the one hand, and the directors, officers, stockholders, customers or suppliers of the Company, on the other hand, which is required to be described in the Registration Statement that is not so described. The Company has not, directly or indirectly, extended or maintained credit, or arranged for the extension of credit, or renewed an extension of credit, in the form of a personal loan to or for any of its directors or executive officers in violation of Applicable Laws, including Section 402 of the Sarbanes-Oxley Act of 2002 and the rules and regulations promulgated in connection therewith. The Company and each Subsidiary is in compliance with any and all applicable requirements of the Sarbanes-Oxley Act of 2002, as amended, and any and all applicable rules and regulations promulgated by the SEC thereunder.</w:t>
      </w:r>
    </w:p>
    <w:p>
      <w:pPr>
        <w:spacing w:after="0" w:line="192"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Placement Agent’s Fees</w:t>
      </w:r>
      <w:r>
        <w:rPr>
          <w:rFonts w:ascii="Times New Roman" w:cs="Times New Roman" w:eastAsia="Times New Roman" w:hAnsi="Times New Roman"/>
          <w:sz w:val="18"/>
          <w:szCs w:val="18"/>
          <w:color w:val="auto"/>
        </w:rPr>
        <w:t>. Neither the Company, nor any of its Subsidiaries or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Investor or its investment advisor) relating to or arising out of the transactions contemplated hereby. The Company shall pay, and hold Investor harmless against, any liability, loss or expense (including, without limitation, attorneys’ fees and out-of-pocket expenses) arising in connection with any such claim. Neither the Company nor any of its Subsidiaries has engaged any placement agent, broker, finder, or other agent in connection with the offer or sale of the Securities except as set forth on Schedule 4(z).</w:t>
      </w:r>
    </w:p>
    <w:p>
      <w:pPr>
        <w:spacing w:after="0" w:line="189" w:lineRule="exact"/>
        <w:rPr>
          <w:sz w:val="20"/>
          <w:szCs w:val="20"/>
          <w:color w:val="auto"/>
        </w:rPr>
      </w:pPr>
    </w:p>
    <w:p>
      <w:pPr>
        <w:jc w:val="both"/>
        <w:ind w:firstLine="656"/>
        <w:spacing w:after="0" w:line="266" w:lineRule="auto"/>
        <w:tabs>
          <w:tab w:leader="none" w:pos="9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 Balance Sheet Arrangements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 balance sheet entity that is required to be disclosed by the Company in its Exchange Act filings and is not so disclosed or that otherwise could be reasonably likely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56"/>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United States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xml:space="preserve">. The Common Stock is registered pursuant to Section 12(b) of the Exchange Act, and the Company has taken no action designed to, or which to its knowledge is likely to have the effect of, terminating the registration of the Common Stock pursuant to the Exchange Act nor has the Company received any notification that the SEC is currently contemplating terminating such registration. Except as disclosed on </w:t>
      </w:r>
      <w:r>
        <w:rPr>
          <w:rFonts w:ascii="Times New Roman" w:cs="Times New Roman" w:eastAsia="Times New Roman" w:hAnsi="Times New Roman"/>
          <w:sz w:val="18"/>
          <w:szCs w:val="18"/>
          <w:u w:val="single" w:color="auto"/>
          <w:color w:val="auto"/>
        </w:rPr>
        <w:t>Schedule 4(cc)</w:t>
      </w:r>
      <w:r>
        <w:rPr>
          <w:rFonts w:ascii="Times New Roman" w:cs="Times New Roman" w:eastAsia="Times New Roman" w:hAnsi="Times New Roman"/>
          <w:sz w:val="18"/>
          <w:szCs w:val="18"/>
          <w:color w:val="auto"/>
        </w:rPr>
        <w:t xml:space="preserve">, the Company has not, in the twelve (12) months preceding the date hereof, received any notice from any Person to the effect that the Company is not in compliance with the listing or maintenance requirements of the Principal Market. Except as disclosed on </w:t>
      </w:r>
      <w:r>
        <w:rPr>
          <w:rFonts w:ascii="Times New Roman" w:cs="Times New Roman" w:eastAsia="Times New Roman" w:hAnsi="Times New Roman"/>
          <w:sz w:val="18"/>
          <w:szCs w:val="18"/>
          <w:u w:val="single" w:color="auto"/>
          <w:color w:val="auto"/>
        </w:rPr>
        <w:t>Schedule 4(cc)</w:t>
      </w:r>
      <w:r>
        <w:rPr>
          <w:rFonts w:ascii="Times New Roman" w:cs="Times New Roman" w:eastAsia="Times New Roman" w:hAnsi="Times New Roman"/>
          <w:sz w:val="18"/>
          <w:szCs w:val="18"/>
          <w:color w:val="auto"/>
        </w:rPr>
        <w:t>, the Company is, and has no reason to believe that it will not in the foreseeable future continue to be, in compliance with all such listing and maintenance requirements.</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0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 No Disagreements</w:t>
      </w:r>
      <w:r>
        <w:rPr>
          <w:rFonts w:ascii="Times New Roman" w:cs="Times New Roman" w:eastAsia="Times New Roman" w:hAnsi="Times New Roman"/>
          <w:sz w:val="18"/>
          <w:szCs w:val="18"/>
          <w:color w:val="auto"/>
        </w:rPr>
        <w:t>. The Company’s accountants are set forth in the SEC Documents and, to the knowledge of the Company, such accountants are an independent registered public accounting firm as required by the Securities Act.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has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Market Manipulation</w:t>
      </w:r>
      <w:r>
        <w:rPr>
          <w:rFonts w:ascii="Times New Roman" w:cs="Times New Roman" w:eastAsia="Times New Roman" w:hAnsi="Times New Roman"/>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Neither the Company nor any of its Subsidiaries is, or has ever been, and so long as any of the Securities are held by Investor, shall become, a United States real property holding corporation within the meaning of Section 897 of the Code, and the Company and each Subsidiary shall so certify upon Investor’s request.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firstLine="656"/>
        <w:spacing w:after="0" w:line="282" w:lineRule="auto"/>
        <w:tabs>
          <w:tab w:leader="none" w:pos="10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Securities for resale by Investor using Form S-1 promulgated under the Securities Act.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0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5% or more of the outstanding shares of any class of voting securities or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or subject to, Rule 144(i) under the Securities Act.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 or Unauthorized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Political Contributions</w:t>
      </w:r>
      <w:r>
        <w:rPr>
          <w:rFonts w:ascii="Times New Roman" w:cs="Times New Roman" w:eastAsia="Times New Roman" w:hAnsi="Times New Roman"/>
          <w:sz w:val="18"/>
          <w:szCs w:val="18"/>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Each benefit and compensation plan, agreement, policy and arrangement that is maintained, administered or contributed to by the Company or any Subsidiary for current or former employees or directors of, or independent contractors with respect to, the Company has been maintained in compliance with its terms and the requirements of any applicable statutes, orders, rules and regulations, and the Company has complied in all material respects with all applicable statutes, orders, rules and regulations in regard to such plans, agreements, policies and arrangements. Each stock option granted under any equity incentive plan of the Company (each, a “</w:t>
      </w:r>
      <w:r>
        <w:rPr>
          <w:rFonts w:ascii="Times New Roman" w:cs="Times New Roman" w:eastAsia="Times New Roman" w:hAnsi="Times New Roman"/>
          <w:sz w:val="18"/>
          <w:szCs w:val="18"/>
          <w:u w:val="single" w:color="auto"/>
          <w:color w:val="auto"/>
        </w:rPr>
        <w:t>Stock Plan</w:t>
      </w:r>
      <w:r>
        <w:rPr>
          <w:rFonts w:ascii="Times New Roman" w:cs="Times New Roman" w:eastAsia="Times New Roman" w:hAnsi="Times New Roman"/>
          <w:sz w:val="18"/>
          <w:szCs w:val="18"/>
          <w:color w:val="auto"/>
        </w:rPr>
        <w:t>”) was granted with a per share exercise price no less than the market price per share of Common Stock on the grant date of such option in accordance with the rules of the Principal Market, and no such grant involved any “back-dating,” “forward-dating” or similar practice with respect to the effective date of such grant; each such option (i) was granted in compliance in all material respects with Applicable Laws and with the applicable Stock Plan(s), (ii) was duly approved by the Board of Directors or a duly authorized committee thereof, and (iii) has been properly accounted for in the Company’s Financial Statements and disclosed, to the extent required, in the Company’s filings or submissions with the SEC, and the Principal Market. The Company has not knowingly granted, and there is no and has been no policy or practice of the Company to knowingly grant, share options prior to, or otherwise knowingly coordinate the grant of share options with, the release or other public announcement of material information regarding the Company or its Subsidiaries or their financial results or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56"/>
        <w:spacing w:after="0" w:line="251" w:lineRule="auto"/>
        <w:tabs>
          <w:tab w:leader="none" w:pos="9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 During the 12-month period immediately preceding the date hereof, the Company and each of its Subsidiaries: (A) is and at all times has been in material compliance with all applicable U.S. and foreign statutes, rules, regulations, or guidance applicable to Company and its Subsidiaries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(B) have not received any notice of adverse finding, warning letter, untitled letter or other correspondence or notice from the U.S. Food and Drug Administration or any nation, state, province, region, county, prefecture, city, town, township,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alleging or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(C) possess all material Authorizations and such material Authorizations are valid and in full force and effect and are not in violation of any term of any such material Authorizations; (D) have not received notice of any claim, action, suit, proceeding, hearing, enforcement, investigation, arbitration or other action from any Governmental Entity or third party alleging that any product, operation or activity is in violation of any Applicable Laws or Authorizations and have no knowledge that any such Governmental Entity or third party is considering any such claim, litigation, arbitration, action, suit, investigation or proceeding;</w:t>
      </w:r>
    </w:p>
    <w:p>
      <w:pPr>
        <w:spacing w:after="0" w:line="11" w:lineRule="exact"/>
        <w:rPr>
          <w:rFonts w:ascii="Times New Roman" w:cs="Times New Roman" w:eastAsia="Times New Roman" w:hAnsi="Times New Roman"/>
          <w:sz w:val="18"/>
          <w:szCs w:val="18"/>
          <w:color w:val="auto"/>
        </w:rPr>
      </w:pPr>
    </w:p>
    <w:p>
      <w:pPr>
        <w:jc w:val="both"/>
        <w:ind w:firstLine="8"/>
        <w:spacing w:after="0" w:line="252" w:lineRule="auto"/>
        <w:tabs>
          <w:tab w:leader="none" w:pos="3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received notice that any Governmental Entity has taken, is taking or intends to take action to limit, suspend, modify or revoke any Authorizations and the Company has no knowledge that any such Governmental Entity is considering such action; and (F) have filed, obtained, maintained or submitted all material reports, documents, forms, notices, applications, records, claims, submissions and supplements or amendments as required by any Applicable Laws or material Authorizations and that all such reports, documents, forms, notices, applications, records, claims, submissions and supplements or amendments were complete and correct in all material respects on the date filed (or were corrected or supplemented by a subsequent submission), except, in each of clauses (A) through (F) above, for such matters as would not reasonably be expected, individually or in the aggregate,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09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transactions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under the Securities Act. The Company has exercised reasonable care to determine whether any Issuer Covered Person is subject to a Disqualification Event.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00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that has been or will be paid (directly or indirectly) remuneration for solicitation of Investor or potential purchasers in connection with the sale of any Regulation D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56"/>
        <w:spacing w:after="0" w:line="266" w:lineRule="auto"/>
        <w:tabs>
          <w:tab w:leader="none" w:pos="9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Schedules</w:t>
      </w:r>
      <w:r>
        <w:rPr>
          <w:rFonts w:ascii="Times New Roman" w:cs="Times New Roman" w:eastAsia="Times New Roman" w:hAnsi="Times New Roman"/>
          <w:sz w:val="18"/>
          <w:szCs w:val="18"/>
          <w:color w:val="auto"/>
        </w:rPr>
        <w:t>. In the event that on the Commencement Date, the Company does not deliver any disclosure schedule contemplated by this Agreement, the Company hereby acknowledges and agrees that each such undelivered disclosure schedule shall be deemed to read as follows: “Nothing to Disclose”.</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Developments, or Circumstances</w:t>
      </w:r>
      <w:r>
        <w:rPr>
          <w:rFonts w:ascii="Times New Roman" w:cs="Times New Roman" w:eastAsia="Times New Roman" w:hAnsi="Times New Roman"/>
          <w:sz w:val="18"/>
          <w:szCs w:val="18"/>
          <w:color w:val="auto"/>
        </w:rPr>
        <w:t>.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or (ii) could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During the past five year period, no current officer or director or, to the knowledge of the Company, no former officer or director or current 10% or greater equity holder of the Company or any of its Subsidiaries has been the subject of:</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8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conviction in a criminal proceeding or a named subject of a pending criminal proceeding (excluding traffic violations that do not relate to driving while intoxicated or driving under the influence);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firstLine="644"/>
        <w:spacing w:after="0" w:line="282" w:lineRule="auto"/>
        <w:tabs>
          <w:tab w:leader="none" w:pos="162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not subsequently reversed, suspended or vacated, of any court of competent jurisdiction, permanently or temporarily enjoining any such Person from, or otherwise limiting, the following activities:</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56" w:lineRule="auto"/>
        <w:tabs>
          <w:tab w:leader="none" w:pos="26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87"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particular type of business practice; or</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activity in connection with the purchase or sale of any security or commodity or in connection with any violation of securities laws or commodities laws;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2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2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a court of competent jurisdiction in a civil action or by the Commodity Futures Trading Commission to have violated any federal commodities law, and the judgment in such civil action or finding has not been subsequently reversed, suspended, or vacated.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 Company does not have any agreement or understanding with Investor with respect to the transactions contemplated by the Transaction Documents other than as specified in the Transaction Documents.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Utility Holding Act</w:t>
      </w:r>
      <w:r>
        <w:rPr>
          <w:rFonts w:ascii="Times New Roman" w:cs="Times New Roman" w:eastAsia="Times New Roman" w:hAnsi="Times New Roman"/>
          <w:sz w:val="18"/>
          <w:szCs w:val="18"/>
          <w:color w:val="auto"/>
        </w:rPr>
        <w:t>. None of the Company nor any of its Subsidiaries is a “holding company,” or an “affiliate” of a “holding company,” as such terms are defined in the Public Utility Holding Act of 2005.</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Power Act</w:t>
      </w:r>
      <w:r>
        <w:rPr>
          <w:rFonts w:ascii="Times New Roman" w:cs="Times New Roman" w:eastAsia="Times New Roman" w:hAnsi="Times New Roman"/>
          <w:sz w:val="18"/>
          <w:szCs w:val="18"/>
          <w:color w:val="auto"/>
        </w:rPr>
        <w:t>. None of the Company nor any of its Subsidiaries is subject to regulation as a “public utility” under the Federal Power Act, as amended.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56"/>
        <w:spacing w:after="0" w:line="252" w:lineRule="auto"/>
        <w:tabs>
          <w:tab w:leader="none" w:pos="100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The Company confirms that neither it nor any other Person acting on its behalf has provided Investor or Investor’s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and the disclosures contained in the Company’s disclosure schedules to this Agreement. The Company understands and confirms that Investor will rely on the foregoing representations in effecting transactions in securities of the Company. All disclosure provided to Investor in the Transaction Documents regarding the Company and its Subsidiaries, their businesses and the transactions contemplated hereby and thereby, including the disclosures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Investor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or any of its Subsidiaries and made available to Investor have been prepared in good faith based upon reasonable assumptions and represented, at the time each such financial projection or forecast was delivered to Investor,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Investor has not made and is not making any representations or warranties with respect to the transactions contemplated hereby other than those specifically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89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Current Report and Registration Statement</w:t>
      </w:r>
      <w:r>
        <w:rPr>
          <w:rFonts w:ascii="Times New Roman" w:cs="Times New Roman" w:eastAsia="Times New Roman" w:hAnsi="Times New Roman"/>
          <w:sz w:val="18"/>
          <w:szCs w:val="18"/>
          <w:color w:val="auto"/>
        </w:rPr>
        <w:t>. The Company agrees that it shall, within the time required under the Exchange Act, file with the SEC a report on Form 8-K relating to the transactions contemplated by, and describing the material terms and conditions of, the Transaction Documents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The Company shall also file with the SEC one or more registration statements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shares of Common Stock in accordance with the terms of the Registration Rights Agreement. The Company shall permit the Investor to review and comment upon a pre-filing draft version of the Current Report at least two (2) Business Days prior to its filing with the SEC, and the Company shall not file the Current Report or the Registration Statement with the SEC in a form to which the Investor reasonably objects. The Investor shall use its reasonable best efforts to comment upon a pre-filing draft version of the Current Report within one (1) Business Day from the date the Investor receives it from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The Company shall take all such action, if any, as is reasonably necessary in order to obtain an exemption for or to register or qualify (i) the issuance of the Additional Commitment Shares, Exemption Purchase Shares, Filing Default Shares and Effectiveness Default Shares and the sale of the Purchase Shares to the Investor under this Agreement and (ii) any subsequent resale of all Additional Commitment Shares, Exemption Purchase Shares and all Purchase Shares by the Investor, in each case, under applicable securities or “Blue Sky” laws of the states of the United States in such states as is reasonably requested by the Investor from time to time, and shall provide evidence of any such action so taken to the Investor.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56"/>
        <w:spacing w:after="0" w:line="252" w:lineRule="auto"/>
        <w:tabs>
          <w:tab w:leader="none" w:pos="9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Listing/DTC</w:t>
      </w:r>
      <w:r>
        <w:rPr>
          <w:rFonts w:ascii="Times New Roman" w:cs="Times New Roman" w:eastAsia="Times New Roman" w:hAnsi="Times New Roman"/>
          <w:sz w:val="18"/>
          <w:szCs w:val="18"/>
          <w:color w:val="auto"/>
        </w:rPr>
        <w:t xml:space="preserve">. The Company shall promptly secure the listing of all of the shares of Common Stock representing the Purchase Shares, Exemption Purchase Shares, Additional Commitment Shares, Filing Default Shares and Effectiveness Default Shares to be issued to the Investor hereunder on the Principal Market (subject to official notice of issuance) and upon each other national securities exchange or automated quotation system, if any, upon which the Common Stock are then listed, and shall use commercially reasonable efforts to maintain, so long as any Common Stock shall be so listed, such listing of all such Securities from time to time issuable hereunder. The Company shall use commercially reasonable efforts to maintain the listing of the Common Stock on the Principal Market and shall comply in all respects with the Company’s reporting, filing and other obligations under the rules and regulations of the Principal Market. Neither the Company nor any of its Subsidiaries shall take any action that would reasonably be expected to result in the delisting or suspension of the Common Stock on the Principal Market. The Company shall promptly, and in no event later than the following Business Day, provide to the Investor copies of any notices it receives from any Person regarding the continued eligibility of the Common Stock for listing on the Principal Market; provided, however, that the Company shall not provide the Investor copies of any such notice that the Company reasonably believes constitutes material non-public information, and the Company would not be required to publicly disclose such notice in any report or statement filed with the SEC under the Exchange Act (including on Form 8-K) or the Securities Act.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The Company shall take all action necessary to ensure that its Common Stock can be transferred electronically as DWAC Shares.</w:t>
      </w:r>
    </w:p>
    <w:p>
      <w:pPr>
        <w:spacing w:after="0" w:line="19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of Short Sales and Hedging Transactions</w:t>
      </w:r>
      <w:r>
        <w:rPr>
          <w:rFonts w:ascii="Times New Roman" w:cs="Times New Roman" w:eastAsia="Times New Roman" w:hAnsi="Times New Roman"/>
          <w:sz w:val="18"/>
          <w:szCs w:val="18"/>
          <w:color w:val="auto"/>
        </w:rPr>
        <w:t>. The Investor agrees that during the Commitment Period, the Investor and its agents, representatives and affiliates shall not in any manner whatsoever enter into or effect, directly or indirectly, any (i) “short sale” (as such term is defined in Rule 200 of Regulation SHO of the Exchange Act) of the Common Stock (excluding transactions properly marked “short exempt”) or (ii) hedging transaction, which establishes a net short position with respect to the Common Stock.</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8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Non-Public Information</w:t>
      </w:r>
      <w:r>
        <w:rPr>
          <w:rFonts w:ascii="Times New Roman" w:cs="Times New Roman" w:eastAsia="Times New Roman" w:hAnsi="Times New Roman"/>
          <w:sz w:val="18"/>
          <w:szCs w:val="18"/>
          <w:color w:val="auto"/>
        </w:rPr>
        <w:t>. The Investor shall have the right, from time to time as the Investor may reasonably deem appropriate, to perform reasonable due diligence on the Company during normal business hours upon five (5) Business Days’ prior written notice. The Company and its officers and employees shall provide information and reasonably cooperate with the Investor in connection with any reasonable request by the Investor related to the Investor’s due diligence of the Company. Each party hereto agrees not to disclose any Confidential Information of the other party to any third party and shall not use the Confidential Information of such other party for any purpose other than in connection with, or in furtherance of, the transactions contemplated hereby in full compliance with applicable securities laws; provided, however that a party may disclose Confidential Information that is required by law to be disclosed by the receiving party, provided that the receiving party gives the disclosing party prompt written notice of such requirement prior to such disclosure and assistance in obtaining an order protecting the information from public disclosure. Each party hereto acknowledges that the Confidential Information shall remain the property of the disclosing party and agrees that it shall take all reasonable measures to protect the secrecy of any Confidential Information disclosed by the other party. The Company confirms that neither it nor any other Person acting on its behalf shall provide the Investor or its agents or counsel with any information that constitutes material, non-public information, unless a simultaneous public announcement thereof is made by the Company in the manner contemplated by Regulation FD under the Exchange Act. In the event of a breach of the foregoing covenant by the Company or any Person acting on its behalf (as determined in the reasonable good faith judgment of the Investor), in addition to any other remedy provided herein or in the other Transaction Documents, the Investor shall have the right to make a public disclosure, in the form of a press release, public advertisement or otherwise, of such material, non-public information without the prior approval by the Company; provided the Investor shall have first provided notice to the Company that it believes it has received information that constitutes material, non-public information, the Company shall have at least twenty-four (24) hours to publicly disclose such material, non-public information prior to any such disclosure by the Investor, and the Company shall have failed to publicly disclose such material, non-public information within such time period. The Investor shall not have any liability to the Company, any of its Subsidiaries, or any of their respective directors, officers, employees, stockholders or agents, for any such disclosure. The Company understands and confirms that the Investor shall be relying on the foregoing covenants in effecting transactions in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56"/>
        <w:spacing w:after="0" w:line="266" w:lineRule="auto"/>
        <w:tabs>
          <w:tab w:leader="none" w:pos="9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Records</w:t>
      </w:r>
      <w:r>
        <w:rPr>
          <w:rFonts w:ascii="Times New Roman" w:cs="Times New Roman" w:eastAsia="Times New Roman" w:hAnsi="Times New Roman"/>
          <w:sz w:val="18"/>
          <w:szCs w:val="18"/>
          <w:color w:val="auto"/>
        </w:rPr>
        <w:t>. The Investor and the Company shall each maintain records showing the remaining Available Amount at any given time and the dates and Purchase Amounts for each Regular Purchase and each Exemption Purchase or shall use such other method, reasonably satisfactory to the Investor and the Company.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Fees</w:t>
      </w:r>
      <w:r>
        <w:rPr>
          <w:rFonts w:ascii="Times New Roman" w:cs="Times New Roman" w:eastAsia="Times New Roman" w:hAnsi="Times New Roman"/>
          <w:sz w:val="18"/>
          <w:szCs w:val="18"/>
          <w:color w:val="auto"/>
        </w:rPr>
        <w:t>. The Company shall pay any and all transfer, stamp or similar taxes and fees that may be payable with respect to the issuance and delivery of any Common Stock to the Investor made under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8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Aggregation</w:t>
      </w:r>
      <w:r>
        <w:rPr>
          <w:rFonts w:ascii="Times New Roman" w:cs="Times New Roman" w:eastAsia="Times New Roman" w:hAnsi="Times New Roman"/>
          <w:sz w:val="18"/>
          <w:szCs w:val="18"/>
          <w:color w:val="auto"/>
        </w:rPr>
        <w:t>. From and after the date of this Agreement, neither the Company, nor any of its affiliates will, and the Company shall use its reasonable best efforts to ensure that no Person acting on their behalf will, directly or indirectly, make any offers or sales of any security or solicit any offers to buy any security, under circumstances that would cause this offering of the Securities by the Company to the Investor to be aggregated with other offerings by the Company in a manner that would require stockholder approval pursuant to the rules of the Principal Market on which any of the securities of the Company are listed or designated, unless stockholder approval is obtained before the closing of such subsequent transaction in accordance with the rules of such Principal Market.</w:t>
      </w:r>
    </w:p>
    <w:p>
      <w:pPr>
        <w:spacing w:after="0" w:line="18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from the offering for any corporate purpose at the sole discretion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Transactions</w:t>
      </w:r>
      <w:r>
        <w:rPr>
          <w:rFonts w:ascii="Times New Roman" w:cs="Times New Roman" w:eastAsia="Times New Roman" w:hAnsi="Times New Roman"/>
          <w:sz w:val="18"/>
          <w:szCs w:val="18"/>
          <w:color w:val="auto"/>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including, without limitation, the obligation of the Company to deliver the Securities to the Investor in accordance with the terms of the Transaction Documents.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From and after the date of this Agreement, neither the Company, nor or any of its affiliates will, and the Company shall use its reasonable best efforts to ensure that no Person acting on their behalf will, directly or indirectly, make any offers or sales of any security or solicit any offers to buy any security, under circumstances that would require registration of the offer and sale of any of the Securities under the Securities Act.</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56"/>
        <w:spacing w:after="0" w:line="253" w:lineRule="auto"/>
        <w:tabs>
          <w:tab w:leader="none" w:pos="90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 Restriction</w:t>
      </w:r>
      <w:r>
        <w:rPr>
          <w:rFonts w:ascii="Times New Roman" w:cs="Times New Roman" w:eastAsia="Times New Roman" w:hAnsi="Times New Roman"/>
          <w:sz w:val="18"/>
          <w:szCs w:val="18"/>
          <w:color w:val="auto"/>
        </w:rPr>
        <w:t xml:space="preserve">. During the Commitment Period, neither the Company nor any Subsidiary shall (i) enter into any equity-based financing that is a Variable Rate Transaction other than with the Investor or (ii) file any registration statement or amendment or supplement thereto, other than the Prospectus Supplement or filing a registration statement on Form S-8 in connection with any employee benefit plan. Notwithstanding anything to the contrary contained herein, after the end of the earlier of (i) the first Exemption Purchase Measurement Period, or (ii) the first Regular Purchase Measurement Period, the Company may enter into any equity-based financing that is not a Variable Rate Transaction,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there is no active Measurement Period. “Variable Rate Transaction” means a transaction in which the Company (i) issues or sells any equity or debt securities that are convertible into, exchangeable or exercisable for, or include the right to receive additional shares of Common Stock or Common Stock Equivalents either</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conversion price, exercise price, exchange rate or other price that is based upon and/or varies with the trading prices of or quotations for the shares of Common Stock at any time after the initial issuance of such equity or debt securities (including, without limitation, pursuant to any “cashless exercise” provision),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Stock (including, without limitation, any “full ratchet” or “weighted average” anti-dilution provisions, but not including any standard anti-dilution protection for any reorganization, recapitalization, non-cash dividend, share split, reverse share split or other similar transaction), (ii) issues or sells any equity or debt securities, including without limitation, shares of Common Stock or Common Stock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Stock (other than standard anti-dilution protection for any reorganization, recapitalization, non-cash dividend, share split, reverse share split or other similar transaction), or (B) that is subject to or contains any put, call, redemption, buy-back, price-reset or other similar provision or mechanism (including, without limitation, a “Black-Scholes” put or call right) that provides for the issuance of additional equity securities of the Company or the payment of cash by the Company, or (iii) enters into any agreement, including, but not limited to, an “equity line”, “at-the-market offering” that is not an Exempt Issuance or other continuous offering or similar offering of shares of Common Stock or Common Stock Equivalents, whereby the Company may sell Common Stock or Common Stock Equivalents at a future determined price. “Exempt Issuance” means the issuance of (a) shares of Common Stock, options, restricted stock units or other equity incentive awards to employees, officers, directors or vendors of the Company pursuant to any equity incentive plan duly adopted for such purpose, by the Board of Directors of the Company or a majority of the members of a committee of directors established for such purpose, (b) any Securities issued to the Investor pursuant to this Agreement, (c) shares of Common Stock, Common Stock Equivalents or other securities issued to the Investor pursuant to any other existing or future contract, agreement or arrangement between the Company and the Investor, (d) shares of Common Stock, Common Stock Equivalents or other securities upon the exercise, exchange or conversion of any Common Stock, Common Stock Equivalents or other securities held by the Investor at any time, (e) any securities issued upon the exercise or exchange of or conversion of any Common Stock Equivalents issued and outstanding on the date hereof, provided that such securities or Common Stock Equivalents referred to in this clause (e) have not been amended since the date hereof to increase the number of such securities or shares of Common Stock underlying such securities or to decrease the exercise price, exchange price or conversion price of such securities or to extend the term of such securities, (f) Common Stock Equivalents that are convertible into, exchangeable or exercisable for, or include the right to receive shares of Common Stock at a conversion price, exercise price, exchange rate or other price (which may be below the then current market price of the Common Stock) that is fixed at the time of initial issuance of such Common Stock Equivalents (subject only to standard anti-dilution protection for any reorganization, recapitalization, non-cash dividend, share split, reverse share split or other similar transaction), which fixed conversion price, exercise price, exchange rate or other price shall not at any time after the initial issuance of such Common Stock Equivalent be based upon or varying with the trading prices of or quotations for the Common Stock or subject to being reset at some future date, (g) any shares of Common Stock or Convertible Securities by reason of a dividend, stock split, split-up or other distribution on Common Stock, (h) securities issued pursuant to acquisitions, divestitures, licenses, partnerships, collaborations or strategic transactions approved by the Board of Directors of the Company or a majority of the members of a committee of directors established for such purpose, provided that such securities are issued as “restricted securities” (as defined in Rule 144) and carry no registration rights that require or permit the filing of any registration statement in connection therewith during the prohibition period in this Section 5(m), further provided that any such issuance shall only be to a Person (or to the equity holders of a Person) which is, itself or through its subsidiaries,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(i) any issuance of Common Stock pursuant to the Side Letter Agreement (as defined below) and the exercise of warrants before and after amendments to such pre-funded warrants as is contemplated by Proposal 4 of the Company’s definitive proxy statement on schedule 14A filed with the SEC on July 22, 2024.</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56"/>
        <w:spacing w:after="0" w:line="253"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reimburse Investor for all actual costs and expenses incurred by it or its affiliates in connection with the structuring, documentation, negotiation and closing of the transactions contemplated by the Transaction Documents (including, without limitation, as applicable, all reasonable legal fees of outside counsel and disbursements of Sullivan &amp; Worcester LLP, counsel to Investor, any other reasonable fees and expenses in connection with the structuring, documentation, negotiation and closing of the transactions contemplated by the Transaction Documents and due diligence and regulatory filings in connection therewith) (the “Transaction Expenses”) and the Transaction Expenses accrued to the date of the Closing, less, $15,000 previously paid by the Company to Investor, shall be withheld by Investor from the Purchase Price at the Closing; provided, that the aggregate Transaction Expenses shall not exceed $35,000 (the “Fee Cap”) and the Company shall promptly reimburse Sullivan &amp; Worcester LLP on demand for all Transaction Expenses not so reimbursed through withholding at Closing. The Company shall be responsible for the payment of any placement agent’s fees, financial advisory fees, transfer agent fees, DTC (as defined below) fees or broker’s commissions (other than for Persons engaged by Investor) relating to or arising out of the transactions contemplated hereby. The Company shall pay, and hold Investor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Investor.</w:t>
      </w:r>
    </w:p>
    <w:p>
      <w:pPr>
        <w:spacing w:after="0" w:line="189"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Leak Out</w:t>
      </w:r>
      <w:r>
        <w:rPr>
          <w:rFonts w:ascii="Times New Roman" w:cs="Times New Roman" w:eastAsia="Times New Roman" w:hAnsi="Times New Roman"/>
          <w:sz w:val="18"/>
          <w:szCs w:val="18"/>
          <w:color w:val="auto"/>
        </w:rPr>
        <w:t>. Investor will be limited to total monthly sales of Common Stock equal to the greater of: (a) $25,000 per Trading Day each month, and (b) an amount equal to 17.5% of the daily trading volume of the Common Stock as reported by Bloomberg, LP on such Trading Day.</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shall obtain the prior written consent of the requisite stockholders (the “</w:t>
      </w:r>
      <w:r>
        <w:rPr>
          <w:rFonts w:ascii="Times New Roman" w:cs="Times New Roman" w:eastAsia="Times New Roman" w:hAnsi="Times New Roman"/>
          <w:sz w:val="18"/>
          <w:szCs w:val="18"/>
          <w:u w:val="single" w:color="auto"/>
          <w:color w:val="auto"/>
        </w:rPr>
        <w:t>Stockholder Consent</w:t>
      </w:r>
      <w:r>
        <w:rPr>
          <w:rFonts w:ascii="Times New Roman" w:cs="Times New Roman" w:eastAsia="Times New Roman" w:hAnsi="Times New Roman"/>
          <w:sz w:val="18"/>
          <w:szCs w:val="18"/>
          <w:color w:val="auto"/>
        </w:rPr>
        <w:t>”) to obtain the Stockholder Approval (as defined below), and shall inform the stockholders of the Company of the receipt of the Stockholder Consent by preparing and filing with the SEC, as promptly as practicable after the date hereof, but prior to the thirtieth (30th) calendar day after the date hereof (or, if such filing is delayed by a court or regulatory agency, in no event later than forty-fifth (45th) calendar days after the date hereof), an information statement with respect thereto. As used herein,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the approval of such number of the holders of the outstanding shares of the Company’s voting securities as required by its Bylaws and the Nevada Revised Statutes, to ratify and approve all of the transactions contemplated by the Transaction Documents, including the issuance of all of the Securities, all as may be required by the applicable rules and regulations of the Principal Market (or any successor entity).</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During the Commitment Period, the Company shall take all action necessary to at all times have authorized, and reserved for the purpose of issuance, no less than 200% of the maximum number of Securities issuable upon delivery of a Purchase Notice (collectively,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Securities reserved pursuant to this Section 4(r) be reduced other than proportionally in connection with any delivery of any Purchase Notice. If at any time the number of Securities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Securities to meet the Company’s obligations pursuant to the Transaction Documents, and in the case of an insufficient number of authorized shares, obtaining stockholder approval to amend the Company’s articles of incorporation to increase the authorized number of shares of capital stock of the Company (the “Increase in Authorized Shares Proposal”), and voting the shares of the Company held by the Company’s management in favor of the Increase Authorized Shares Proposal to ensure that the number of authorized shares is sufficient to meet the Required Reserve Amount.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IRREVOCABLE TRANSFER AGENT INSTRUCTIONS; FAILURE TO TIMELY DELIVER.</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0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Transfer Agent Instructions</w:t>
      </w:r>
      <w:r>
        <w:rPr>
          <w:rFonts w:ascii="Times New Roman" w:cs="Times New Roman" w:eastAsia="Times New Roman" w:hAnsi="Times New Roman"/>
          <w:sz w:val="18"/>
          <w:szCs w:val="18"/>
          <w:color w:val="auto"/>
        </w:rPr>
        <w:t>. On the Commencement Date, the Company shall issue to the Transfer Agent (and any subsequent transfer agent) irrevocable instructions, in the form mutually agreed by the parties and substantially similar to those used by investors in substantially similar transactions, to issue the Purchase Shares, Exemption Purchase Shares, and Additional Commitment Shares in accordance with the terms of this Agreement (the “</w:t>
      </w:r>
      <w:r>
        <w:rPr>
          <w:rFonts w:ascii="Times New Roman" w:cs="Times New Roman" w:eastAsia="Times New Roman" w:hAnsi="Times New Roman"/>
          <w:sz w:val="18"/>
          <w:szCs w:val="18"/>
          <w:u w:val="single" w:color="auto"/>
          <w:color w:val="auto"/>
        </w:rPr>
        <w:t>Irrevocable Transfer Agent Instructions</w:t>
      </w:r>
      <w:r>
        <w:rPr>
          <w:rFonts w:ascii="Times New Roman" w:cs="Times New Roman" w:eastAsia="Times New Roman" w:hAnsi="Times New Roman"/>
          <w:sz w:val="18"/>
          <w:szCs w:val="18"/>
          <w:color w:val="auto"/>
        </w:rPr>
        <w:t>”). All Securities to be issued to or for the benefit of the Investor pursuant to this Agreement shall be issued as DWAC Shares. The Company warrants to the Investor that no instruction other than the Irrevocable Transfer Agent Instructions referred to in this Section 6 will be given by the Company to the Transfer Agent with respect to the Securities, and the Securities shall otherwise be freely transferable on the books and records of the Company. The Company represents and warrants to the Investor that, from and after Commencement, and the Additional Commitment Shares, Exemption Purchase Shares and the Purchase Shares covered by the Registration Statement shall otherwise be freely transferable on the books and records of the Company.</w:t>
      </w:r>
    </w:p>
    <w:p>
      <w:pPr>
        <w:spacing w:after="0" w:line="188" w:lineRule="exact"/>
        <w:rPr>
          <w:rFonts w:ascii="Times New Roman" w:cs="Times New Roman" w:eastAsia="Times New Roman" w:hAnsi="Times New Roman"/>
          <w:sz w:val="18"/>
          <w:szCs w:val="18"/>
          <w:color w:val="auto"/>
        </w:rPr>
      </w:pPr>
    </w:p>
    <w:p>
      <w:pPr>
        <w:jc w:val="both"/>
        <w:ind w:firstLine="656"/>
        <w:spacing w:after="0" w:line="251" w:lineRule="auto"/>
        <w:tabs>
          <w:tab w:leader="none" w:pos="9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Timely Deliver</w:t>
      </w:r>
      <w:r>
        <w:rPr>
          <w:rFonts w:ascii="Times New Roman" w:cs="Times New Roman" w:eastAsia="Times New Roman" w:hAnsi="Times New Roman"/>
          <w:sz w:val="18"/>
          <w:szCs w:val="18"/>
          <w:color w:val="auto"/>
        </w:rPr>
        <w:t>. If the Company fails, for any reason or for no reason, to issue and deliver (or cause to be delivered) to Investor (or its designee) by each Required Delivery Date hereunder, either (I) if the Transfer Agent is not participating in the DTC Fast Automated Securities Transfer Program, a certificate for the number of shares of Common Stock to which Investor is entitled and register such Common Stock on the Company’s share register or, if the Transfer Agent is participating in the DTC Fast Automated Securities Transfer Program, to credit the balance account of Investor or Investor’s designee with DTC for such number of shares of Common Stock submitted for legend removal by Investor pursuant to Section 5(d) above or (II) if the Registration Statement covering the resale of the Securities submitted for legend removal by Investor (the “</w:t>
      </w:r>
      <w:r>
        <w:rPr>
          <w:rFonts w:ascii="Times New Roman" w:cs="Times New Roman" w:eastAsia="Times New Roman" w:hAnsi="Times New Roman"/>
          <w:sz w:val="18"/>
          <w:szCs w:val="18"/>
          <w:u w:val="single" w:color="auto"/>
          <w:color w:val="auto"/>
        </w:rPr>
        <w:t>Unavailable Shares</w:t>
      </w:r>
      <w:r>
        <w:rPr>
          <w:rFonts w:ascii="Times New Roman" w:cs="Times New Roman" w:eastAsia="Times New Roman" w:hAnsi="Times New Roman"/>
          <w:sz w:val="18"/>
          <w:szCs w:val="18"/>
          <w:color w:val="auto"/>
        </w:rPr>
        <w:t>”) is not available for the resale of such Unavailable Shares and the Company fails to promptly, but in no event later than as required pursuant to the Registration Rights Agreement (x) so notify Investor and (y) deliver the shares of Common Stock electronically without any restrictive legend by crediting such aggregate number of shares of Common Stock submitted for legend removal by Investor to Investor’s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u w:val="single" w:color="auto"/>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then, in addition to all other remedies available to Investor, the Company shall pay in cash to Investor on each day after the Required Delivery Date and during such Delivery Failure an amount equal to 2% of the product of (A) the aggregate number of shares of Common Stock not issued to Investor on or prior to the Required Delivery Date and to which Investor is entitled, multiplied by (B) the highest trading price of the applicable shares of Common Stock for the period between the Required Delivery Date and the actual date the shares are delivered. In addition to the foregoing, if on or prior to the Required Delivery Date either (I) if the Transfer Agent is not participating in the DTC Fast Automated Securities Transfer Program, the Company shall fail to issue and deliver a certificate to Investor and register such Common Stock on the Company’s share register or, if the Transfer Agent is participating in the DTC Fast Automated Securities Transfer Program, credit the balance account of Investor or Investor’s designee with DTC for the number of shares of Common Stock to which Investor submitted for legend removal by Investor pursuant to clause (ii) below or otherwise or (II) a Notice Failure occurs, and if on or after such Trading Day Investor purchases (in an open market transaction or otherwise) Common Stock to deliver in satisfaction of a sale by Investor of shares of Common Stock submitted for legend removal by Investor that Investor is entitled to receive from the Company (a “Buy-In”), then the Company shall, within two (2) Business Days after Investor’s request and in Investor’s discretion, either (i) pay cash to Investor in an amount equal to Investor’s total purchase price (including reasonable brokerage commissions, borrow fees and other out-of-pocket expenses, if any, for the Common Stock so purchased)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at which point the Company’s obligation to so deliver such certificate or credit Investor’s balance account shall terminate and such shares shall be cancelled, or (ii) promptly honor its obligation to so deliver to Investor a certificate or certificates or credit the balance account of Investor or Investor’s designee with DTC representing such number of shares of Common Stock that would have been so delivered if the Company timely complied with its obligations hereunder and pay cash to Investor in an amount equal to the excess (if any) of the Buy-In Price over the product of (A) such number of shares of Common Stock that the Company was required to deliver to Investor by the Required Delivery Date multiplied by (B) the price at which Investor sold such Common Stock in anticipation of the Company’s timely compliance with its delivery obligations hereunder. Nothing shall limit Investor’s right to pursue any other remedies available to it hereunder, at law or in equity, including, without limitation, a decree of specific performance and/or injunctive relief with respect to the Company’s failure to timely deliver certificates representing Common Stock (or to electronically deliver such Common Stock) as required pursuant to the terms hereof.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RIGHT TO COMMENCE SALES OF COMMON STOCK.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right of the Company hereunder to commence sales of the Purchase Shares on the Commencement Date is subject to the satisfaction of each of the following conditions:</w:t>
      </w:r>
    </w:p>
    <w:p>
      <w:pPr>
        <w:spacing w:after="0" w:line="162" w:lineRule="exact"/>
        <w:rPr>
          <w:sz w:val="20"/>
          <w:szCs w:val="20"/>
          <w:color w:val="auto"/>
        </w:rPr>
      </w:pPr>
    </w:p>
    <w:p>
      <w:pPr>
        <w:ind w:left="900" w:hanging="244"/>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executed each of the Transaction Documents and delivered the same to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covering the resale of the Common Stock representing Additional Commitment Shares, Exemption Purchase Shares and Purchase Shares shall have been declared effective under the Securities Act by the SEC and no stop order with respect to the Registration Statement shall be pending or threatened by the SEC;</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to be issued by the Company to the Investor under the Transaction Documents shall have been approved for listing on the Principal Market in accordance with the applicable rules and regulations of the Principal Market, subject only to official notice of issuance;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side letter agreement by and between the Chief Executive Officer of the Company and the Investor dated as of the date hereof (the “Side Letter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Investor shall be true and correct in all material respects as of the date hereof and as of the Commencement Date as though made at that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Company’s sale of Exemption Purchase Shares pursuant to an Exemption Purchase Notice delivered on the date hereof pursuant to Section 2(b)(ii)(i) shall only be subject to the satisfaction of the conditions specified in Sections 7(a)(d) and (e), to the extent applicable, with applicable deliverables with respect to such Exemption Purchase dated as of the date hereof unless otherwise agreed upon by the parties.</w:t>
      </w:r>
    </w:p>
    <w:p>
      <w:pPr>
        <w:spacing w:after="0" w:line="172"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INVESTOR’S OBLIGATION TO PURCHASE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 of the Investor to buy Purchase Shares under this Agreement is subject to the satisfaction of each of the following conditions on or prior to the Commencement Date and, once such conditions have been initially satisfied, there shall not be any ongoing obligation to satisfy such conditions after the Commencement has occurred:</w:t>
      </w:r>
    </w:p>
    <w:p>
      <w:pPr>
        <w:spacing w:after="0" w:line="176" w:lineRule="exact"/>
        <w:rPr>
          <w:sz w:val="20"/>
          <w:szCs w:val="20"/>
          <w:color w:val="auto"/>
        </w:rPr>
      </w:pPr>
    </w:p>
    <w:p>
      <w:pPr>
        <w:ind w:left="900" w:hanging="244"/>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each of the Transaction Documents and delivered the same to the Investor;</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shall be listed or quoted on the Principal Market, trading in the Common Stock shall not have been within the last 180 days suspended by the SEC or the Principal Market, and all Common Stock representing Securities to be issued by the Company to the Investor pursuant to this Agreement shall have been approved for listing or quotation on the Principal Market in accordance with the applicable rules and regulations of the Principal Market, subject only to official notice of issuance;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656"/>
        <w:spacing w:after="0" w:line="266" w:lineRule="auto"/>
        <w:tabs>
          <w:tab w:leader="none" w:pos="8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received one or more opinion letters of Blank Rome LLP, the Company’s U.S. legal counsel, dated as of the date hereof and the Commencement Date, in form and substance which are customary for deals of this nature and satisfactory to counsel for the Investor and previously agreed upon by the Investor and such counsel;</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shall be true and correct in all material respects (except to the extent that any of such representations and warranties is already qualified as to materiality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above, in which case, such representations and warranties shall be true and correct without further qualification) as of the date hereof and as of the Commencement Date as though made at that time (except for representations and warranties that speak as of a specific date, which shall be true and correct as of such date) and the Company shall have performed, satisfied and complied with the covenants, agreements and conditions required by the Transaction Documents to be performed, satisfied or complied with by the Company at or prior to the Commencement Date. The Investor shall have received a certificate, executed by the Chief Executive Officer of the Company, dated as of the Commencement Date, to the foregoing effect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Commencement Date, the Company shall have initially reserved 2,844,672 shares of Common Stock out of its authorized and unissued Common Stock, solely for the purpose of effecting purchases of Purchase Shares hereunder (including the issuance of Additional Commitment Shares hereunder), the issuance of Exemption Purchase Shares hereunder, and the issuance of the Filing Default Shares and Effectiveness Default Shares under the Registration Rights Agreement;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Irrevocable Transfer Agent Instructions shall have been delivered to and acknowledged in writing by the Company and the Company’s Transfer Agent (or any successor transfer agent);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Investor (i) a certificate evidencing the good standing of the Company in the State of Nevada issued by the Secretary of Nevada on or prior to the date hereof and (ii) a certificate or its equivalent evidencing the good standing of the Company as a foreign corporation in each jurisdiction where the Company is duly qualified to conduct business as of a date within ten (10) Business Days of the Commencement Date;</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Investor a certified copy of the Articles of Incorporation as certified by the Secretary of State of Nevada on or prior to the date 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the Investor a certificate executed by a director of the Company, dated as of the Commencement Date,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8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covering the resale of the Common Stock representing Additional Commitment Shares, Exemption Purchase Shares, and Purchase Shares shall have been declared effective under the Securities Act by the SEC and no stop order with respect to the Registration Statement shall be pending or, to the knowledge of the Company, threatened by the SEC. The Company shall have prepared and filed with the SEC, not later than two (2) Business Days after the effective date of the Registration Statement, a final and complete prospectus (the preliminary form of which shall be included in the Registration Statement) and shall have delivered to the Investor a true and complete copy thereof. Such prospectus shall be current and available for the resale by the Investor of all of the Common Stock representing Securities covered thereby;</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960" w:hanging="30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or any event which, after notice and/or lapse of time, would become an Event of Default has occurred;</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foreign, federal, state and local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and local courts or governmental agencies and all federal, state and local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the Securities Act, the Exchange Act, applicable state securities or “Blue Sky” laws or applicable rules and regulations of the Principal Market, or otherwise required by the SEC, the Principal Market or any state securities regulators;</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regulation, order, decree, writ, ruling or injunction shall have been enacted, entered, promulgated, threatened or endorsed by any federal, state, local or foreign court or Governmental Entity of competent jurisdiction which prohibits the consummation of or which would materially modify or delay any of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before any federal, state, local or foreign arbitrator or any court or Governmental Entity of competent jurisdiction shall have been commenced or threatened, and no inquiry or investigation by any federal, state, local or foreign Governmental Entity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provided the Investor with the information requested by the Investor in connection with its due diligence requests in accordance with the terms of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Investor any other documents, certificates or instruments that may be reasonably requested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Investor’s purchase of Exemption Purchase Shares pursuant to an Exemption Purchase Notice delivered on the date hereof pursuant to Section 2(b)(ii)(i) shall only be subject to the satisfaction of the conditions specified in this Section, to the extent applicable, with applicable deliverables with respect to such Exemption Purchase dated as of the date hereof unless otherwise agreed upon by the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In consideration of the Investor’s execution and delivery of the Transaction Documents and acquiring the Securities hereunder and in addition to all of the Company’s other obligations under the Transaction Documents, the Company shall defend, protect, indemnify and hold harmless the Investor and all of its affiliates, stockholders, officers, directors, members, managers,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7"/>
          <w:szCs w:val="17"/>
          <w:u w:val="single" w:color="auto"/>
          <w:color w:val="auto"/>
        </w:rPr>
        <w:t>Indemnitees</w:t>
      </w:r>
      <w:r>
        <w:rPr>
          <w:rFonts w:ascii="Times New Roman" w:cs="Times New Roman" w:eastAsia="Times New Roman" w:hAnsi="Times New Roman"/>
          <w:sz w:val="17"/>
          <w:szCs w:val="17"/>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7"/>
          <w:szCs w:val="17"/>
          <w:u w:val="single" w:color="auto"/>
          <w:color w:val="auto"/>
        </w:rPr>
        <w:t>Indemnified Liabilities</w:t>
      </w:r>
      <w:r>
        <w:rPr>
          <w:rFonts w:ascii="Times New Roman" w:cs="Times New Roman" w:eastAsia="Times New Roman" w:hAnsi="Times New Roman"/>
          <w:sz w:val="17"/>
          <w:szCs w:val="17"/>
          <w:color w:val="auto"/>
        </w:rPr>
        <w:t xml:space="preserve">”), incurred by any Indemnitee as a result of, or arising out of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(c) any cause of action, suit or claim brought or made against such Indemnitee and arising out of or resulting from the execution, delivery, performance or enforcement of the Transaction Documents or any other certificate, instrument or document contemplated hereby or thereby, (d) any violation of the Securities Act, the Exchange Act, state securities or “Blue Sky” laws, or the rules and regulations of the Principal Market in connection with the transactions contemplated by the Transaction Documents by the Company or any of its Subsidiaries, affiliates, officers, directors or employees, (e) any untrue statement or alleged untrue statement of a material fact contained, or incorporated by reference, in the Registration Statement or any amendment thereto or any omission or alleged omission to state therein, or in any document incorporated by reference therein, a material fact required to be stated therein or necessary to make the statements therein not misleading, or (f) any untrue statement or alleged untrue statement of a material fact contained, or incorporated by reference, in the Registration Statement, or any omission or alleged omission to state therein, or in any document incorporated by reference therein, a material fact required to be stated therein or necessary to make the statements therein, in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the indemnity contained in clause</w:t>
      </w:r>
    </w:p>
    <w:p>
      <w:pPr>
        <w:spacing w:after="0" w:line="6" w:lineRule="exact"/>
        <w:rPr>
          <w:sz w:val="20"/>
          <w:szCs w:val="20"/>
          <w:color w:val="auto"/>
        </w:rPr>
      </w:pPr>
    </w:p>
    <w:p>
      <w:pPr>
        <w:jc w:val="both"/>
        <w:ind w:firstLine="8"/>
        <w:spacing w:after="0" w:line="251" w:lineRule="auto"/>
        <w:tabs>
          <w:tab w:leader="none" w:pos="2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not apply to any Indemnified Liabilities which directly and primarily result from the fraud, gross negligence or willful misconduct of an Indemnitee, (II) the indemnity contained in clauses (d), (e) and (f)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not apply to any Indemnified Liabilities to the extent, but only to the extent, arising out of or based upon any untrue statement or alleged untrue statement or omission or alleged omission made in reliance upon and in conformity with written information furnished to the Company by or on behalf of the Investor expressly for use in any Registration Statement and (III) the indemnity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not apply to amounts paid in settlement of any claim if such settlement is effected without the prior written consent of the Company, which consent shall not be unreasonably withheld, conditioned or delayed. To the extent that the foregoing undertaking by the Company may be unenforceable for any reason, the Company shall make the maximum contribution to the payment and satisfaction of each of the Indemnified Liabilities which is permissible under applicable law, provided that no seller of Securities guilty of fraudulent misrepresentation (within the meaning of Section 11(f) of the Securities Act) shall be entitled to contribution from any seller of Securities who was not guilty of fraudulent misrepresentation. Payment under this indemnification shall be made within thirty (30) days from the date the Indemnitee makes written request for it. A certificate containing reasonable detail as to the amount of such indemnification submitted to the Company by the Indemnitee shall be conclusive evidence, absent manifest error, of the amount due from the Company to the Indemnitee. If any action shall be brought against any Indemnitee with respect to which indemnity may be sought pursuant to this Agreement, such Indemnitee shall promptly notify the Company in writing, and the Company shall have the right to assume the defense thereof with counsel of its own choosing reasonably acceptable to the Indemnitee. Any Indemnitee shall have the right to employ separate counsel in any such action and participate in the defense thereof, but the fees and expenses of such counsel shall be at the expense of such Indemnitee, except to the extent that (i) the employment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Indemnitee, in which case the Company shall be responsible for the reasonable fees and expenses of no more than one such separate counsel.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be deemed to have occurred at any time as any of the following events occurs: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9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 registration statement registering the resale of the shares of Common Stock representing Securities lapses for any reason (including, without limitation, the issuance of a stop order or similar order) or such registration statement (or the prospectus forming a part thereof) is unavailable to the Investor for resale of any or all of the Common Stock representing Securities to be issued to the Investor under the Transaction Documents, and such lapse or unavailability continues for a period of ten (10) consecutive Business Days or for more than an aggregate of thirty (30) Business Days in any 365-day period, but excluding a lapse or unavailability where (i) the Company terminates a registration statement after the Investor has confirmed in writing that all of the Common Stock representing Securities covered thereby have been resold or (ii) the Company supersedes one registration statement with another registration statement, including (without limitation) by terminating a prior registration statement when it is effectively replaced with a new registration statement covering Common Stock representing Securities (provided in the case of this clause (ii) that all of the Common Stock representing Securities covered by the superseded (or terminated) registration statement that have not theretofore been resold are included in the superseding (or new) registration statement);</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the Common Stock from trading on the Principal Market for a period of one (1) Business Day, provided that the Company may not direct the Investor to purchase any Common Stock during any such suspension;</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for any reason by Company or the Transfer Agent to deliver, as DWAC Shares, (i) the Pre-Settlement Regular Purchase Shares to the Investor within one (1) Trading Day after the Purchase Notice Date or (ii) the Settlement Regular Purchase Shares to the Investor within one (1) Trading Day after the Regular Purchase Measurement Period or the Exemption Purchase Measurement Period to which Investor is entitled hereunder in connection with a Regular Purchase or an Exemption Purchase within one (1) Trading Day after the Regular Purchase Measurement Period or the Exemption Purchase Measurement Period;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breaches any representation or warranty in any material respect, or breaches any covenant or other term or condition under any Transaction Document, and except in the case of a breach of a covenant which is reasonably curable, only if such breach continues for a period of at least five (5) consecutive Business Days;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8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commences a proceeding against the Company pursuant to or within the meaning of any Bankruptcy Law for so long as such proceeding is not dismissed;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at any time insolvent, or,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(v) the Company is generally unable to pay its debts as the same become due;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656"/>
        <w:spacing w:after="0" w:line="266" w:lineRule="auto"/>
        <w:tabs>
          <w:tab w:leader="none" w:pos="9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 any Subsidiary for so long as such order, decree or similar action remains in effect; or</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Company is not eligible to transfer its Common Stock as DWAC Shares.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any other rights and remedies under applicable law and this Agreement, so long as an Event of Default has occurred and is continuing, or if any event which, after notice and/or lapse of time, would become an Event of Default, has occurred and is continuing, the Company shall not deliver to the Investor any Purchase Notice. Notwithstanding the foregoing, the foregoing sentence shall not be deemed to apply to any notice from Nasdaq previously received or received in the future regarding the Company’s failure to comply with the continuing listing standards of The Nasdaq Capital Market, and to the fact of each such failure, unless and unless all compliance and appeal periods for such failure have lapsed or expired.</w:t>
      </w:r>
    </w:p>
    <w:p>
      <w:pPr>
        <w:spacing w:after="0" w:line="179"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terminated only as follows: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2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is not cured within the applicable cure period (any of which would be an Event of Default as described in </w:t>
      </w:r>
      <w:r>
        <w:rPr>
          <w:rFonts w:ascii="Times New Roman" w:cs="Times New Roman" w:eastAsia="Times New Roman" w:hAnsi="Times New Roman"/>
          <w:sz w:val="18"/>
          <w:szCs w:val="18"/>
          <w:u w:val="single" w:color="auto"/>
          <w:color w:val="auto"/>
        </w:rPr>
        <w:t>Sections 10(f)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10(h)</w:t>
      </w:r>
      <w:r>
        <w:rPr>
          <w:rFonts w:ascii="Times New Roman" w:cs="Times New Roman" w:eastAsia="Times New Roman" w:hAnsi="Times New Roman"/>
          <w:sz w:val="18"/>
          <w:szCs w:val="18"/>
          <w:color w:val="auto"/>
        </w:rPr>
        <w:t xml:space="preserve"> hereof), this Agreement shall automatically terminate without any liability or payment to the Company (except as set forth below) without further action or notice by any Person.</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Commencement shall not have occurred on or before November 15, 2024, due to the failure to satisfy the conditions set forth in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above with respect to the Commencement, the Company shall have the option to terminate this Agreement at the close of business on such date or thereafter without any liability; provided, however, that the right to terminate this Agreement under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not be available to the Company if the Company is then in breach of any covenant or agreement contained in this Agreement or any representation or warranty of the Company contained in this Agreement fails to be true and correct such that the conditions set forth in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could not then be satisfied.</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9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Commencement Date, the Company shall have the option to terminate this Agreement for any reason or for no reason by delivering notice (a “</w:t>
      </w:r>
      <w:r>
        <w:rPr>
          <w:rFonts w:ascii="Times New Roman" w:cs="Times New Roman" w:eastAsia="Times New Roman" w:hAnsi="Times New Roman"/>
          <w:sz w:val="18"/>
          <w:szCs w:val="18"/>
          <w:u w:val="single" w:color="auto"/>
          <w:color w:val="auto"/>
        </w:rPr>
        <w:t>Company Termination Notice</w:t>
      </w:r>
      <w:r>
        <w:rPr>
          <w:rFonts w:ascii="Times New Roman" w:cs="Times New Roman" w:eastAsia="Times New Roman" w:hAnsi="Times New Roman"/>
          <w:sz w:val="18"/>
          <w:szCs w:val="18"/>
          <w:color w:val="auto"/>
        </w:rPr>
        <w:t xml:space="preserve">”) to the Investor electing to terminate this Agreement without any liability whatsoever of any party to any other party under this Agreement (except as set forth below). Upon any termination pursuant to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if the Company has sold less than $5,000,000 to the Investor hereunder (other than as a result of the Company’s inability to sell Common Stock to the Investor (x) as a result of the Beneficial Ownership Limitation and (y) the Company’s failure to obtain the Stockholder Approval), the Company shall pay an additional commitment fee of $300,000 (the “</w:t>
      </w:r>
      <w:r>
        <w:rPr>
          <w:rFonts w:ascii="Times New Roman" w:cs="Times New Roman" w:eastAsia="Times New Roman" w:hAnsi="Times New Roman"/>
          <w:sz w:val="18"/>
          <w:szCs w:val="18"/>
          <w:u w:val="single" w:color="auto"/>
          <w:color w:val="auto"/>
        </w:rPr>
        <w:t>Additional Commitment Fee</w:t>
      </w:r>
      <w:r>
        <w:rPr>
          <w:rFonts w:ascii="Times New Roman" w:cs="Times New Roman" w:eastAsia="Times New Roman" w:hAnsi="Times New Roman"/>
          <w:sz w:val="18"/>
          <w:szCs w:val="18"/>
          <w:color w:val="auto"/>
        </w:rPr>
        <w:t>”), which shall be payable either in cash or in registered shares of Common Stock at a price equal to 100% of the Closing Price on the date immediately preceding the date of receipt by the Investor of the Company Termination Notice (such shares, the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at the Company’s discretion, within two (2) Trading Days after a Company Termination Note is received by the Investor. The Company Termination Notice shall not be effective until one (1) Business Day after the Additional Commitment Fee has been received by the Investor.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56"/>
        <w:spacing w:after="0" w:line="266" w:lineRule="auto"/>
        <w:tabs>
          <w:tab w:leader="none" w:pos="92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automatically terminate on the date that the Company sells and the Investor purchases the full Available Amount as provided herein, without any action or notice on the part of any party and without any liability whatsoever of any party to any other party under this Agreement (except as set forth below).</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or for no reason, the full Available Amount has not been purchased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by the Maturity Date, this Agreement shall automatically terminate on the Maturity Date, without any action or notice on the part of any party and without any liability whatsoever of any party to any other party under this Agreement (except as set forth below).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(with respect to an Event of Default under </w:t>
      </w:r>
      <w:r>
        <w:rPr>
          <w:rFonts w:ascii="Times New Roman" w:cs="Times New Roman" w:eastAsia="Times New Roman" w:hAnsi="Times New Roman"/>
          <w:sz w:val="18"/>
          <w:szCs w:val="18"/>
          <w:u w:val="single" w:color="auto"/>
          <w:color w:val="auto"/>
        </w:rPr>
        <w:t>Sections 10(f)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11(e)</w:t>
      </w:r>
      <w:r>
        <w:rPr>
          <w:rFonts w:ascii="Times New Roman" w:cs="Times New Roman" w:eastAsia="Times New Roman" w:hAnsi="Times New Roman"/>
          <w:sz w:val="18"/>
          <w:szCs w:val="18"/>
          <w:color w:val="auto"/>
        </w:rPr>
        <w:t xml:space="preserve">, any termination of this Agreement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effected by written notice from the Company to the Investor setting forth the basis for the termination hereof. The representations and warranties and covenants of the Company and the Investor contained in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hereof, the indemnification provisions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and the agreements and covenants set forth in </w:t>
      </w:r>
      <w:r>
        <w:rPr>
          <w:rFonts w:ascii="Times New Roman" w:cs="Times New Roman" w:eastAsia="Times New Roman" w:hAnsi="Times New Roman"/>
          <w:sz w:val="18"/>
          <w:szCs w:val="18"/>
          <w:u w:val="single" w:color="auto"/>
          <w:color w:val="auto"/>
        </w:rPr>
        <w:t>Sections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shall survive the Commencement and any termination of this Agreement. No termination of this Agreement shall (i) affect the Company’s or the Investor’s rights or obligations under (A) this Agreement with respect to pending Regular Purchases or Exemption Purchases and the Company and the Investor shall complete their respective obligations with respect to any pending Regular Purchases or Exemption Purchases under this Agreement and (B) the Registration Rights Agreement, which shall survive any such termination, or (ii) be deemed to release the Company or the Investor from any liability for intentional misrepresentation or willful breach of any of the Transaction Documents.</w:t>
      </w:r>
    </w:p>
    <w:p>
      <w:pPr>
        <w:spacing w:after="0" w:line="184"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89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Questions concerning the construction, validity, enforcement and interpretation of this Agreement and the other Transaction Documents shall be governed by the internal laws of the State of Nevada, without giving effect to any choice of law or conflict of law provision or rule (whether of the State of Nevada or any other jurisdictions) that would cause the application of the laws of any jurisdictions other than the State of Nevada. Each party hereby irrevocably submits to the exclusive jurisdiction of the state and federal courts sitting in Nevada,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cs="Times New Roman" w:eastAsia="Times New Roman" w:hAnsi="Times New Roman"/>
          <w:sz w:val="18"/>
          <w:szCs w:val="18"/>
          <w:b w:val="1"/>
          <w:bCs w:val="1"/>
          <w:color w:val="auto"/>
        </w:rPr>
        <w:t>EACH PARTY HEREBY IRREVOCABLY WAIVES ANY RIGHT IT MAY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AGREES NOT TO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JURY TRIAL FOR THE ADJUDICATION OF ANY DISPUTE HEREUNDER OR IN CONNECTION HEREWITH OR ARISING OUT OF THIS AGREEMENT OR ANY TRANSACTION CONTEMPLATED HEREBY</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56"/>
        <w:spacing w:after="0" w:line="261" w:lineRule="auto"/>
        <w:tabs>
          <w:tab w:leader="none" w:pos="9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signature delivered by e-mail in a “.pdf” format data file shall be considered due execution and shall be binding upon the signatory thereto with the same force and effect as if the signature were an original signature.</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supersede all other prior oral or written agreements between the Investor, the Company, their affiliates and Persons acting on their behalf with respect to the subject matter thereof, and this Agreement, the other Transaction Documents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The Company acknowledges and agrees that is has not relied on, in any manner whatsoever, any representations or statements, written or oral, other than as expressly set forth in the Transaction Documents.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87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or other communications required or permitted to be given under the terms of this Agreement must be in writing and will be deemed to have been delivered: (i) upon receipt when delivered personally; (ii) upon receipt when sent by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Raymond Chang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2468 Industrial Row Dr.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Troy, MI 48084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raymond.n.chang@gmail.com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Frank A. Segall,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Frank.Segall@BlankRome.com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set forth on Schedule 12(f).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Sullivan &amp; Worcester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David Danovitch,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ddanovitch@sullivanlaw.com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Broadridge Financial Solutions, Inc. Attention: Lia Ludwig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Lia.Ludwig@broadridge.com</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at such other address, email address and/or to the attention of such other Person as the recipient party has specified by written notice given to each other party five (5) Business Days prior to the effectiveness of such change. Written confirmation of receipt (A) given by the recipient of such notice, consent or other communication, (B) mechanically or electronically generated by the sender’s email account containing the time, date, and recipient email address, as applicable or (C) provided by a nationally recognized overnight delivery service, shall be rebuttable evidence of personal service, or receipt from a nationally recognized overnight delivery service in accordance with clause (i), (ii) or (iii) above, respectively.</w:t>
      </w:r>
    </w:p>
    <w:p>
      <w:pPr>
        <w:spacing w:after="0" w:line="183" w:lineRule="exact"/>
        <w:rPr>
          <w:sz w:val="20"/>
          <w:szCs w:val="20"/>
          <w:color w:val="auto"/>
        </w:rPr>
      </w:pPr>
    </w:p>
    <w:p>
      <w:pPr>
        <w:jc w:val="both"/>
        <w:ind w:firstLine="656"/>
        <w:spacing w:after="0" w:line="266" w:lineRule="auto"/>
        <w:tabs>
          <w:tab w:leader="none" w:pos="9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The Company shall not assign this Agreement or any rights or obligations hereunder without the prior written consent of the Investor, including by merger or consolidation. The Investor may not assign its rights or obligations under this Agreement.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is intended for the benefit of the parties hereto and their respective permitted successors and assigns, and, except as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is not for the benefit of, nor may any provision hereof be enforced by, any other Person.</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7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shall afford the Investor and its counsel with the opportunity to review and comment upon, shall consult with the Investor and its counsel on the form and substance of, and shall give due consideration to all such comments from the Investor or its counsel on, any press release, SEC filing or any other public disclosure by or on behalf of the Company relating to the Investor, its purchases hereunder or any aspect of the Transaction Documents or the transactions contemplated thereby (other than any press release, SEC filing or other public disclosure that contains disclosures substantially similarly to disclosures previously reviewed by the Investor or its counsel), not less than 24 hours prior to the issuance, filing or public disclosure thereof. The Investor must be provided with a final version of any such press release, SEC filing, or other public disclosure at least 24 hours prior to any release, filing, or use by the Company thereof. The Company agrees and acknowledges that its failure to fully comply with this provision constitutes a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56"/>
        <w:spacing w:after="0" w:line="261" w:lineRule="auto"/>
        <w:tabs>
          <w:tab w:leader="none" w:pos="8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may be reasonably necessary in order to consummate and make effective, as soon as reasonably possible, the Commencement, and to carry out the intent and accomplish the purposes of this Agreement and the consummation of the transactions contemplated hereby.</w:t>
      </w:r>
    </w:p>
    <w:p>
      <w:pPr>
        <w:spacing w:after="0" w:line="179" w:lineRule="exact"/>
        <w:rPr>
          <w:rFonts w:ascii="Times New Roman" w:cs="Times New Roman" w:eastAsia="Times New Roman" w:hAnsi="Times New Roman"/>
          <w:sz w:val="18"/>
          <w:szCs w:val="18"/>
          <w:color w:val="auto"/>
        </w:rPr>
      </w:pPr>
    </w:p>
    <w:p>
      <w:pPr>
        <w:jc w:val="both"/>
        <w:ind w:firstLine="656"/>
        <w:spacing w:after="0" w:line="274" w:lineRule="auto"/>
        <w:tabs>
          <w:tab w:leader="none" w:pos="90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Financial Advisor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Placement Agent, Broker, or Finder</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12(k)</w:t>
      </w:r>
      <w:r>
        <w:rPr>
          <w:rFonts w:ascii="Times New Roman" w:cs="Times New Roman" w:eastAsia="Times New Roman" w:hAnsi="Times New Roman"/>
          <w:sz w:val="17"/>
          <w:szCs w:val="17"/>
          <w:color w:val="auto"/>
        </w:rPr>
        <w:t>, the Company represents and warrants to the Investor that it has not engaged any financial advisor, placement agent, broker, or finder in connection with the transactions contemplated hereby. The Investor represents and warrants to the Company that it has not engaged any financial advisor, placement agent, broker, or finder in connection with the transactions contemplated hereby. The Company shall be responsible for the payment of any fees or commissions, if any, of any financial advisor, placement agent, broker, or finder relating to or arising out of the transactions contemplated hereby. The Company shall pay, and hold the Investor harmless against, any liability, loss or expense (including, without limitation, attorneys’ fees and out of pocket expenses) arising in connection with any such claim.</w:t>
      </w:r>
    </w:p>
    <w:p>
      <w:pPr>
        <w:spacing w:after="0" w:line="172" w:lineRule="exact"/>
        <w:rPr>
          <w:rFonts w:ascii="Times New Roman" w:cs="Times New Roman" w:eastAsia="Times New Roman" w:hAnsi="Times New Roman"/>
          <w:sz w:val="17"/>
          <w:szCs w:val="17"/>
          <w:color w:val="auto"/>
        </w:rPr>
      </w:pPr>
    </w:p>
    <w:p>
      <w:pPr>
        <w:ind w:firstLine="656"/>
        <w:spacing w:after="0" w:line="282" w:lineRule="auto"/>
        <w:tabs>
          <w:tab w:leader="none" w:pos="8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xml:space="preserve">. Except as set forth in the Transaction Documents, the parties’ remedies provided in this Agreement, including, without limitation, the Investor’s remedies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shall be cumulative and in addition to all other remedies available to the parties under this Agreement, at law or in equity (including a decree of specific performance and/or other injunctive relief), no remedy of any party contained herein shall be deemed a waiver of compliance with the provisions giving rise to such remedy and nothing herein shall limit the parties’ right to pursue actual damages for any failure by the Company to comply with the terms of this Agreement. The Company acknowledges that a breach by it of its obligations hereunder will cause irreparable harm to the Investor and that the remedy at law for any such breach may be inadequate. The Company therefore agrees that, in the event of any such breach or threatened breach, the Investor shall be entitled, in addition to all other available remedies, to an injunction restraining any breach, without the necessity of showing economic loss and without any bond or other security being required.</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Costs</w:t>
      </w:r>
      <w:r>
        <w:rPr>
          <w:rFonts w:ascii="Times New Roman" w:cs="Times New Roman" w:eastAsia="Times New Roman" w:hAnsi="Times New Roman"/>
          <w:sz w:val="18"/>
          <w:szCs w:val="18"/>
          <w:color w:val="auto"/>
        </w:rPr>
        <w:t>. If: (i) due to a breach or anticipatory breach of this Agreement by a party hereto, this Agreement is enforced by either party through any legal proceeding; (ii) an attorney is retained to represent a party hereto in any bankruptcy, reorganization, receivership or other proceedings affecting creditors’ rights and involving a claim under this Agreement; or (iii) an attorney is retained to represent a party hereto in any other proceedings whatsoever in connection with this Agreement, then the party that prevails in such proceedings shall be paid by the other party all reasonable costs and expenses including attorneys’ fees incurred in connection therewith, in addition to all other amounts due 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 Failure or Indulgence Not Waiver</w:t>
      </w:r>
      <w:r>
        <w:rPr>
          <w:rFonts w:ascii="Times New Roman" w:cs="Times New Roman" w:eastAsia="Times New Roman" w:hAnsi="Times New Roman"/>
          <w:sz w:val="18"/>
          <w:szCs w:val="18"/>
          <w:color w:val="auto"/>
        </w:rPr>
        <w:t>. (i) No provision of this Agreement may be amended other than by a written instrument signed by both parties hereto and (ii)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of any other right, power, or privilege.</w:t>
      </w:r>
    </w:p>
    <w:p>
      <w:pPr>
        <w:spacing w:after="0" w:line="181" w:lineRule="exact"/>
        <w:rPr>
          <w:rFonts w:ascii="Times New Roman" w:cs="Times New Roman" w:eastAsia="Times New Roman" w:hAnsi="Times New Roman"/>
          <w:sz w:val="18"/>
          <w:szCs w:val="18"/>
          <w:color w:val="auto"/>
        </w:rPr>
      </w:pPr>
    </w:p>
    <w:p>
      <w:pPr>
        <w:ind w:left="4760" w:hanging="227"/>
        <w:spacing w:after="0"/>
        <w:tabs>
          <w:tab w:leader="none" w:pos="47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Signature Page Follows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and the Company have caused this Purchase Agreement to be duly executed as of the date first written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IONIC VENTURES,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Brendan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Brendan O’Neil</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August 28, 2024 (the “</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by and between Agrify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signatory hereto (together with it permitted assigns,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Capitalized terms used herein and not otherwise defined herein shall have the respective meanings set forth in the Purchase Agreement, dated the date hereof, by and between the Company and the Buyer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agreed, upon the terms and subject to the conditions of the Share Purchase Agreement, to sell to the Buyer up to Fifteen Million Dollars ($15,000,000) of Purchase Shares, and to induce the Buyer to enter into the Share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Company and the Buyer hereby agree as follows:</w:t>
      </w:r>
    </w:p>
    <w:p>
      <w:pPr>
        <w:spacing w:after="0" w:line="159" w:lineRule="exact"/>
        <w:rPr>
          <w:sz w:val="20"/>
          <w:szCs w:val="20"/>
          <w:color w:val="auto"/>
        </w:rPr>
      </w:pPr>
    </w:p>
    <w:p>
      <w:pPr>
        <w:ind w:left="840" w:hanging="184"/>
        <w:spacing w:after="0"/>
        <w:tabs>
          <w:tab w:leader="none" w:pos="8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the applicable Registration Statement has been declared effective by the SEC.</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means the Buyer, any transferee or assignee thereof to whom a Buyer assigns its rights under this Agreement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who agrees to become bound by the provisions of this Agreement, and any transferee or assignee thereof to whom a transferee or assignee assigns its rights under this Agreement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who agrees to become bound by the provisions of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or entity including but not limited to any corporation, a limited liability company, an association, a partnership, an organization, a business, an individual, a governmental or political subdivision thereof or a governmental agency.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pursuant to Rule 415 under the Securities Act or any successor rule providing for offering securities on a continuous basis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and the declaration or ordering of effectiveness of such registration statement(s) by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(i) all of the Additional Commitment Shares (if any), Purchase Shares and Exemption Purchase Shares that may, from time to time, be issued or become issuable to the Investor under the Purchase Agreement (without regard to any limitation or restriction on purchases), any Filing Default Shares or Effectiveness Default Shares to which Investor may be entitled under this Agreement, and any and all shares of Common Stock (as defined in the Purchase Agreement) issued or issuable with respect to the Purchase Shares, Exemption Purchase Shares, Additional Commitment Shares, Filing Default Shares, Effectiveness Default Shares or the Purchase Agreement as a result of any share split, share dividend, recapitalization, exchange or similar event or otherwise, without regard to any limitation on purchases under the Purchase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one or more registration statements of the Company covering only the sale of the Registrable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ind w:left="840" w:hanging="184"/>
        <w:spacing w:after="0"/>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46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Registration.</w:t>
      </w:r>
      <w:r>
        <w:rPr>
          <w:rFonts w:ascii="Times New Roman" w:cs="Times New Roman" w:eastAsia="Times New Roman" w:hAnsi="Times New Roman"/>
          <w:sz w:val="17"/>
          <w:szCs w:val="17"/>
          <w:color w:val="auto"/>
        </w:rPr>
        <w:t xml:space="preserve"> The Company shall, within thirty (30) days of the Signing Date (the “</w:t>
      </w:r>
      <w:r>
        <w:rPr>
          <w:rFonts w:ascii="Times New Roman" w:cs="Times New Roman" w:eastAsia="Times New Roman" w:hAnsi="Times New Roman"/>
          <w:sz w:val="17"/>
          <w:szCs w:val="17"/>
          <w:u w:val="single" w:color="auto"/>
          <w:color w:val="auto"/>
        </w:rPr>
        <w:t>Filing Deadline</w:t>
      </w:r>
      <w:r>
        <w:rPr>
          <w:rFonts w:ascii="Times New Roman" w:cs="Times New Roman" w:eastAsia="Times New Roman" w:hAnsi="Times New Roman"/>
          <w:sz w:val="17"/>
          <w:szCs w:val="17"/>
          <w:color w:val="auto"/>
        </w:rPr>
        <w:t>”), file with the SEC an initial Registration Statement covering the maximum number of Registrable Securities as shall be permitted to be included thereon in accordance with applicable SEC rules, regulations and interpretations so as to permit the resale of such Registrable Securities by the Investor under Rule 415 under the Securities Act at then prevailing market prices (and not fixed prices), as mutually determined by both the Company and the Investor in consultation with their respective legal counsel, subject to the aggregate number of authorized shares then available for issuance in its Certificate of Incorporation. The initial Registration Statement shall register only the Registrable Securities, unless otherwise approved by Investor. The Investor and its counsel shall have a reasonable opportunity to review and comment upon such Registration Statement and any amendment or supplement to such Registration Statement and any related prospectus prior to its filing with the SEC, and the Company shall give due consideration to all such comments. The Investor shall promptly furnish all information reasonably requested by the Company for inclusion therein. The Company shall use its commercially reasonable efforts to have the Registration Statement and any amendment declared effective by the SEC no later than the Effectiveness Deadline. The Company shall use commercially reasonable efforts to keep the Registration Statement effective pursuant to Rule 415 promulgated under the Securities Act and available for the resale by the Investor of all of the Registrable Securities covered thereby at all times until the date on which the Investor shall have resold all the Registrable Securities covered thereby and no Available Amount remains under the Purchase Agreement (the “</w:t>
      </w:r>
      <w:r>
        <w:rPr>
          <w:rFonts w:ascii="Times New Roman" w:cs="Times New Roman" w:eastAsia="Times New Roman" w:hAnsi="Times New Roman"/>
          <w:sz w:val="17"/>
          <w:szCs w:val="17"/>
          <w:u w:val="single" w:color="auto"/>
          <w:color w:val="auto"/>
        </w:rPr>
        <w:t>Registration Period</w:t>
      </w:r>
      <w:r>
        <w:rPr>
          <w:rFonts w:ascii="Times New Roman" w:cs="Times New Roman" w:eastAsia="Times New Roman" w:hAnsi="Times New Roman"/>
          <w:sz w:val="17"/>
          <w:szCs w:val="17"/>
          <w:color w:val="auto"/>
        </w:rPr>
        <w:t>”). The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81" w:lineRule="exact"/>
        <w:rPr>
          <w:rFonts w:ascii="Times New Roman" w:cs="Times New Roman" w:eastAsia="Times New Roman" w:hAnsi="Times New Roman"/>
          <w:sz w:val="17"/>
          <w:szCs w:val="17"/>
          <w:color w:val="auto"/>
        </w:rPr>
      </w:pPr>
    </w:p>
    <w:p>
      <w:pPr>
        <w:jc w:val="both"/>
        <w:ind w:firstLine="1304"/>
        <w:spacing w:after="0" w:line="254" w:lineRule="auto"/>
        <w:tabs>
          <w:tab w:leader="none" w:pos="150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424 Prospectus</w:t>
      </w:r>
      <w:r>
        <w:rPr>
          <w:rFonts w:ascii="Times New Roman" w:cs="Times New Roman" w:eastAsia="Times New Roman" w:hAnsi="Times New Roman"/>
          <w:sz w:val="18"/>
          <w:szCs w:val="18"/>
          <w:color w:val="auto"/>
        </w:rPr>
        <w:t>. The Company shall, as required by applicable securities regulations, from time to time file with the SEC, pursuant to Rule 424 promulgated under the Securities Act, the prospectus and prospectus supplements, if any, to be used in connection with sales of the Registrable Securities under the Registration Statement. The Investor and its counsel shall have a reasonable opportunity to review and comment upon such prospectus prior to its filing with the SEC, and the Company shall give due consideration to all such comments. The Investor shall use its commercially reasonable efforts to comment upon such prospectus within one (1) Business Day from the date the Investor receives the final pre-filing version of such prospectus. By 8:30 a.m. (New York time) on the Business Day immediately following each Effective Date, the Company shall file with the SEC in accordance with Rule 424(b) under the 1933 Act the final prospectus to be used in connection with sales pursuant to the applicable Registration Statement (whether or not such a prospectus is technically required by such rule).</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6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Registration Statement is insufficient to cover all of the Registrable Securities, the Company shall amend the Registration Statement or file a new Registration Statement (a “</w:t>
      </w:r>
      <w:r>
        <w:rPr>
          <w:rFonts w:ascii="Times New Roman" w:cs="Times New Roman" w:eastAsia="Times New Roman" w:hAnsi="Times New Roman"/>
          <w:sz w:val="18"/>
          <w:szCs w:val="18"/>
          <w:u w:val="single" w:color="auto"/>
          <w:color w:val="auto"/>
        </w:rPr>
        <w:t>New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so as to cover all of such Registrable Securities (subject to the limitations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as soon as practicable, but in any event not later than fourteen (14) calendar days after the necessity therefor arises, subject to any limits that may be imposed by the SEC pursuant to Rule 415 under the Securities Act. The Company shall use its reasonable best efforts to cause such amendment and/or New Registration Statement to become effective as soon as practicable following the filing thereof.</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47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If the staff of the SEC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xml:space="preserve">”) or the SEC seeks to characterize any offering pursuant to a Registration Statement filed pursuant to this Agreement as constituting an offering of securities that does not permit such Registration Statement to become effective and be used for resales by the Investor under Rule 415 at then-prevailing market prices (and not fixed prices), or if after the filing of the initial Registration Statement with the SEC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the Company is otherwise required by the Staff or the SEC to reduce the number of Registrable Securities included in such initial Registration Statement, then the Company shall reduce the number of Registrable Securities to be included in such initial Registration Statement (with the prior consent of the Investor and its legal counsel as to the specific Registrable Securities to be removed therefrom) until such time as the Staff and the SEC shall so permit such Registration Statement to become effective and be used as aforesaid. In the event of any reduction in Registrable Securities pursuant to this paragraph, the Company shall file one or more New Registration Statements in accordance with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until such time as all Registrable Securities have been included in Registration Statements that have been declared effective and the prospectus contained therein is available for use by the Investor. Notwithstanding any provision herein or in the Purchase Agreement to the contrary, the Company’s obligations to register Registrable Securities (and any related conditions to the Investor’s obligations) shall be qualified as necessary to comport with any requirement of the SEC or the Staff as addressed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Effect of Failure to File and Obtain and Maintain Effectiveness of any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3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initial Registration Statement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covering the resale of all of the Registrable Securities required to be covered thereby (disregarding any reduction pursuant to Section 2(d)) and required to be filed by the Company pursuant to this Agreement is not filed with the SEC on or before the Filing Deadline for such Registration Statement (a “</w:t>
      </w:r>
      <w:r>
        <w:rPr>
          <w:rFonts w:ascii="Times New Roman" w:cs="Times New Roman" w:eastAsia="Times New Roman" w:hAnsi="Times New Roman"/>
          <w:sz w:val="18"/>
          <w:szCs w:val="18"/>
          <w:u w:val="single" w:color="auto"/>
          <w:color w:val="auto"/>
        </w:rPr>
        <w:t>Filing Failure</w:t>
      </w:r>
      <w:r>
        <w:rPr>
          <w:rFonts w:ascii="Times New Roman" w:cs="Times New Roman" w:eastAsia="Times New Roman" w:hAnsi="Times New Roman"/>
          <w:sz w:val="18"/>
          <w:szCs w:val="18"/>
          <w:color w:val="auto"/>
        </w:rPr>
        <w:t>”) (it being understood that any delay as the result of the Investor’s failure to promptly furnish all information reasonably requested by the Company for inclusion in such Registration Statement shall not constitute a Filing Failure), then, as partial relief for the damages to Investor by reason of any such delay in its ability to sell the underlying shares of Common Stock (which remedy shall not be exclusive of any other remedies available at law or in equity, including, without limitation, specific performance), the Company shall issue to the Investor 250,000 shares of Common Stock (“</w:t>
      </w:r>
      <w:r>
        <w:rPr>
          <w:rFonts w:ascii="Times New Roman" w:cs="Times New Roman" w:eastAsia="Times New Roman" w:hAnsi="Times New Roman"/>
          <w:sz w:val="18"/>
          <w:szCs w:val="18"/>
          <w:u w:val="single" w:color="auto"/>
          <w:color w:val="auto"/>
        </w:rPr>
        <w:t>Filing Default Shares</w:t>
      </w:r>
      <w:r>
        <w:rPr>
          <w:rFonts w:ascii="Times New Roman" w:cs="Times New Roman" w:eastAsia="Times New Roman" w:hAnsi="Times New Roman"/>
          <w:sz w:val="18"/>
          <w:szCs w:val="18"/>
          <w:color w:val="auto"/>
        </w:rPr>
        <w:t>”), not later than two (2) Trading Days after such Filing Failure.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Registration Statement covering the resale of all of the Registrable Securities required to be covered thereby (disregarding any reduction pursuant to Section 2(d)) and required to be filed by the Company pursuant to this Agreement (x) is not declared effective by the SEC on or before the Effectiveness Deadline (as defined below) for such Registration Statement (an “</w:t>
      </w:r>
      <w:r>
        <w:rPr>
          <w:rFonts w:ascii="Times New Roman" w:cs="Times New Roman" w:eastAsia="Times New Roman" w:hAnsi="Times New Roman"/>
          <w:sz w:val="17"/>
          <w:szCs w:val="17"/>
          <w:u w:val="single" w:color="auto"/>
          <w:color w:val="auto"/>
        </w:rPr>
        <w:t>Effectiveness Failure</w:t>
      </w:r>
      <w:r>
        <w:rPr>
          <w:rFonts w:ascii="Times New Roman" w:cs="Times New Roman" w:eastAsia="Times New Roman" w:hAnsi="Times New Roman"/>
          <w:sz w:val="17"/>
          <w:szCs w:val="17"/>
          <w:color w:val="auto"/>
        </w:rPr>
        <w:t>”) (it being understood that any delay as the result of the Investor’s failure to promptly furnish all information reasonably requested by the Company for inclusion in such Registration Statement, or any delay caused solely by a requirement of the Staff or the SEC to reduce the number of Registrable Securities included in such Registration Statement, shall not constitute an Effectiveness Failure), and (y) if on the Business Day immediately following the Effective Date for such Registration Statement the Company shall not have filed a “final” prospectus for such Registration Statement with the SEC under Rule 424 in accordance with Section 2(b) (whether or not such a prospectus is technically required by such rule), then, as partial relief for the damages to Investor by reason of any such delay in its ability to sell the underlying shares of Common Stock (which remedy shall not be exclusive of any other remedies available at law or in equity, including, without limitation, the remedies set forth in Section 2(e)(i) above) the Company shall be deemed to not have satisfied this clause (ii) and such event shall be deemed to be an Effectiveness Failure), then the Company shall promptly issue to the Investor 250,000 shares of Common Stock (“</w:t>
      </w:r>
      <w:r>
        <w:rPr>
          <w:rFonts w:ascii="Times New Roman" w:cs="Times New Roman" w:eastAsia="Times New Roman" w:hAnsi="Times New Roman"/>
          <w:sz w:val="17"/>
          <w:szCs w:val="17"/>
          <w:u w:val="single" w:color="auto"/>
          <w:color w:val="auto"/>
        </w:rPr>
        <w:t>Effectiveness Default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but not later than two (2) Trading Days after such Effectiveness Failure. “</w:t>
      </w:r>
      <w:r>
        <w:rPr>
          <w:rFonts w:ascii="Times New Roman" w:cs="Times New Roman" w:eastAsia="Times New Roman" w:hAnsi="Times New Roman"/>
          <w:sz w:val="17"/>
          <w:szCs w:val="17"/>
          <w:u w:val="single" w:color="auto"/>
          <w:color w:val="auto"/>
        </w:rPr>
        <w:t>Effectiveness Deadline</w:t>
      </w:r>
      <w:r>
        <w:rPr>
          <w:rFonts w:ascii="Times New Roman" w:cs="Times New Roman" w:eastAsia="Times New Roman" w:hAnsi="Times New Roman"/>
          <w:sz w:val="17"/>
          <w:szCs w:val="17"/>
          <w:color w:val="auto"/>
        </w:rPr>
        <w:t>” means (i) with respect to the initial Registration Statement required to be filed pursuant to Section 2(a), the earlier of the (A)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Signing Date (or, if such Registration</w:t>
      </w:r>
    </w:p>
    <w:p>
      <w:pPr>
        <w:jc w:val="both"/>
        <w:spacing w:after="0" w:line="209" w:lineRule="auto"/>
        <w:rPr>
          <w:sz w:val="20"/>
          <w:szCs w:val="20"/>
          <w:color w:val="auto"/>
        </w:rPr>
      </w:pPr>
      <w:r>
        <w:rPr>
          <w:rFonts w:ascii="Times New Roman" w:cs="Times New Roman" w:eastAsia="Times New Roman" w:hAnsi="Times New Roman"/>
          <w:sz w:val="18"/>
          <w:szCs w:val="18"/>
          <w:color w:val="auto"/>
        </w:rPr>
        <w:t>Statement is subject to a full review by the SEC,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the Signing Date) and (B) 2nd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on which the Company was required to file such additional Registration Statement (or, if such Registration</w:t>
      </w:r>
    </w:p>
    <w:p>
      <w:pPr>
        <w:spacing w:after="0" w:line="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Statement is subject to a full review by the SEC,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such required filing date) and (B)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Business Day after the date the Company is notified (orally or in writing, whichever is earlier) by the SEC that such Registration Statement will not be reviewed or will not be subject to further review; provided however, that in the event of a federal government shutdown that results in the Staff of the SEC being furloughed and unavailable to conduct a review of any Registration Statement (a “</w:t>
      </w:r>
      <w:r>
        <w:rPr>
          <w:rFonts w:ascii="Times New Roman" w:cs="Times New Roman" w:eastAsia="Times New Roman" w:hAnsi="Times New Roman"/>
          <w:sz w:val="18"/>
          <w:szCs w:val="18"/>
          <w:u w:val="single" w:color="auto"/>
          <w:color w:val="auto"/>
        </w:rPr>
        <w:t>Government Shutdown</w:t>
      </w:r>
      <w:r>
        <w:rPr>
          <w:rFonts w:ascii="Times New Roman" w:cs="Times New Roman" w:eastAsia="Times New Roman" w:hAnsi="Times New Roman"/>
          <w:sz w:val="18"/>
          <w:szCs w:val="18"/>
          <w:color w:val="auto"/>
        </w:rPr>
        <w:t>”), the Effectiveness Deadline will be extended by such number of calendar days of such Government Shutdown.</w:t>
      </w:r>
    </w:p>
    <w:p>
      <w:pPr>
        <w:spacing w:after="0" w:line="199" w:lineRule="exact"/>
        <w:rPr>
          <w:sz w:val="20"/>
          <w:szCs w:val="20"/>
          <w:color w:val="auto"/>
        </w:rPr>
      </w:pPr>
    </w:p>
    <w:p>
      <w:pPr>
        <w:ind w:left="840" w:hanging="184"/>
        <w:spacing w:after="0"/>
        <w:tabs>
          <w:tab w:leader="none" w:pos="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including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Company shall prepare and file with the SEC such amendments (including post-effective amendments) and supplements to any registration statement and the prospectus used in connection with such registration statement, which prospectus is to be filed pursuant to Rule 424 promulgated under the Securities Act, as may be necessary to keep the Registration Statement or any New Registration Statement effective at all times during the Registration Period, and, during such period, comply with the provisions of the Securities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Investor as set forth in such registration statement.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The Company shall permit the Investor to review and comment upon the Registration Statement or any New Registration Statement and all amendments and supplements thereto at least two (2) Business Days prior to their filing with the SEC (provided that any Business Days beyond such two (2) Business Days will not be counted for the purpose of determining a Filing Failure or Effectiveness Failure), and not file any document in a form to which Investor reasonably objects. The Investor shall use its commercially reasonable efforts to comment upon the Registration Statement or any New Registration Statement and any amendments or supplements thereto within two (2) Business Days from the date the Investor receives the final version thereof. The Company shall furnish to the Investor, without charge any correspondence from the SEC or the staff of the SEC to the Company or its representatives relating to the Registration Statement or any New Registration Statement.</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Upon request of the Investor, the Company shall furnish to the Investor, (i) promptly after the same is prepared and filed with the SEC, at least one copy of such registration statement and any amendment(s) thereto, including financial statements and schedules, all documents incorporated therein by reference and all exhibits, (ii) upon the effectiveness of any registration statement, a copy of the prospectus included in such registration statement and all amendments and supplements thereto (or such other number of copies as the Investor may reasonably request) and (iii) such other documents, including copies of any preliminary or final prospectus, as the Investor may reasonably request from time to time in order to facilitate the disposition of the Registrable Securities owned by the Investor. For the avoidance of doubt, any filing available to the Investor via the SEC’s EDGAR system shall be deemed “furnished to the Investor” hereunder.</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The Company shall use commercially reasonable efforts to (i) register and qualify, unless an exemption from registration and qualification is available, the Registrable Securities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(y) subject itself to general taxation in any such jurisdiction, or (z) file a general consent to service of process in any such jurisdiction. The Company shall promptly notify the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As promptly as reasonably practicable after becoming aware of such event or facts, the Company shall notify the Investor in writing of the happening of any event or existence of such facts as a result of which the prospectus included in any registration statement, as then in effect, includes an untrue statement of a material fact or omits to state a material fact required to be stated therein or necessary to make the statements therein, in light of the circumstances under which they were made, not misleading (provided that in no event shall such notice contain any material, non-public information regarding the Company), and, as promptly as reasonably practicable, prepare a supplement or amendment to such registration statement to correct such untrue statement or omission, and deliver a copy of such supplement or amendment to the Investor (or such other number of copies as the Investor may reasonably request). The Company shall also promptly notify the Investor in writing (i) when a prospectus or any prospectus supplement or post-effective amendment has been filed, and when a registration statement or any post-effective amendment has become effective (notification of such effectiveness shall be delivered to the Investor by email on the same day of such effectiveness), (ii) of any request by the SEC for amendments or supplements to any registration statement or related prospectus or related information, and (iii) of the Company’s reasonable determination that a post-effective amendment to a registration statement would be appropriate.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The Company shall use its commercially reasonable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possible moment and to notify the Investor of the issuance of such order and the resolution thereof or its receipt of actual notice of the initiation or threat of any proceeding for such purpose.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g. The Company shall use commercially reasonable efforts to (i) cause all the Registrable Securities to be listed on each securities exchange on which securities of the same class or series issued by the Company are then listed, if any, if the listing of such Registrable Securities is then permitted under the rules of such exchange, or (ii) secure designation and quotation of all the Registrable Securities on the Principal Market. The Company shall pay all fees and expenses in connection with satisfying its obligation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The Company shall cooperate with the Investor to facilitate the timely preparation and delivery of certificates (not bearing any restrictive legend) representing the Registrable Securities to be offered pursuant to any registration statement and enable such certificates to be in such denominations or amounts as the Investor may reasonably request and registered in such names as the Investor may request.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Company shall at all times provide a Transfer Agent with respect to its shares of Common Stock.</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j. If reasonably requested by the Investor, the Company shall (i) promptly incorporate in a prospectus supplement or post-effective amendment such information as the Investor believes should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soon as reasonably practicable upon notification of the matters to be incorporated in such prospectus supplement or post-effective amendment; and (iii) supplement or make amendments to any registration statement.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The Company shall use its commercially reasonable efforts to cause the Registrable Securities covered by any registration statement to be registered with or approved by such other governmental agencies or authorities as may be necessary to consummate the disposition of such Registrable Securities.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l. Within two (2) Business Days after any registration statement which includes the Registrable Securities is ordered effective by the SEC, the Company shall deliver, and shall cause legal counsel for the Company to deliver, to the transfer agent for such Registrable Securities (with copies to the Investor) confirmation that such registration statement has been declared effective by the SEC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Thereafter, if requested by the Investor at any time, the Company shall require its counsel to deliver to the Investor a written confirmation whether or not the effectiveness of such registration statement has lapsed at any time for any reason (including, without limitation, the issuance of a stop order) and whether or not the registration statement is current and available to the Investor for sale of all of the Registrable Securities.</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m. The Company shall take all other reasonable actions necessary to expedite and facilitate disposition by the Investor of Registrable Securities pursuant to any registration statement.</w:t>
      </w:r>
    </w:p>
    <w:p>
      <w:pPr>
        <w:spacing w:after="0" w:line="162" w:lineRule="exact"/>
        <w:rPr>
          <w:sz w:val="20"/>
          <w:szCs w:val="20"/>
          <w:color w:val="auto"/>
        </w:rPr>
      </w:pPr>
    </w:p>
    <w:p>
      <w:pPr>
        <w:ind w:left="840" w:hanging="184"/>
        <w:spacing w:after="0"/>
        <w:tabs>
          <w:tab w:leader="none" w:pos="8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the Investor in writing of the information the Company reasonably requires from the Investor in connection with any registration statement hereunder. The Investor shall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48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to cooperate with the Company as reasonably requested by the Company in connection with the preparation and filing of any registration statement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The Investor agrees that, upon receipt of any notice from the Company of the happening of any event or existence of facts of the kind described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first sentence of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the Investor will immediately discontinue disposition of Registrable Securities pursuant to any registration statement(s) covering such Registrable Securities until the Investor’s receipt of the copies of the supplemented or amended prospectus contemplated by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first sentence of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Notwithstanding anything to the contrary, the Company shall cause its transfer agent to promptly deliver shares of Common Stock without any restrictive legend in accordance with the terms of the Purchase Agreement in connection with any sale of Registrable Securities with respect to which an Investor has entered into a contract for sale prior to the Investor’s receipt of a notice from the Company of the happening of any event of the kind described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first sentence of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for which the Investor has not yet settled.</w:t>
      </w:r>
    </w:p>
    <w:p>
      <w:pPr>
        <w:spacing w:after="0" w:line="192" w:lineRule="exact"/>
        <w:rPr>
          <w:sz w:val="20"/>
          <w:szCs w:val="20"/>
          <w:color w:val="auto"/>
        </w:rPr>
      </w:pPr>
    </w:p>
    <w:p>
      <w:pPr>
        <w:ind w:left="840" w:hanging="184"/>
        <w:spacing w:after="0"/>
        <w:tabs>
          <w:tab w:leader="none" w:pos="8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All reasonable expenses of the Company, other than sales or brokerage commissions, incurred in connection with registrations, filings or qualifications pursuant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including, without limitation, all registration, listing and qualifications fees, printers and accounting fees, and fees and disbursements of counsel for the Company, shall be paid by the Company. The Company shall reimburse Sullivan &amp; Worcester LLP for its fees and disbursements in connection with registration, filing or qualification pursuant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this Agreement, which amount shall, together with all other Transaction Expenses (as defined in the Purchase Agreement), be limited to the Fee Cap (as defined in the Purchase Agreement).</w:t>
      </w:r>
    </w:p>
    <w:p>
      <w:pPr>
        <w:spacing w:after="0" w:line="183" w:lineRule="exact"/>
        <w:rPr>
          <w:sz w:val="20"/>
          <w:szCs w:val="20"/>
          <w:color w:val="auto"/>
        </w:rPr>
      </w:pPr>
    </w:p>
    <w:p>
      <w:pPr>
        <w:ind w:left="840" w:hanging="184"/>
        <w:spacing w:after="0"/>
        <w:tabs>
          <w:tab w:leader="none" w:pos="8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96"/>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the fullest extent permitted by law, the Company will, and hereby does, indemnify, hold harmless and defend the Investor, each Person, if any, who controls the Investor, the members, managers, directors, officers, partners, employees, agents, representatives of the Investor and each Person, if any, who controls the Investor within the meaning of the Securities Act or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third party losses, claims, damages, liabilities, judgments, fines, penalties, charges, costs, reasonable attorneys’ fees, amounts paid in settlement (with the prior written consent of the Company, such consent not to be unreasonably withheld) or expenses, joint or several,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cs="Times New Roman" w:eastAsia="Times New Roman" w:hAnsi="Times New Roman"/>
          <w:sz w:val="18"/>
          <w:szCs w:val="18"/>
          <w:u w:val="single" w:color="auto"/>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of a material fact in the Registration Statement, any New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u w:val="single" w:color="auto"/>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 Exchange Act, any other law, including, without limitation, any state securities law, or any rule or regulation thereunder relating to the offer or sale of the Registrable Securities pursuant to the Registration Statement or any New Registration Statement (the matters in the foregoing clauses (i) through (iii) being,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xml:space="preserve">”). The Company shall reimburse each Indemnified Person promptly as such expenses are incurred and are due and payable, for any reasonable legal fees or other reasonable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(i) shall not apply to a Claim by an Indemnified Person arising out of or based upon a Violation which occurs in reliance upon and in conformity with information about the Investor furnished in writing to the Company by such Indemnified Person expressly for use in connection with the preparation of the Registration Statement, any New Registration Statement or any such amendment thereof or supplement thereto, if such prospectus was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(ii) with respect to any superseded prospectus, shall not inure to the benefit of any such person from whom the person asserting any such Claim purchased the Registrable Securities that are the subject thereof (or to the benefit of any person controlling such person) if the untrue statement or omission of material fact contained in the superseded prospectus was corrected in the revised prospectus, as then amended or supplemented, if such revised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the Indemnified Person was promptly advised in writing not to use the incorrect prospectus prior to the use giving rise to a violation and such Indemnified Person, notwithstanding such advice, used it; (iii) shall not be available to the extent such Claim is based on a failure of the Investor to deliver or to cause to be delivered the prospectus made available by the Company, if such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(iv)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In connection with the Registration Statement or any New Registration Statement, the Investor agrees to indemnify, hold harmless and defend, to the same extent and in the same manner as is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the Company, each of its directors, each of its officers who signs the Registration Statement or any New Registration Statement, each Person, if any, who controls the Company within the meaning of the Securities Act or the Exchange Act (collectively and together with an Indemnified Person,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about the Investor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and furnished to the Company by the Investor expressly for use in connection with such registration statement or from the failure of the Investor to deliver or so cause to be delivered the prospectus made available by the Company, if such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the Investor will reimburse any legal or other expenses reasonably incurred by them in connection with investigating or defending any such Claim; provided, however, that the indemnity agreement contained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and the agreement with respect to contribution contained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apply to amounts paid in settlement of any Claim if such settlement is effected without the prior written consent of the Investor, which consent shall not be unreasonably withheld; provided, further, however, that the Investor shall be liable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for only that amount of a Claim or Indemnified Damages as does not exceed the net proceeds to the Investor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 The indemnity agreements contained herein shall be in addition to (i) any cause of action or similar right of the Indemnified Party or Indemnified Person against the indemnifying party or others, and (ii) any liabilities the indemnifying party may be subject to pursuant to applicable law.</w:t>
      </w:r>
    </w:p>
    <w:p>
      <w:pPr>
        <w:spacing w:after="0" w:line="162" w:lineRule="exact"/>
        <w:rPr>
          <w:sz w:val="20"/>
          <w:szCs w:val="20"/>
          <w:color w:val="auto"/>
        </w:rPr>
      </w:pPr>
    </w:p>
    <w:p>
      <w:pPr>
        <w:ind w:left="840" w:hanging="184"/>
        <w:spacing w:after="0"/>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provided, however, that: (i) no seller of Registrable Securities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spacing w:after="0" w:line="183" w:lineRule="exact"/>
        <w:rPr>
          <w:sz w:val="20"/>
          <w:szCs w:val="20"/>
          <w:color w:val="auto"/>
        </w:rPr>
      </w:pPr>
    </w:p>
    <w:p>
      <w:pPr>
        <w:ind w:left="840" w:hanging="184"/>
        <w:spacing w:after="0"/>
        <w:tabs>
          <w:tab w:leader="none" w:pos="8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AND DISCLOSURE UNDER THE SECURITIES 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With a view to making available to the Investor the benefits of Rule 144 promulgated under the Securities Act or any other similar rule or regulation of the SEC that may at any time permit the Investor to sell securities of the Company to the public without registration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agrees, at the Company’s sole expense, so long as the Investor owns Registrable Securities, to use reasonable best efforts 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make and keep public information available, as those terms are understood and defined in Rule 144;</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file with the SEC in a timely manner all reports and other documents required of the Company under the Securities Act and the Exchange Act so long as the Company remains subject to such requirements and the filing of such reports and other documents is required for the applicable provisions of Rule 144;</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furnish to the Investor so long as the Investor owns Registrable Securities, promptly upon request, (i) a written statement by the Company that it has complied with the reporting and or disclosure provisions of Rule 144, the Securities Act and the Exchange Act, (ii) a copy of the most recent annual report of the Company and such other reports and documents so filed by the Company, and (iii) such other information as may be reasonably requested to permit the Investor to sell such securities pursuant to Rule 144 without registration; and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take such additional action as is requested by the Investor to enable the Investor to sell the Registrable Securities pursuant to Rule 144, including, without limitation, delivering all such legal opinions, consents, certificates, resolutions and instructions to the Company’s Transfer Agent as may be requested from time to time by the Investor and otherwise fully cooperate with Investor and Investor’s broker to effect such sale of securities pursuant to Rule 144.</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Company agrees that damages may be an inadequate remedy for any breach of the terms and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that Investor shall, whether or not it is pursuing any remedies at law, be entitled to seek equitable relief in the form of a preliminary or permanent injunctions, without having to post any bond or other security, upon any breach or threatened breach of any such terms or provisions.</w:t>
      </w:r>
    </w:p>
    <w:p>
      <w:pPr>
        <w:spacing w:after="0" w:line="176" w:lineRule="exact"/>
        <w:rPr>
          <w:sz w:val="20"/>
          <w:szCs w:val="20"/>
          <w:color w:val="auto"/>
        </w:rPr>
      </w:pPr>
    </w:p>
    <w:p>
      <w:pPr>
        <w:ind w:left="840" w:hanging="184"/>
        <w:spacing w:after="0"/>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without the prior written consent of the Investor; provided, however, that any transaction, whether by merger, reorganization, restructuring, consolidation, financing or otherwise, whereby the Company remains the surviving entity immediately after such transaction shall not be deemed to be an assignment. The Investor may not assign its rights under this Agreement without the prior written consent of the Company, other than to an affiliate of the Investor.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920" w:hanging="26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 provision of this Agreement may be amended or waived by the parties from and after the date that is one (1) Business Day immediately preceding the initial filing of the Registration Statement with the SEC.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183" w:lineRule="exact"/>
        <w:rPr>
          <w:sz w:val="20"/>
          <w:szCs w:val="20"/>
          <w:color w:val="auto"/>
        </w:rPr>
      </w:pPr>
    </w:p>
    <w:p>
      <w:pPr>
        <w:ind w:left="920" w:hanging="264"/>
        <w:spacing w:after="0"/>
        <w:tabs>
          <w:tab w:leader="none" w:pos="9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0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8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email (provided confirmation of transmission is mechanically or electronically generated and kept on file by the sending party); or (iii) one (1) Business Day after deposit with a nationally recognized overnight delivery service, in each case properly addressed to the party to receive the same. The addresses for such communications shall be:</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Raymond Chang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2468 Industrial Row Dr.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Troy, MI 48084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raymond.n.chang@gmail.com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Frank A. Segall, Esq.</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Frank.Segall@BlankRome.com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Broadridge Financial Solutions,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 Gateway Center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Newark, New Jersey 07102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Lia Ludwig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Lia.Ludwig@broadridge.com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Buyer: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set forth in the Purchase Agreement.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Legal Counsel:</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Sullivan &amp; Worcester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David Danovitch, Esq.</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ddanovitch@sullivanlaw.com</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at such other address and/or to the attention of such other person as the recipient party has specified by written notice given to each other party three (3) Business Days prior to the effectiveness of such change. Written confirmation of receipt (A) given by the recipient of such notice, consent, waiver or other communication, (B) mechanically or electronically generated by the sender’s email account containing the time, date, recipient email address, as applicable, and an image of the first page of such transmission or (C) provided by a nationally recognized overnight delivery service, shall be rebuttable evidence of personal service, receipt by email or receipt from a nationally recognized overnight delivery service in accordance with clause (i), (ii) or (iii) above,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The corporate laws of the State of Nevada shall govern all issues concerning the relative rights of the parties. All other questions concerning the construction, validity, enforcement and interpretation of this Agreement, the Purchase Agreement and the other Transaction Documents (as defined in the Purchase Agreement) shall be governed by the internal laws of the State of Nevada, without giving effect to any choice of law or conflict of law provision or rule (whether of the State of Nevada or any other jurisdictions) that would cause the application of the laws of any jurisdictions other than the State of Nevada. Each party hereby irrevocably submits to the exclusive jurisdiction of the state and federal courts sitting in Nevada for the adjudication of any dispute hereunder or under the other Transaction Documents or in connection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r>
        <w:rPr>
          <w:rFonts w:ascii="Times New Roman" w:cs="Times New Roman" w:eastAsia="Times New Roman" w:hAnsi="Times New Roman"/>
          <w:sz w:val="18"/>
          <w:szCs w:val="18"/>
          <w:b w:val="1"/>
          <w:bCs w:val="1"/>
          <w:color w:val="auto"/>
        </w:rPr>
        <w:t>EACH PARTY HEREBY IRREVOCABLY WAIVES ANY RIGHT IT MAY HAVE, AND AGREES NOT TO REQUEST, A JURY</w:t>
      </w:r>
    </w:p>
    <w:p>
      <w:pPr>
        <w:spacing w:after="0" w:line="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TRIAL FOR THE ADJUDICATION OF ANY DISPUTE HEREUNDER OR IN CONNECTION HEREWITH OR ARISING OUT OF THIS AGREEMENT OR ANY TRANSACTION CONTEMPLATED HEREBY.</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This Agreement, the Purchase Agreement and the Transaction Documents constitute the entire agreement among the parties hereto with respect to the subject matter hereof and thereof. There are no restrictions, promises, warranties or undertakings, other than those set forth or referred to herein and therein. This Agreement and the Purchase Agreement supersede all prior agreements and understandings among the parties hereto with respect to the subject matter hereof and thereof.</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Subject to the requirements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headings in this Agreement are for convenience of reference only and shall not limit or otherwise affect the meaning 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This Agreement may be executed in identical counterparts, each of which shall be deemed an original but all of which shall constitute one and the same agreement. This Agreement, once executed by a party, may be delivered to the other party hereto by e-mail in a “.pdf” format data file of a copy of this Agreement bearing the signature of the party so delivering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The language used in this Agreement will be deemed to be the language chosen by the parties to express their mutual intent and no rules of strict construction will be applied against any party.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This Agreement is intended for the benefit of the parties hereto and their respective successors and permitted assigns, and is not for the benefit of, nor may any provision hereof be enforced by, any other Person.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day and year first above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IONIC VENTURES,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Brendan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Brendan O’Neil</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PRE-FUNDED COMMON STOCK PURCHASE WARRANT</w:t>
      </w:r>
    </w:p>
    <w:p>
      <w:pPr>
        <w:spacing w:after="0" w:line="225" w:lineRule="exact"/>
        <w:rPr>
          <w:sz w:val="20"/>
          <w:szCs w:val="20"/>
          <w:color w:val="auto"/>
        </w:rPr>
      </w:pPr>
    </w:p>
    <w:p>
      <w:pPr>
        <w:jc w:val="both"/>
        <w:ind w:firstLine="881"/>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TO PRE-FUNDED COMMON STOCK PURCHASE WARRANT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effective as of August 28, 2024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is by and between CP Acquisitions, LLC or its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amends that certain Pre-Funded Common Stock Purchase Warrant, dated May 21, 2024, as amended on June 30, 2024, by and between the Company and Holder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Capitalized terms used in this Amendment but not defined herein shall have the respective meanings ascribed to them in the Warrant.</w:t>
      </w:r>
    </w:p>
    <w:p>
      <w:pPr>
        <w:spacing w:after="0" w:line="179" w:lineRule="exact"/>
        <w:rPr>
          <w:sz w:val="20"/>
          <w:szCs w:val="20"/>
          <w:color w:val="auto"/>
        </w:rPr>
      </w:pPr>
    </w:p>
    <w:p>
      <w:pPr>
        <w:jc w:val="both"/>
        <w:ind w:firstLine="88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the Warrant, the Company desires to amend the Warrant, pursuant to section 5(l) thereof,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Holder is willing to agree to the foregoing subject to the terms and conditions set forth in this Amendment.</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sufficiency and receipt of all of which are acknowledged, the Company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hereto agree as follows:</w:t>
      </w:r>
    </w:p>
    <w:p>
      <w:pPr>
        <w:spacing w:after="0" w:line="203" w:lineRule="exact"/>
        <w:rPr>
          <w:sz w:val="20"/>
          <w:szCs w:val="20"/>
          <w:color w:val="auto"/>
        </w:rPr>
      </w:pPr>
    </w:p>
    <w:p>
      <w:pPr>
        <w:ind w:left="900" w:hanging="447"/>
        <w:spacing w:after="0" w:line="28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Upon the effectiveness of this Amendment, in accordance with the provisions hereof and notwithstanding anything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contained in the Warrant:</w:t>
      </w:r>
    </w:p>
    <w:p>
      <w:pPr>
        <w:spacing w:after="0" w:line="158"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u w:val="single" w:color="auto"/>
          <w:color w:val="auto"/>
        </w:rPr>
        <w:t>Adjustment to Number of Warrant Shares Issuable</w:t>
      </w:r>
      <w:r>
        <w:rPr>
          <w:rFonts w:ascii="Times New Roman" w:cs="Times New Roman" w:eastAsia="Times New Roman" w:hAnsi="Times New Roman"/>
          <w:sz w:val="17"/>
          <w:szCs w:val="17"/>
          <w:color w:val="auto"/>
        </w:rPr>
        <w:t>. Section 3(g) shall be removed from the Warrant and replaced with the following:</w:t>
      </w:r>
    </w:p>
    <w:p>
      <w:pPr>
        <w:spacing w:after="0" w:line="225" w:lineRule="exact"/>
        <w:rPr>
          <w:rFonts w:ascii="Times New Roman" w:cs="Times New Roman" w:eastAsia="Times New Roman" w:hAnsi="Times New Roman"/>
          <w:sz w:val="18"/>
          <w:szCs w:val="18"/>
          <w:color w:val="auto"/>
        </w:rPr>
      </w:pPr>
    </w:p>
    <w:p>
      <w:pPr>
        <w:jc w:val="both"/>
        <w:ind w:left="1440" w:righ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to Number of Warrant Shares Issuable</w:t>
      </w:r>
      <w:r>
        <w:rPr>
          <w:rFonts w:ascii="Times New Roman" w:cs="Times New Roman" w:eastAsia="Times New Roman" w:hAnsi="Times New Roman"/>
          <w:sz w:val="18"/>
          <w:szCs w:val="18"/>
          <w:color w:val="auto"/>
        </w:rPr>
        <w:t>. During the twelve (12) month period after the Issue Date, upon each bona fide equity financing (either as a single transaction or series of related transactions) pursuant to which the Company issues and sells shares of its capital stock with the principal purpose of raising capital (each, a “Qualified Equity Financing”), the number of Warrant Shares shall be adjusted to be equal to, rounded up to the next whole number, the quotient of (A) the product of (x) $11,500,000 and (y) the percentage of the Warrant Shares initially issuable under this Warrant for which Warrant Shares have not been issued at the time of such adjustment (the “Adjustment Amount”) divided by (B) the price per share of Common Stock offered in the Qualified Equity Financing (the “Adjustment Price”).”</w:t>
      </w:r>
    </w:p>
    <w:p>
      <w:pPr>
        <w:spacing w:after="0" w:line="187" w:lineRule="exact"/>
        <w:rPr>
          <w:rFonts w:ascii="Times New Roman" w:cs="Times New Roman" w:eastAsia="Times New Roman" w:hAnsi="Times New Roman"/>
          <w:sz w:val="18"/>
          <w:szCs w:val="18"/>
          <w:color w:val="auto"/>
        </w:rPr>
      </w:pPr>
    </w:p>
    <w:p>
      <w:pPr>
        <w:ind w:left="900" w:right="20" w:hanging="447"/>
        <w:spacing w:after="0" w:line="28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Other Amendments; Confirmation</w:t>
      </w:r>
      <w:r>
        <w:rPr>
          <w:rFonts w:ascii="Times New Roman" w:cs="Times New Roman" w:eastAsia="Times New Roman" w:hAnsi="Times New Roman"/>
          <w:sz w:val="18"/>
          <w:szCs w:val="18"/>
          <w:color w:val="auto"/>
        </w:rPr>
        <w:t>. Except as expressly amended, modified and supplemented hereby, the provisions of the Warrant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remain in full force and effect.</w:t>
      </w:r>
    </w:p>
    <w:p>
      <w:pPr>
        <w:spacing w:after="0" w:line="154" w:lineRule="exact"/>
        <w:rPr>
          <w:rFonts w:ascii="Times New Roman" w:cs="Times New Roman" w:eastAsia="Times New Roman" w:hAnsi="Times New Roman"/>
          <w:sz w:val="18"/>
          <w:szCs w:val="18"/>
          <w:color w:val="auto"/>
        </w:rPr>
      </w:pPr>
    </w:p>
    <w:p>
      <w:pPr>
        <w:jc w:val="both"/>
        <w:ind w:left="900" w:hanging="447"/>
        <w:spacing w:after="0" w:line="268"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Amendment and the Warrant together constitute the entire agreement and the understanding of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any and all prior negotiations, correspondence, agreements, understandings, duties or obligations between the parties with respect to the subject matter hereof.</w:t>
      </w:r>
    </w:p>
    <w:p>
      <w:pPr>
        <w:spacing w:after="0" w:line="170" w:lineRule="exact"/>
        <w:rPr>
          <w:rFonts w:ascii="Times New Roman" w:cs="Times New Roman" w:eastAsia="Times New Roman" w:hAnsi="Times New Roman"/>
          <w:sz w:val="18"/>
          <w:szCs w:val="18"/>
          <w:color w:val="auto"/>
        </w:rPr>
      </w:pPr>
    </w:p>
    <w:p>
      <w:pPr>
        <w:jc w:val="both"/>
        <w:ind w:left="900" w:hanging="447"/>
        <w:spacing w:after="0" w:line="268"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SUBJECT TO THE PROVISIONS REGARDING GOVERNING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TO JURISDICTION SET FORTH IN SECTION 5(e) OF THE WARRANT, AND SUCH PROVISIONS ARE INCORPORATED HEREIN BY REFERENCE.</w:t>
      </w:r>
    </w:p>
    <w:p>
      <w:pPr>
        <w:spacing w:after="0" w:line="170" w:lineRule="exact"/>
        <w:rPr>
          <w:rFonts w:ascii="Times New Roman" w:cs="Times New Roman" w:eastAsia="Times New Roman" w:hAnsi="Times New Roman"/>
          <w:sz w:val="18"/>
          <w:szCs w:val="18"/>
          <w:color w:val="auto"/>
        </w:rPr>
      </w:pPr>
    </w:p>
    <w:p>
      <w:pPr>
        <w:jc w:val="both"/>
        <w:ind w:left="900" w:hanging="447"/>
        <w:spacing w:after="0" w:line="268"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counterparts, each of which shall be deemed an original but all of which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one and the same agreement. A signed copy of this warrant delivered electronically shall be deemed to have the same legal effect as delivery of an original signed copy of this Amendment.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Amendment as of the date first written above.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Kessler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Kessler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Scientific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CP ACQUISITIONS,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CP Acquisition Warrant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PRE-FUNDED COMMON STOCK PURCHASE WARRANT</w:t>
      </w:r>
    </w:p>
    <w:p>
      <w:pPr>
        <w:spacing w:after="0" w:line="225" w:lineRule="exact"/>
        <w:rPr>
          <w:sz w:val="20"/>
          <w:szCs w:val="20"/>
          <w:color w:val="auto"/>
        </w:rPr>
      </w:pPr>
    </w:p>
    <w:p>
      <w:pPr>
        <w:jc w:val="both"/>
        <w:ind w:firstLine="881"/>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TO PRE-FUNDED COMMON STOCK PURCHASE WARRANT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effective as of August 28, 2024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is by and between GIC Acquisition LLC or its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amends that certain Pre-Funded Common Stock Purchase Warrant, dated May 21, 2024, as amended on June 30, 2024, by and between the Company and Holder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Capitalized terms used in this Amendment but not defined herein shall have the respective meanings ascribed to them in the Warrant.</w:t>
      </w:r>
    </w:p>
    <w:p>
      <w:pPr>
        <w:spacing w:after="0" w:line="179" w:lineRule="exact"/>
        <w:rPr>
          <w:sz w:val="20"/>
          <w:szCs w:val="20"/>
          <w:color w:val="auto"/>
        </w:rPr>
      </w:pPr>
    </w:p>
    <w:p>
      <w:pPr>
        <w:jc w:val="both"/>
        <w:ind w:firstLine="88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the Warrant, the Company desires to amend the Warrant, pursuant to section 5(l) thereof,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Holder is willing to agree to the foregoing subject to the terms and conditions set forth in this Amendment.</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sufficiency and receipt of all of which are acknowledged, the Company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hereto agree as follows:</w:t>
      </w:r>
    </w:p>
    <w:p>
      <w:pPr>
        <w:spacing w:after="0" w:line="203" w:lineRule="exact"/>
        <w:rPr>
          <w:sz w:val="20"/>
          <w:szCs w:val="20"/>
          <w:color w:val="auto"/>
        </w:rPr>
      </w:pPr>
    </w:p>
    <w:p>
      <w:pPr>
        <w:ind w:left="900" w:hanging="447"/>
        <w:spacing w:after="0" w:line="286"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Upon the effectiveness of this Amendment, in accordance with the provisions hereof and notwithstanding anything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contained in the Warrant:</w:t>
      </w:r>
    </w:p>
    <w:p>
      <w:pPr>
        <w:spacing w:after="0" w:line="158"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u w:val="single" w:color="auto"/>
          <w:color w:val="auto"/>
        </w:rPr>
        <w:t>Adjustment to Number of Warrant Shares Issuable</w:t>
      </w:r>
      <w:r>
        <w:rPr>
          <w:rFonts w:ascii="Times New Roman" w:cs="Times New Roman" w:eastAsia="Times New Roman" w:hAnsi="Times New Roman"/>
          <w:sz w:val="17"/>
          <w:szCs w:val="17"/>
          <w:color w:val="auto"/>
        </w:rPr>
        <w:t>. Section 3(g) shall be removed from the Warrant and replaced with the following:</w:t>
      </w:r>
    </w:p>
    <w:p>
      <w:pPr>
        <w:spacing w:after="0" w:line="225" w:lineRule="exact"/>
        <w:rPr>
          <w:rFonts w:ascii="Times New Roman" w:cs="Times New Roman" w:eastAsia="Times New Roman" w:hAnsi="Times New Roman"/>
          <w:sz w:val="18"/>
          <w:szCs w:val="18"/>
          <w:color w:val="auto"/>
        </w:rPr>
      </w:pPr>
    </w:p>
    <w:p>
      <w:pPr>
        <w:jc w:val="both"/>
        <w:ind w:left="1440" w:righ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to Number of Warrant Shares Issuable</w:t>
      </w:r>
      <w:r>
        <w:rPr>
          <w:rFonts w:ascii="Times New Roman" w:cs="Times New Roman" w:eastAsia="Times New Roman" w:hAnsi="Times New Roman"/>
          <w:sz w:val="18"/>
          <w:szCs w:val="18"/>
          <w:color w:val="auto"/>
        </w:rPr>
        <w:t>. During the twelve (12) month period after the Issue Date, upon each bona fide equity financing (either as a single transaction or series of related transactions) pursuant to which the Company issues and sells shares of its capital stock with the principal purpose of raising capital (each, a “Qualified Equity Financing”), the number of Warrant Shares shall be adjusted to be equal to, rounded up to the next whole number, the quotient of (A) the product of (x) $2,288,746.45 and (y) the percentage of the Warrant Shares initially issuable under this Warrant for which Warrant Shares have not been issued at the time of such adjustment (the “Adjustment Amount”) divided by (B) the price per share of Common Stock offered in the Qualified Equity Financing (the “Adjustment Price”).”</w:t>
      </w:r>
    </w:p>
    <w:p>
      <w:pPr>
        <w:spacing w:after="0" w:line="187" w:lineRule="exact"/>
        <w:rPr>
          <w:rFonts w:ascii="Times New Roman" w:cs="Times New Roman" w:eastAsia="Times New Roman" w:hAnsi="Times New Roman"/>
          <w:sz w:val="18"/>
          <w:szCs w:val="18"/>
          <w:color w:val="auto"/>
        </w:rPr>
      </w:pPr>
    </w:p>
    <w:p>
      <w:pPr>
        <w:ind w:left="900" w:right="20" w:hanging="447"/>
        <w:spacing w:after="0" w:line="286"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Other Amendments; Confirmation</w:t>
      </w:r>
      <w:r>
        <w:rPr>
          <w:rFonts w:ascii="Times New Roman" w:cs="Times New Roman" w:eastAsia="Times New Roman" w:hAnsi="Times New Roman"/>
          <w:sz w:val="18"/>
          <w:szCs w:val="18"/>
          <w:color w:val="auto"/>
        </w:rPr>
        <w:t>. Except as expressly amended, modified and supplemented hereby, the provisions of the Warrant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remain in full force and effect.</w:t>
      </w:r>
    </w:p>
    <w:p>
      <w:pPr>
        <w:spacing w:after="0" w:line="154" w:lineRule="exact"/>
        <w:rPr>
          <w:rFonts w:ascii="Times New Roman" w:cs="Times New Roman" w:eastAsia="Times New Roman" w:hAnsi="Times New Roman"/>
          <w:sz w:val="18"/>
          <w:szCs w:val="18"/>
          <w:color w:val="auto"/>
        </w:rPr>
      </w:pPr>
    </w:p>
    <w:p>
      <w:pPr>
        <w:jc w:val="both"/>
        <w:ind w:left="900" w:hanging="447"/>
        <w:spacing w:after="0" w:line="268"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Amendment and the Warrant together constitute the entire agreement and the understanding of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any and all prior negotiations, correspondence, agreements, understandings, duties or obligations between the parties with respect to the subject matter hereof.</w:t>
      </w:r>
    </w:p>
    <w:p>
      <w:pPr>
        <w:spacing w:after="0" w:line="170" w:lineRule="exact"/>
        <w:rPr>
          <w:rFonts w:ascii="Times New Roman" w:cs="Times New Roman" w:eastAsia="Times New Roman" w:hAnsi="Times New Roman"/>
          <w:sz w:val="18"/>
          <w:szCs w:val="18"/>
          <w:color w:val="auto"/>
        </w:rPr>
      </w:pPr>
    </w:p>
    <w:p>
      <w:pPr>
        <w:jc w:val="both"/>
        <w:ind w:left="900" w:hanging="447"/>
        <w:spacing w:after="0" w:line="268"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SUBJECT TO THE PROVISIONS REGARDING GOVERNING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TO JURISDICTION SET FORTH IN SECTION 5(e) OF THE WARRANT, AND SUCH PROVISIONS ARE INCORPORATED HEREIN BY REFERENCE.</w:t>
      </w:r>
    </w:p>
    <w:p>
      <w:pPr>
        <w:spacing w:after="0" w:line="170" w:lineRule="exact"/>
        <w:rPr>
          <w:rFonts w:ascii="Times New Roman" w:cs="Times New Roman" w:eastAsia="Times New Roman" w:hAnsi="Times New Roman"/>
          <w:sz w:val="18"/>
          <w:szCs w:val="18"/>
          <w:color w:val="auto"/>
        </w:rPr>
      </w:pPr>
    </w:p>
    <w:p>
      <w:pPr>
        <w:jc w:val="both"/>
        <w:ind w:left="900" w:hanging="447"/>
        <w:spacing w:after="0" w:line="268"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counterparts, each of which shall be deemed an original but all of which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one and the same agreement. A signed copy of this warrant delivered electronically shall be deemed to have the same legal effect as delivery of an original signed copy of this Amendment.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Amendment as of the date first written above.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Kessler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Kessler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Science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GIC ACQUISITION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GIC Acquisition Warrant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decimal"/>
      <w:start w:val="1"/>
    </w:lvl>
    <w:lvl w:ilvl="1">
      <w:lvlJc w:val="left"/>
      <w:lvlText w:val="(%2)"/>
      <w:numFmt w:val="lowerLetter"/>
      <w:start w:val="1"/>
    </w:lvl>
  </w:abstractNum>
  <w:abstractNum w:abstractNumId="3">
    <w:nsid w:val="70A64E2A"/>
    <w:multiLevelType w:val="hybridMultilevel"/>
    <w:lvl w:ilvl="0">
      <w:lvlJc w:val="left"/>
      <w:lvlText w:val="(%1)"/>
      <w:numFmt w:val="lowerLetter"/>
      <w:start w:val="6"/>
    </w:lvl>
  </w:abstractNum>
  <w:abstractNum w:abstractNumId="4">
    <w:nsid w:val="6A2342EC"/>
    <w:multiLevelType w:val="hybridMultilevel"/>
    <w:lvl w:ilvl="0">
      <w:lvlJc w:val="left"/>
      <w:lvlText w:val="(%1)"/>
      <w:numFmt w:val="lowerLetter"/>
      <w:start w:val="14"/>
    </w:lvl>
  </w:abstractNum>
  <w:abstractNum w:abstractNumId="5">
    <w:nsid w:val="2A487CB0"/>
    <w:multiLevelType w:val="hybridMultilevel"/>
    <w:lvl w:ilvl="0">
      <w:lvlJc w:val="left"/>
      <w:lvlText w:val="(%1)"/>
      <w:numFmt w:val="lowerLetter"/>
      <w:start w:val="24"/>
    </w:lvl>
  </w:abstractNum>
  <w:abstractNum w:abstractNumId="6">
    <w:nsid w:val="1D4ED43B"/>
    <w:multiLevelType w:val="hybridMultilevel"/>
    <w:lvl w:ilvl="0">
      <w:lvlJc w:val="left"/>
      <w:lvlText w:val="(%1)"/>
      <w:numFmt w:val="lowerLetter"/>
      <w:start w:val="27"/>
    </w:lvl>
  </w:abstractNum>
  <w:abstractNum w:abstractNumId="7">
    <w:nsid w:val="725A06FB"/>
    <w:multiLevelType w:val="hybridMultilevel"/>
    <w:lvl w:ilvl="0">
      <w:lvlJc w:val="left"/>
      <w:lvlText w:val="%1"/>
      <w:numFmt w:val="decimal"/>
      <w:start w:val="1"/>
    </w:lvl>
    <w:lvl w:ilvl="1">
      <w:lvlJc w:val="left"/>
      <w:lvlText w:val="(%2)"/>
      <w:numFmt w:val="lowerLetter"/>
      <w:start w:val="34"/>
    </w:lvl>
  </w:abstractNum>
  <w:abstractNum w:abstractNumId="8">
    <w:nsid w:val="2CD89A32"/>
    <w:multiLevelType w:val="hybridMultilevel"/>
    <w:lvl w:ilvl="0">
      <w:lvlJc w:val="left"/>
      <w:lvlText w:val="%1."/>
      <w:numFmt w:val="decimal"/>
      <w:start w:val="2"/>
    </w:lvl>
    <w:lvl w:ilvl="1">
      <w:lvlJc w:val="left"/>
      <w:lvlText w:val="%2"/>
      <w:numFmt w:val="lowerLetter"/>
      <w:start w:val="1"/>
    </w:lvl>
  </w:abstractNum>
  <w:abstractNum w:abstractNumId="9">
    <w:nsid w:val="57E4CCAF"/>
    <w:multiLevelType w:val="hybridMultilevel"/>
    <w:lvl w:ilvl="0">
      <w:lvlJc w:val="left"/>
      <w:lvlText w:val="(%1)"/>
      <w:numFmt w:val="lowerLetter"/>
      <w:start w:val="1"/>
    </w:lvl>
    <w:lvl w:ilvl="1">
      <w:lvlJc w:val="left"/>
      <w:lvlText w:val="(%2)"/>
      <w:numFmt w:val="lowerLetter"/>
      <w:start w:val="9"/>
    </w:lvl>
  </w:abstractNum>
  <w:abstractNum w:abstractNumId="10">
    <w:nsid w:val="7A6D8D3C"/>
    <w:multiLevelType w:val="hybridMultilevel"/>
    <w:lvl w:ilvl="0">
      <w:lvlJc w:val="left"/>
      <w:lvlText w:val="%1"/>
      <w:numFmt w:val="lowerLetter"/>
      <w:start w:val="1"/>
    </w:lvl>
    <w:lvl w:ilvl="1">
      <w:lvlJc w:val="left"/>
      <w:lvlText w:val="(%2)"/>
      <w:numFmt w:val="lowerRoman"/>
      <w:start w:val="2"/>
    </w:lvl>
  </w:abstractNum>
  <w:abstractNum w:abstractNumId="11">
    <w:nsid w:val="4B588F54"/>
    <w:multiLevelType w:val="hybridMultilevel"/>
    <w:lvl w:ilvl="0">
      <w:lvlJc w:val="left"/>
      <w:lvlText w:val="(%1)"/>
      <w:numFmt w:val="lowerLetter"/>
      <w:start w:val="25"/>
    </w:lvl>
    <w:lvl w:ilvl="1">
      <w:lvlJc w:val="left"/>
      <w:lvlText w:val="(%2)"/>
      <w:numFmt w:val="lowerRoman"/>
      <w:start w:val="4"/>
    </w:lvl>
  </w:abstractNum>
  <w:abstractNum w:abstractNumId="12">
    <w:nsid w:val="542289EC"/>
    <w:multiLevelType w:val="hybridMultilevel"/>
    <w:lvl w:ilvl="0">
      <w:lvlJc w:val="left"/>
      <w:lvlText w:val="%1"/>
      <w:numFmt w:val="lowerLetter"/>
      <w:start w:val="1"/>
    </w:lvl>
    <w:lvl w:ilvl="1">
      <w:lvlJc w:val="left"/>
      <w:lvlText w:val="(%2)"/>
      <w:numFmt w:val="lowerRoman"/>
      <w:start w:val="6"/>
    </w:lvl>
  </w:abstractNum>
  <w:abstractNum w:abstractNumId="13">
    <w:nsid w:val="6DE91B18"/>
    <w:multiLevelType w:val="hybridMultilevel"/>
    <w:lvl w:ilvl="0">
      <w:lvlJc w:val="left"/>
      <w:lvlText w:val="(%1)"/>
      <w:numFmt w:val="lowerLetter"/>
      <w:start w:val="2"/>
    </w:lvl>
    <w:lvl w:ilvl="1">
      <w:lvlJc w:val="left"/>
      <w:lvlText w:val="(%2)"/>
      <w:numFmt w:val="lowerRoman"/>
      <w:start w:val="1"/>
    </w:lvl>
  </w:abstractNum>
  <w:abstractNum w:abstractNumId="14">
    <w:nsid w:val="38437FDB"/>
    <w:multiLevelType w:val="hybridMultilevel"/>
    <w:lvl w:ilvl="0">
      <w:lvlJc w:val="left"/>
      <w:lvlText w:val="(%1)"/>
      <w:numFmt w:val="lowerRoman"/>
      <w:start w:val="2"/>
    </w:lvl>
  </w:abstractNum>
  <w:abstractNum w:abstractNumId="15">
    <w:nsid w:val="7644A45C"/>
    <w:multiLevelType w:val="hybridMultilevel"/>
    <w:lvl w:ilvl="0">
      <w:lvlJc w:val="left"/>
      <w:lvlText w:val="%1"/>
      <w:numFmt w:val="lowerLetter"/>
      <w:start w:val="1"/>
    </w:lvl>
    <w:lvl w:ilvl="1">
      <w:lvlJc w:val="left"/>
      <w:lvlText w:val="(%2)"/>
      <w:numFmt w:val="lowerRoman"/>
      <w:start w:val="4"/>
    </w:lvl>
  </w:abstractNum>
  <w:abstractNum w:abstractNumId="16">
    <w:nsid w:val="32FFF902"/>
    <w:multiLevelType w:val="hybridMultilevel"/>
    <w:lvl w:ilvl="0">
      <w:lvlJc w:val="left"/>
      <w:lvlText w:val="(%1)"/>
      <w:numFmt w:val="lowerLetter"/>
      <w:start w:val="3"/>
    </w:lvl>
    <w:lvl w:ilvl="1">
      <w:lvlJc w:val="left"/>
      <w:lvlText w:val="(%2)"/>
      <w:numFmt w:val="lowerRoman"/>
      <w:start w:val="1"/>
    </w:lvl>
  </w:abstractNum>
  <w:abstractNum w:abstractNumId="17">
    <w:nsid w:val="684A481A"/>
    <w:multiLevelType w:val="hybridMultilevel"/>
    <w:lvl w:ilvl="0">
      <w:lvlJc w:val="left"/>
      <w:lvlText w:val="%1"/>
      <w:numFmt w:val="decimal"/>
      <w:start w:val="1"/>
    </w:lvl>
    <w:lvl w:ilvl="1">
      <w:lvlJc w:val="left"/>
      <w:lvlText w:val="(%2)"/>
      <w:numFmt w:val="lowerLetter"/>
      <w:start w:val="5"/>
    </w:lvl>
  </w:abstractNum>
  <w:abstractNum w:abstractNumId="18">
    <w:nsid w:val="579478FE"/>
    <w:multiLevelType w:val="hybridMultilevel"/>
    <w:lvl w:ilvl="0">
      <w:lvlJc w:val="left"/>
      <w:lvlText w:val="%1."/>
      <w:numFmt w:val="decimal"/>
      <w:start w:val="3"/>
    </w:lvl>
    <w:lvl w:ilvl="1">
      <w:lvlJc w:val="left"/>
      <w:lvlText w:val="(%2)"/>
      <w:numFmt w:val="lowerLetter"/>
      <w:start w:val="1"/>
    </w:lvl>
  </w:abstractNum>
  <w:abstractNum w:abstractNumId="19">
    <w:nsid w:val="749ABB43"/>
    <w:multiLevelType w:val="hybridMultilevel"/>
    <w:lvl w:ilvl="0">
      <w:lvlJc w:val="left"/>
      <w:lvlText w:val="(%1)"/>
      <w:numFmt w:val="lowerLetter"/>
      <w:start w:val="4"/>
    </w:lvl>
  </w:abstractNum>
  <w:abstractNum w:abstractNumId="20">
    <w:nsid w:val="3DC240F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1">
    <w:nsid w:val="1BA026FA"/>
    <w:multiLevelType w:val="hybridMultilevel"/>
    <w:lvl w:ilvl="0">
      <w:lvlJc w:val="left"/>
      <w:lvlText w:val="%1"/>
      <w:numFmt w:val="lowerLetter"/>
      <w:start w:val="1"/>
    </w:lvl>
    <w:lvl w:ilvl="1">
      <w:lvlJc w:val="left"/>
      <w:lvlText w:val="(%2)"/>
      <w:numFmt w:val="lowerRoman"/>
      <w:start w:val="2"/>
    </w:lvl>
  </w:abstractNum>
  <w:abstractNum w:abstractNumId="22">
    <w:nsid w:val="79A1DEAA"/>
    <w:multiLevelType w:val="hybridMultilevel"/>
    <w:lvl w:ilvl="0">
      <w:lvlJc w:val="left"/>
      <w:lvlText w:val="(%1)"/>
      <w:numFmt w:val="lowerLetter"/>
      <w:start w:val="4"/>
    </w:lvl>
    <w:lvl w:ilvl="1">
      <w:lvlJc w:val="left"/>
      <w:lvlText w:val="%2"/>
      <w:numFmt w:val="lowerRoman"/>
      <w:start w:val="1"/>
    </w:lvl>
  </w:abstractNum>
  <w:abstractNum w:abstractNumId="23">
    <w:nsid w:val="75C6C33A"/>
    <w:multiLevelType w:val="hybridMultilevel"/>
    <w:lvl w:ilvl="0">
      <w:lvlJc w:val="left"/>
      <w:lvlText w:val="(%1)"/>
      <w:numFmt w:val="lowerLetter"/>
      <w:start w:val="5"/>
    </w:lvl>
  </w:abstractNum>
  <w:abstractNum w:abstractNumId="24">
    <w:nsid w:val="12E685FB"/>
    <w:multiLevelType w:val="hybridMultilevel"/>
    <w:lvl w:ilvl="0">
      <w:lvlJc w:val="left"/>
      <w:lvlText w:val="%1"/>
      <w:numFmt w:val="lowerLetter"/>
      <w:start w:val="1"/>
    </w:lvl>
    <w:lvl w:ilvl="1">
      <w:lvlJc w:val="left"/>
      <w:lvlText w:val="(%2)"/>
      <w:numFmt w:val="lowerLetter"/>
      <w:start w:val="7"/>
    </w:lvl>
  </w:abstractNum>
  <w:abstractNum w:abstractNumId="25">
    <w:nsid w:val="70C6A529"/>
    <w:multiLevelType w:val="hybridMultilevel"/>
    <w:lvl w:ilvl="0">
      <w:lvlJc w:val="left"/>
      <w:lvlText w:val="(%1)"/>
      <w:numFmt w:val="lowerLetter"/>
      <w:start w:val="35"/>
    </w:lvl>
    <w:lvl w:ilvl="1">
      <w:lvlJc w:val="left"/>
      <w:lvlText w:val="%2"/>
      <w:numFmt w:val="lowerLetter"/>
      <w:start w:val="1"/>
    </w:lvl>
  </w:abstractNum>
  <w:abstractNum w:abstractNumId="26">
    <w:nsid w:val="520EEDD1"/>
    <w:multiLevelType w:val="hybridMultilevel"/>
    <w:lvl w:ilvl="0">
      <w:lvlJc w:val="left"/>
      <w:lvlText w:val="(%1)"/>
      <w:numFmt w:val="lowerLetter"/>
      <w:start w:val="9"/>
    </w:lvl>
  </w:abstractNum>
  <w:abstractNum w:abstractNumId="27">
    <w:nsid w:val="374A3FE6"/>
    <w:multiLevelType w:val="hybridMultilevel"/>
    <w:lvl w:ilvl="0">
      <w:lvlJc w:val="left"/>
      <w:lvlText w:val="(%1)"/>
      <w:numFmt w:val="lowerLetter"/>
      <w:start w:val="12"/>
    </w:lvl>
    <w:lvl w:ilvl="1">
      <w:lvlJc w:val="left"/>
      <w:lvlText w:val="(%2)"/>
      <w:numFmt w:val="lowerLetter"/>
      <w:start w:val="9"/>
    </w:lvl>
  </w:abstractNum>
  <w:abstractNum w:abstractNumId="28">
    <w:nsid w:val="4F4EF005"/>
    <w:multiLevelType w:val="hybridMultilevel"/>
    <w:lvl w:ilvl="0">
      <w:lvlJc w:val="left"/>
      <w:lvlText w:val="%1"/>
      <w:numFmt w:val="lowerLetter"/>
      <w:start w:val="1"/>
    </w:lvl>
    <w:lvl w:ilvl="1">
      <w:lvlJc w:val="left"/>
      <w:lvlText w:val="(%2)"/>
      <w:numFmt w:val="lowerLetter"/>
      <w:start w:val="35"/>
    </w:lvl>
  </w:abstractNum>
  <w:abstractNum w:abstractNumId="29">
    <w:nsid w:val="23F9C13C"/>
    <w:multiLevelType w:val="hybridMultilevel"/>
    <w:lvl w:ilvl="0">
      <w:lvlJc w:val="left"/>
      <w:lvlText w:val="(%1)"/>
      <w:numFmt w:val="lowerLetter"/>
      <w:start w:val="15"/>
    </w:lvl>
    <w:lvl w:ilvl="1">
      <w:lvlJc w:val="left"/>
      <w:lvlText w:val="%2"/>
      <w:numFmt w:val="lowerLetter"/>
      <w:start w:val="1"/>
    </w:lvl>
  </w:abstractNum>
  <w:abstractNum w:abstractNumId="30">
    <w:nsid w:val="649BB77C"/>
    <w:multiLevelType w:val="hybridMultilevel"/>
    <w:lvl w:ilvl="0">
      <w:lvlJc w:val="left"/>
      <w:lvlText w:val="(%1)"/>
      <w:numFmt w:val="lowerLetter"/>
      <w:start w:val="18"/>
    </w:lvl>
  </w:abstractNum>
  <w:abstractNum w:abstractNumId="31">
    <w:nsid w:val="275AC794"/>
    <w:multiLevelType w:val="hybridMultilevel"/>
    <w:lvl w:ilvl="0">
      <w:lvlJc w:val="left"/>
      <w:lvlText w:val="(%1)"/>
      <w:numFmt w:val="lowerLetter"/>
      <w:start w:val="22"/>
    </w:lvl>
  </w:abstractNum>
  <w:abstractNum w:abstractNumId="32">
    <w:nsid w:val="39386575"/>
    <w:multiLevelType w:val="hybridMultilevel"/>
    <w:lvl w:ilvl="0">
      <w:lvlJc w:val="left"/>
      <w:lvlText w:val="%1"/>
      <w:numFmt w:val="upperLetter"/>
      <w:start w:val="1"/>
    </w:lvl>
    <w:lvl w:ilvl="1">
      <w:lvlJc w:val="left"/>
      <w:lvlText w:val="(%2)"/>
      <w:numFmt w:val="lowerLetter"/>
      <w:start w:val="25"/>
    </w:lvl>
  </w:abstractNum>
  <w:abstractNum w:abstractNumId="33">
    <w:nsid w:val="1CF10FD8"/>
    <w:multiLevelType w:val="hybridMultilevel"/>
    <w:lvl w:ilvl="0">
      <w:lvlJc w:val="left"/>
      <w:lvlText w:val="(%1)"/>
      <w:numFmt w:val="upperLetter"/>
      <w:start w:val="2"/>
    </w:lvl>
    <w:lvl w:ilvl="1">
      <w:lvlJc w:val="left"/>
      <w:lvlText w:val="(%2)"/>
      <w:numFmt w:val="lowerLetter"/>
      <w:start w:val="26"/>
    </w:lvl>
  </w:abstractNum>
  <w:abstractNum w:abstractNumId="34">
    <w:nsid w:val="180115BE"/>
    <w:multiLevelType w:val="hybridMultilevel"/>
    <w:lvl w:ilvl="0">
      <w:lvlJc w:val="left"/>
      <w:lvlText w:val="(%1)"/>
      <w:numFmt w:val="lowerLetter"/>
      <w:start w:val="27"/>
    </w:lvl>
  </w:abstractNum>
  <w:abstractNum w:abstractNumId="35">
    <w:nsid w:val="235BA861"/>
    <w:multiLevelType w:val="hybridMultilevel"/>
    <w:lvl w:ilvl="0">
      <w:lvlJc w:val="left"/>
      <w:lvlText w:val="(%1)"/>
      <w:numFmt w:val="lowerLetter"/>
      <w:start w:val="28"/>
    </w:lvl>
  </w:abstractNum>
  <w:abstractNum w:abstractNumId="36">
    <w:nsid w:val="47398C89"/>
    <w:multiLevelType w:val="hybridMultilevel"/>
    <w:lvl w:ilvl="0">
      <w:lvlJc w:val="left"/>
      <w:lvlText w:val="(%1)"/>
      <w:numFmt w:val="lowerLetter"/>
      <w:start w:val="33"/>
    </w:lvl>
  </w:abstractNum>
  <w:abstractNum w:abstractNumId="37">
    <w:nsid w:val="354FE9F9"/>
    <w:multiLevelType w:val="hybridMultilevel"/>
    <w:lvl w:ilvl="0">
      <w:lvlJc w:val="left"/>
      <w:lvlText w:val="%1"/>
      <w:numFmt w:val="upperLetter"/>
      <w:start w:val="1"/>
    </w:lvl>
    <w:lvl w:ilvl="1">
      <w:lvlJc w:val="left"/>
      <w:lvlText w:val="(%2)"/>
      <w:numFmt w:val="lowerLetter"/>
      <w:start w:val="38"/>
    </w:lvl>
  </w:abstractNum>
  <w:abstractNum w:abstractNumId="38">
    <w:nsid w:val="15B5AF5C"/>
    <w:multiLevelType w:val="hybridMultilevel"/>
    <w:lvl w:ilvl="0">
      <w:lvlJc w:val="left"/>
      <w:lvlText w:val="(%1)"/>
      <w:numFmt w:val="upperLetter"/>
      <w:start w:val="5"/>
    </w:lvl>
    <w:lvl w:ilvl="1">
      <w:lvlJc w:val="left"/>
      <w:lvlText w:val="(%2)"/>
      <w:numFmt w:val="lowerLetter"/>
      <w:start w:val="39"/>
    </w:lvl>
  </w:abstractNum>
  <w:abstractNum w:abstractNumId="39">
    <w:nsid w:val="741226BB"/>
    <w:multiLevelType w:val="hybridMultilevel"/>
    <w:lvl w:ilvl="0">
      <w:lvlJc w:val="left"/>
      <w:lvlText w:val="(%1)"/>
      <w:numFmt w:val="lowerLetter"/>
      <w:start w:val="41"/>
    </w:lvl>
    <w:lvl w:ilvl="1">
      <w:lvlJc w:val="left"/>
      <w:lvlText w:val="(%2)"/>
      <w:numFmt w:val="lowerRoman"/>
      <w:start w:val="1"/>
    </w:lvl>
  </w:abstractNum>
  <w:abstractNum w:abstractNumId="40">
    <w:nsid w:val="D34B6A8"/>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41">
    <w:nsid w:val="10233C99"/>
    <w:multiLevelType w:val="hybridMultilevel"/>
    <w:lvl w:ilvl="0">
      <w:lvlJc w:val="left"/>
      <w:lvlText w:val="(%1)"/>
      <w:numFmt w:val="lowerLetter"/>
      <w:start w:val="45"/>
    </w:lvl>
    <w:lvl w:ilvl="1">
      <w:lvlJc w:val="left"/>
      <w:lvlText w:val="%2"/>
      <w:numFmt w:val="lowerRoman"/>
      <w:start w:val="1"/>
    </w:lvl>
    <w:lvl w:ilvl="2">
      <w:lvlJc w:val="left"/>
      <w:lvlText w:val="%3"/>
      <w:numFmt w:val="decimal"/>
      <w:start w:val="1"/>
    </w:lvl>
  </w:abstractNum>
  <w:abstractNum w:abstractNumId="42">
    <w:nsid w:val="3F6AB60F"/>
    <w:multiLevelType w:val="hybridMultilevel"/>
    <w:lvl w:ilvl="0">
      <w:lvlJc w:val="left"/>
      <w:lvlText w:val="%1"/>
      <w:numFmt w:val="decimal"/>
      <w:start w:val="1"/>
    </w:lvl>
    <w:lvl w:ilvl="1">
      <w:lvlJc w:val="left"/>
      <w:lvlText w:val="(%2)"/>
      <w:numFmt w:val="lowerLetter"/>
      <w:start w:val="48"/>
    </w:lvl>
  </w:abstractNum>
  <w:abstractNum w:abstractNumId="43">
    <w:nsid w:val="61574095"/>
    <w:multiLevelType w:val="hybridMultilevel"/>
    <w:lvl w:ilvl="0">
      <w:lvlJc w:val="left"/>
      <w:lvlText w:val="%1."/>
      <w:numFmt w:val="decimal"/>
      <w:start w:val="5"/>
    </w:lvl>
    <w:lvl w:ilvl="1">
      <w:lvlJc w:val="left"/>
      <w:lvlText w:val="(%2)"/>
      <w:numFmt w:val="lowerLetter"/>
      <w:start w:val="1"/>
    </w:lvl>
  </w:abstractNum>
  <w:abstractNum w:abstractNumId="44">
    <w:nsid w:val="7E0C57B1"/>
    <w:multiLevelType w:val="hybridMultilevel"/>
    <w:lvl w:ilvl="0">
      <w:lvlJc w:val="left"/>
      <w:lvlText w:val="(%1)"/>
      <w:numFmt w:val="lowerLetter"/>
      <w:start w:val="3"/>
    </w:lvl>
  </w:abstractNum>
  <w:abstractNum w:abstractNumId="45">
    <w:nsid w:val="77AE35EB"/>
    <w:multiLevelType w:val="hybridMultilevel"/>
    <w:lvl w:ilvl="0">
      <w:lvlJc w:val="left"/>
      <w:lvlText w:val="(%1)"/>
      <w:numFmt w:val="lowerLetter"/>
      <w:start w:val="7"/>
    </w:lvl>
  </w:abstractNum>
  <w:abstractNum w:abstractNumId="46">
    <w:nsid w:val="579BE4F1"/>
    <w:multiLevelType w:val="hybridMultilevel"/>
    <w:lvl w:ilvl="0">
      <w:lvlJc w:val="left"/>
      <w:lvlText w:val="%1"/>
      <w:numFmt w:val="upperLetter"/>
      <w:start w:val="1"/>
    </w:lvl>
    <w:lvl w:ilvl="1">
      <w:lvlJc w:val="left"/>
      <w:lvlText w:val="(%2)"/>
      <w:numFmt w:val="lowerLetter"/>
      <w:start w:val="14"/>
    </w:lvl>
  </w:abstractNum>
  <w:abstractNum w:abstractNumId="47">
    <w:nsid w:val="310C50B3"/>
    <w:multiLevelType w:val="hybridMultilevel"/>
    <w:lvl w:ilvl="0">
      <w:lvlJc w:val="left"/>
      <w:lvlText w:val="(%1)"/>
      <w:numFmt w:val="upperLetter"/>
      <w:start w:val="1"/>
    </w:lvl>
    <w:lvl w:ilvl="1">
      <w:lvlJc w:val="left"/>
      <w:lvlText w:val="%2"/>
      <w:numFmt w:val="lowerLetter"/>
      <w:start w:val="1"/>
    </w:lvl>
  </w:abstractNum>
  <w:abstractNum w:abstractNumId="48">
    <w:nsid w:val="5FF87E05"/>
    <w:multiLevelType w:val="hybridMultilevel"/>
    <w:lvl w:ilvl="0">
      <w:lvlJc w:val="left"/>
      <w:lvlText w:val="(%1)"/>
      <w:numFmt w:val="lowerLetter"/>
      <w:start w:val="15"/>
    </w:lvl>
  </w:abstractNum>
  <w:abstractNum w:abstractNumId="49">
    <w:nsid w:val="2F305DEF"/>
    <w:multiLevelType w:val="hybridMultilevel"/>
    <w:lvl w:ilvl="0">
      <w:lvlJc w:val="left"/>
      <w:lvlText w:val="%1."/>
      <w:numFmt w:val="decimal"/>
      <w:start w:val="6"/>
    </w:lvl>
    <w:lvl w:ilvl="1">
      <w:lvlJc w:val="left"/>
      <w:lvlText w:val="(%2)"/>
      <w:numFmt w:val="lowerLetter"/>
      <w:start w:val="1"/>
    </w:lvl>
  </w:abstractNum>
  <w:abstractNum w:abstractNumId="50">
    <w:nsid w:val="25A70BF7"/>
    <w:multiLevelType w:val="hybridMultilevel"/>
    <w:lvl w:ilvl="0">
      <w:lvlJc w:val="left"/>
      <w:lvlText w:val="%1."/>
      <w:numFmt w:val="decimal"/>
      <w:start w:val="7"/>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decimal"/>
      <w:start w:val="8"/>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1)"/>
      <w:numFmt w:val="lowerLetter"/>
      <w:start w:val="3"/>
    </w:lvl>
  </w:abstractNum>
  <w:abstractNum w:abstractNumId="55">
    <w:nsid w:val="5DB70AE5"/>
    <w:multiLevelType w:val="hybridMultilevel"/>
    <w:lvl w:ilvl="0">
      <w:lvlJc w:val="left"/>
      <w:lvlText w:val="(%1)"/>
      <w:numFmt w:val="lowerLetter"/>
      <w:start w:val="13"/>
    </w:lvl>
  </w:abstractNum>
  <w:abstractNum w:abstractNumId="56">
    <w:nsid w:val="100F8FCA"/>
    <w:multiLevelType w:val="hybridMultilevel"/>
    <w:lvl w:ilvl="0">
      <w:lvlJc w:val="left"/>
      <w:lvlText w:val="%1."/>
      <w:numFmt w:val="decimal"/>
      <w:start w:val="9"/>
    </w:lvl>
  </w:abstractNum>
  <w:abstractNum w:abstractNumId="57">
    <w:nsid w:val="6590700B"/>
    <w:multiLevelType w:val="hybridMultilevel"/>
    <w:lvl w:ilvl="0">
      <w:lvlJc w:val="left"/>
      <w:lvlText w:val="(%1)"/>
      <w:numFmt w:val="lowerLetter"/>
      <w:start w:val="3"/>
    </w:lvl>
  </w:abstractNum>
  <w:abstractNum w:abstractNumId="58">
    <w:nsid w:val="15014ACB"/>
    <w:multiLevelType w:val="hybridMultilevel"/>
    <w:lvl w:ilvl="0">
      <w:lvlJc w:val="left"/>
      <w:lvlText w:val="%1."/>
      <w:numFmt w:val="decimal"/>
      <w:start w:val="10"/>
    </w:lvl>
    <w:lvl w:ilvl="1">
      <w:lvlJc w:val="left"/>
      <w:lvlText w:val="(%2)"/>
      <w:numFmt w:val="lowerLetter"/>
      <w:start w:val="1"/>
    </w:lvl>
  </w:abstractNum>
  <w:abstractNum w:abstractNumId="59">
    <w:nsid w:val="5F5E7FD0"/>
    <w:multiLevelType w:val="hybridMultilevel"/>
    <w:lvl w:ilvl="0">
      <w:lvlJc w:val="left"/>
      <w:lvlText w:val="(%1)"/>
      <w:numFmt w:val="lowerLetter"/>
      <w:start w:val="8"/>
    </w:lvl>
  </w:abstractNum>
  <w:abstractNum w:abstractNumId="60">
    <w:nsid w:val="98A3148"/>
    <w:multiLevelType w:val="hybridMultilevel"/>
    <w:lvl w:ilvl="0">
      <w:lvlJc w:val="left"/>
      <w:lvlText w:val="%1."/>
      <w:numFmt w:val="decimal"/>
      <w:start w:val="11"/>
    </w:lvl>
    <w:lvl w:ilvl="1">
      <w:lvlJc w:val="left"/>
      <w:lvlText w:val="(%2)"/>
      <w:numFmt w:val="lowerLetter"/>
      <w:start w:val="1"/>
    </w:lvl>
  </w:abstractNum>
  <w:abstractNum w:abstractNumId="61">
    <w:nsid w:val="799D0247"/>
    <w:multiLevelType w:val="hybridMultilevel"/>
    <w:lvl w:ilvl="0">
      <w:lvlJc w:val="left"/>
      <w:lvlText w:val="(%1)"/>
      <w:numFmt w:val="lowerLetter"/>
      <w:start w:val="4"/>
    </w:lvl>
  </w:abstractNum>
  <w:abstractNum w:abstractNumId="62">
    <w:nsid w:val="6B94764"/>
    <w:multiLevelType w:val="hybridMultilevel"/>
    <w:lvl w:ilvl="0">
      <w:lvlJc w:val="left"/>
      <w:lvlText w:val="%1."/>
      <w:numFmt w:val="decimal"/>
      <w:start w:val="12"/>
    </w:lvl>
    <w:lvl w:ilvl="1">
      <w:lvlJc w:val="left"/>
      <w:lvlText w:val="(%2)"/>
      <w:numFmt w:val="lowerLetter"/>
      <w:start w:val="1"/>
    </w:lvl>
  </w:abstractNum>
  <w:abstractNum w:abstractNumId="63">
    <w:nsid w:val="42C296BD"/>
    <w:multiLevelType w:val="hybridMultilevel"/>
    <w:lvl w:ilvl="0">
      <w:lvlJc w:val="left"/>
      <w:lvlText w:val="(%1)"/>
      <w:numFmt w:val="lowerLetter"/>
      <w:start w:val="2"/>
    </w:lvl>
  </w:abstractNum>
  <w:abstractNum w:abstractNumId="64">
    <w:nsid w:val="168E121F"/>
    <w:multiLevelType w:val="hybridMultilevel"/>
    <w:lvl w:ilvl="0">
      <w:lvlJc w:val="left"/>
      <w:lvlText w:val="(%1)"/>
      <w:numFmt w:val="lowerLetter"/>
      <w:start w:val="7"/>
    </w:lvl>
  </w:abstractNum>
  <w:abstractNum w:abstractNumId="65">
    <w:nsid w:val="1EBA5D23"/>
    <w:multiLevelType w:val="hybridMultilevel"/>
    <w:lvl w:ilvl="0">
      <w:lvlJc w:val="left"/>
      <w:lvlText w:val="(%1)"/>
      <w:numFmt w:val="lowerLetter"/>
      <w:start w:val="10"/>
    </w:lvl>
    <w:lvl w:ilvl="1">
      <w:lvlJc w:val="left"/>
      <w:lvlText w:val="**"/>
      <w:numFmt w:val="bullet"/>
      <w:start w:val="1"/>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decimal"/>
      <w:start w:val="2"/>
    </w:lvl>
    <w:lvl w:ilvl="1">
      <w:lvlJc w:val="left"/>
      <w:lvlText w:val="%2."/>
      <w:numFmt w:val="lowerLetter"/>
      <w:start w:val="1"/>
    </w:lvl>
  </w:abstractNum>
  <w:abstractNum w:abstractNumId="68">
    <w:nsid w:val="540A471C"/>
    <w:multiLevelType w:val="hybridMultilevel"/>
    <w:lvl w:ilvl="0">
      <w:lvlJc w:val="left"/>
      <w:lvlText w:val="(%1)"/>
      <w:numFmt w:val="lowerRoman"/>
      <w:start w:val="1"/>
    </w:lvl>
  </w:abstractNum>
  <w:abstractNum w:abstractNumId="69">
    <w:nsid w:val="7BD3EE7B"/>
    <w:multiLevelType w:val="hybridMultilevel"/>
    <w:lvl w:ilvl="0">
      <w:lvlJc w:val="left"/>
      <w:lvlText w:val="%1."/>
      <w:numFmt w:val="decimal"/>
      <w:start w:val="3"/>
    </w:lvl>
  </w:abstractNum>
  <w:abstractNum w:abstractNumId="70">
    <w:nsid w:val="51D9C564"/>
    <w:multiLevelType w:val="hybridMultilevel"/>
    <w:lvl w:ilvl="0">
      <w:lvlJc w:val="left"/>
      <w:lvlText w:val="%1."/>
      <w:numFmt w:val="decimal"/>
      <w:start w:val="4"/>
    </w:lvl>
    <w:lvl w:ilvl="1">
      <w:lvlJc w:val="left"/>
      <w:lvlText w:val="%2."/>
      <w:numFmt w:val="lowerLetter"/>
      <w:start w:val="1"/>
    </w:lvl>
  </w:abstractNum>
  <w:abstractNum w:abstractNumId="71">
    <w:nsid w:val="613EFDC5"/>
    <w:multiLevelType w:val="hybridMultilevel"/>
    <w:lvl w:ilvl="0">
      <w:lvlJc w:val="left"/>
      <w:lvlText w:val="%1."/>
      <w:numFmt w:val="decimal"/>
      <w:start w:val="5"/>
    </w:lvl>
  </w:abstractNum>
  <w:abstractNum w:abstractNumId="72">
    <w:nsid w:val="BF72B14"/>
    <w:multiLevelType w:val="hybridMultilevel"/>
    <w:lvl w:ilvl="0">
      <w:lvlJc w:val="left"/>
      <w:lvlText w:val="%1."/>
      <w:numFmt w:val="decimal"/>
      <w:start w:val="6"/>
    </w:lvl>
    <w:lvl w:ilvl="1">
      <w:lvlJc w:val="left"/>
      <w:lvlText w:val="%2"/>
      <w:numFmt w:val="lowerLetter"/>
      <w:start w:val="1"/>
    </w:lvl>
  </w:abstractNum>
  <w:abstractNum w:abstractNumId="73">
    <w:nsid w:val="11447B73"/>
    <w:multiLevelType w:val="hybridMultilevel"/>
    <w:lvl w:ilvl="0">
      <w:lvlJc w:val="left"/>
      <w:lvlText w:val="%1."/>
      <w:numFmt w:val="decimal"/>
      <w:start w:val="7"/>
    </w:lvl>
  </w:abstractNum>
  <w:abstractNum w:abstractNumId="74">
    <w:nsid w:val="42963E5A"/>
    <w:multiLevelType w:val="hybridMultilevel"/>
    <w:lvl w:ilvl="0">
      <w:lvlJc w:val="left"/>
      <w:lvlText w:val="%1."/>
      <w:numFmt w:val="decimal"/>
      <w:start w:val="8"/>
    </w:lvl>
  </w:abstractNum>
  <w:abstractNum w:abstractNumId="75">
    <w:nsid w:val="A0382C5"/>
    <w:multiLevelType w:val="hybridMultilevel"/>
    <w:lvl w:ilvl="0">
      <w:lvlJc w:val="left"/>
      <w:lvlText w:val="%1."/>
      <w:numFmt w:val="decimal"/>
      <w:start w:val="9"/>
    </w:lvl>
  </w:abstractNum>
  <w:abstractNum w:abstractNumId="76">
    <w:nsid w:val="8F2B15E"/>
    <w:multiLevelType w:val="hybridMultilevel"/>
    <w:lvl w:ilvl="0">
      <w:lvlJc w:val="left"/>
      <w:lvlText w:val="%1."/>
      <w:numFmt w:val="decimal"/>
      <w:start w:val="10"/>
    </w:lvl>
  </w:abstractNum>
  <w:abstractNum w:abstractNumId="77">
    <w:nsid w:val="1A32234B"/>
    <w:multiLevelType w:val="hybridMultilevel"/>
    <w:lvl w:ilvl="0">
      <w:lvlJc w:val="left"/>
      <w:lvlText w:val="%1."/>
      <w:numFmt w:val="decimal"/>
      <w:start w:val="1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2024-08-29T16:43:03Z</dcterms:created>
  <dcterms:modified xsi:type="dcterms:W3CDTF">2024-08-29T16:43:03Z</dcterms:modified>
</cp:coreProperties>
</file>