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left="23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left="23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34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15" w:lineRule="exact"/>
        <w:rPr>
          <w:sz w:val="24"/>
          <w:szCs w:val="24"/>
          <w:color w:val="auto"/>
        </w:rPr>
      </w:pPr>
    </w:p>
    <w:p>
      <w:pPr>
        <w:ind w:left="2100" w:hanging="202"/>
        <w:spacing w:after="0" w:line="207" w:lineRule="exact"/>
        <w:tabs>
          <w:tab w:leader="none" w:pos="21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w:t>
      </w:r>
    </w:p>
    <w:p>
      <w:pPr>
        <w:spacing w:after="0" w:line="63" w:lineRule="exact"/>
        <w:rPr>
          <w:sz w:val="24"/>
          <w:szCs w:val="24"/>
          <w:color w:val="auto"/>
        </w:rPr>
      </w:pPr>
    </w:p>
    <w:p>
      <w:pPr>
        <w:spacing w:after="0" w:line="207" w:lineRule="exact"/>
        <w:tabs>
          <w:tab w:leader="none" w:pos="1880" w:val="left"/>
        </w:tabs>
        <w:rPr>
          <w:sz w:val="20"/>
          <w:szCs w:val="20"/>
          <w:color w:val="auto"/>
        </w:rPr>
      </w:pPr>
      <w:r>
        <w:rPr>
          <w:rFonts w:ascii="Times New Roman" w:cs="Times New Roman" w:eastAsia="Times New Roman" w:hAnsi="Times New Roman"/>
          <w:sz w:val="18"/>
          <w:szCs w:val="18"/>
          <w:i w:val="1"/>
          <w:iCs w:val="1"/>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10-Q</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10-D</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N-CEN</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N-CSR</w:t>
      </w:r>
    </w:p>
    <w:p>
      <w:pPr>
        <w:spacing w:after="0" w:line="208"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b w:val="1"/>
          <w:bCs w:val="1"/>
          <w:color w:val="auto"/>
        </w:rPr>
        <w:t>March 31, 2024</w:t>
      </w:r>
    </w:p>
    <w:p>
      <w:pPr>
        <w:spacing w:after="0" w:line="229" w:lineRule="exact"/>
        <w:rPr>
          <w:sz w:val="24"/>
          <w:szCs w:val="24"/>
          <w:color w:val="auto"/>
        </w:rPr>
      </w:pPr>
    </w:p>
    <w:p>
      <w:pPr>
        <w:ind w:left="2100" w:hanging="202"/>
        <w:spacing w:after="0"/>
        <w:tabs>
          <w:tab w:leader="none" w:pos="21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2100" w:hanging="202"/>
        <w:spacing w:after="0"/>
        <w:tabs>
          <w:tab w:leader="none" w:pos="21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100" w:hanging="202"/>
        <w:spacing w:after="0"/>
        <w:tabs>
          <w:tab w:leader="none" w:pos="21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100" w:hanging="202"/>
        <w:spacing w:after="0"/>
        <w:tabs>
          <w:tab w:leader="none" w:pos="21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5"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-137160</wp:posOffset>
            </wp:positionH>
            <wp:positionV relativeFrom="paragraph">
              <wp:posOffset>-168275</wp:posOffset>
            </wp:positionV>
            <wp:extent cx="1157605"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7605" cy="3771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-137160</wp:posOffset>
            </wp:positionH>
            <wp:positionV relativeFrom="paragraph">
              <wp:posOffset>228600</wp:posOffset>
            </wp:positionV>
            <wp:extent cx="1157605" cy="36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3600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00853E305</w:t>
      </w:r>
    </w:p>
    <w:p>
      <w:pPr>
        <w:spacing w:after="0" w:line="3111" w:lineRule="exact"/>
        <w:rPr>
          <w:sz w:val="24"/>
          <w:szCs w:val="24"/>
          <w:color w:val="auto"/>
        </w:rPr>
      </w:pPr>
    </w:p>
    <w:p>
      <w:pPr>
        <w:sectPr>
          <w:pgSz w:w="11900" w:h="16838" w:orient="portrait"/>
          <w:cols w:equalWidth="0" w:num="2">
            <w:col w:w="8820" w:space="720"/>
            <w:col w:w="1380"/>
          </w:cols>
          <w:pgMar w:left="320" w:top="536" w:right="659" w:bottom="1440" w:gutter="0" w:footer="0" w:header="0"/>
        </w:sectPr>
      </w:pPr>
    </w:p>
    <w:p>
      <w:pPr>
        <w:spacing w:after="0" w:line="5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Nothing in this form shall be construed to imply that the Commission has verified any information contained herein.</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the notification relates to a portion of the filing checked above, identify the Item(s) to which the notification relates: </w:t>
      </w: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Former Name if Applicable</w:t>
      </w:r>
    </w:p>
    <w:p>
      <w:pPr>
        <w:spacing w:after="0" w:line="22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2468 Industrial Row Drive</w:t>
      </w:r>
    </w:p>
    <w:p>
      <w:pPr>
        <w:spacing w:after="0" w:line="3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 xml:space="preserve">Address of Principal Executive Office </w:t>
      </w:r>
      <w:r>
        <w:rPr>
          <w:rFonts w:ascii="Times New Roman" w:cs="Times New Roman" w:eastAsia="Times New Roman" w:hAnsi="Times New Roman"/>
          <w:sz w:val="18"/>
          <w:szCs w:val="18"/>
          <w:b w:val="1"/>
          <w:bCs w:val="1"/>
          <w:i w:val="1"/>
          <w:iCs w:val="1"/>
          <w:color w:val="auto"/>
        </w:rPr>
        <w:t>(Street and Number)</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536" w:right="6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1140" w:hanging="375"/>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1140" w:hanging="380"/>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9" w:lineRule="exact"/>
        <w:rPr>
          <w:rFonts w:ascii="Times New Roman" w:cs="Times New Roman" w:eastAsia="Times New Roman" w:hAnsi="Times New Roman"/>
          <w:sz w:val="18"/>
          <w:szCs w:val="18"/>
          <w:color w:val="auto"/>
        </w:rPr>
      </w:pPr>
    </w:p>
    <w:p>
      <w:pPr>
        <w:ind w:left="1140" w:right="140" w:hanging="936"/>
        <w:spacing w:after="0" w:line="200" w:lineRule="auto"/>
        <w:tabs>
          <w:tab w:leader="none" w:pos="1140" w:val="left"/>
        </w:tabs>
        <w:numPr>
          <w:ilvl w:val="0"/>
          <w:numId w:val="3"/>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1140" w:hanging="375"/>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-816610</wp:posOffset>
            </wp:positionV>
            <wp:extent cx="17145" cy="822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 cy="822960"/>
                    </a:xfrm>
                    <a:prstGeom prst="rect">
                      <a:avLst/>
                    </a:prstGeom>
                    <a:noFill/>
                  </pic:spPr>
                </pic:pic>
              </a:graphicData>
            </a:graphic>
          </wp:anchor>
        </w:drawing>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10-D, N-CEN, N-CSR or the transition report or portion thereof, could not be filed within the prescribed time period.</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Agrify Corporation (the “Company”) is unable to file its Form 10-Q for the period ended March 31, 2024 (the “Form 10-Q”) in a timely manner without unreasonable effort and expense due to unanticipated delays experienced in completing the audit of the Company’s financial statements and other disclosures in the Form 10-Q. As a result, the Company’s independent registered public accounting firm Marcum LLP (“Marcum”) is still in the process of completing its review of the financial statements for the period ended March 31, 2024 to be incorporated in the Form 10-Q and to complete its assessment of the Company’s internal control over financial reporting. The Company presently anticipates that it will file the Form 10-Q before the fifth calendar day following the prescribed due date.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PART IV — OTHER INFORMATION</w:t>
            </w:r>
          </w:p>
        </w:tc>
        <w:tc>
          <w:tcPr>
            <w:tcW w:w="3600" w:type="dxa"/>
            <w:vAlign w:val="bottom"/>
          </w:tcPr>
          <w:p>
            <w:pPr>
              <w:spacing w:after="0"/>
              <w:rPr>
                <w:sz w:val="20"/>
                <w:szCs w:val="20"/>
                <w:color w:val="auto"/>
              </w:rPr>
            </w:pPr>
          </w:p>
        </w:tc>
      </w:tr>
      <w:tr>
        <w:trPr>
          <w:trHeight w:val="432"/>
        </w:trPr>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3600" w:type="dxa"/>
            <w:vAlign w:val="bottom"/>
          </w:tcPr>
          <w:p>
            <w:pPr>
              <w:spacing w:after="0"/>
              <w:rPr>
                <w:sz w:val="24"/>
                <w:szCs w:val="24"/>
                <w:color w:val="auto"/>
              </w:rPr>
            </w:pPr>
          </w:p>
        </w:tc>
      </w:tr>
      <w:tr>
        <w:trPr>
          <w:trHeight w:val="43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Raymond N. Chang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(617)</w:t>
            </w:r>
          </w:p>
        </w:tc>
        <w:tc>
          <w:tcPr>
            <w:tcW w:w="200" w:type="dxa"/>
            <w:vAlign w:val="bottom"/>
          </w:tcPr>
          <w:p>
            <w:pPr>
              <w:spacing w:after="0"/>
              <w:rPr>
                <w:sz w:val="24"/>
                <w:szCs w:val="24"/>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788-9043</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ind w:firstLine="8"/>
        <w:spacing w:after="0" w:line="232" w:lineRule="exact"/>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firstLine="8"/>
        <w:spacing w:after="0" w:line="26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anticipated significant changes in its results of operations based on its preliminary unaudited results of operations are as follows:</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currently anticipates revenue of approximately $2.6 million for the fiscal period ended March 31, 2024, compared to revenue of approximately $5.8 million for the fiscal period ended March 31, 2023. The decrease was primarily due to the company’s decision to not engage in any additional facility build-out TTK Solutions. The Company anticipates a net loss of approximately $38,000, compared to a net loss of approximately $10.3 million for the period ended March 31, 2023. The Company believes that its results contained herein are materially correct; however, because review is ongoing, there can be no assurance that the financial and accounting information referred to in this filing will not change upon completion of the audit and filing of the Company’s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matters discussed in this Form 12b-25 constitute forward-looking statements within the meaning of the federal securities laws. All statements contained in this Form 12b-25 that do not relate to matters of historical fact should be considered forward-looking statements. These forward-looking statements are based on management’s current expectation and include, but are not limited to, statements regarding the Company’s beliefs and expectations relating to the filing of the Form 10-Q and the results of the ongoing review.</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not guarantees of future results and are subject to a number of risks and uncertainties, many of which are difficult to predict and beyond the Company’s control. Important factors that may cause actual results to differ materially from those in the forward-looking statements include, but are not limited to, a material delay in the Company’s financial reporting, including the possibility that the Company will not be able to file its Form 10-Q within the five-day extension permitted by the rules of the U.S. Securities and Exchange Commission, and the possibility that the ongoing audit may identify errors or control deficiencies in the Company’s accounting practices. The Company disclaims and does not undertake any obligation to update or revise any forward-looking statement in this report, except as required by applicable law or regulation.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b w:val="1"/>
          <w:bCs w:val="1"/>
          <w:color w:val="auto"/>
        </w:rPr>
        <w:t>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19685</wp:posOffset>
            </wp:positionV>
            <wp:extent cx="2562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 Chang</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INTENTIONAL MISSTATEMENTS OR OMISSIONS OF FACT CONSTITUTE FEDERAL CRIMINAL</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VIOLATIONS (SEE 18 U.S.C. 1001).</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lowerLetter"/>
      <w:start w:val="1"/>
    </w:lvl>
  </w:abstractNum>
  <w:abstractNum w:abstractNumId="3">
    <w:nsid w:val="238E1F29"/>
    <w:multiLevelType w:val="hybridMultilevel"/>
    <w:lvl w:ilvl="0">
      <w:lvlJc w:val="left"/>
      <w:lvlText w:val="☒"/>
      <w:numFmt w:val="bullet"/>
      <w:start w:val="1"/>
    </w:lvl>
    <w:lvl w:ilvl="1">
      <w:lvlJc w:val="left"/>
      <w:lvlText w:val="(%2)"/>
      <w:numFmt w:val="lowerLetter"/>
      <w:start w:val="3"/>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2024-05-16T06:04:57Z</dcterms:created>
  <dcterms:modified xsi:type="dcterms:W3CDTF">2024-05-16T06:04:57Z</dcterms:modified>
</cp:coreProperties>
</file>