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21005-13drslgh_agrify.htm"/>
      <w:bookmarkStart w:id="1" w:name="ksea022100513drslgh_agrify"/>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13D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Agrify Corporation</w:t>
      </w:r>
    </w:p>
    <w:p>
      <w:pPr>
        <w:pStyle w:val="TextBody"/>
        <w:pBdr>
          <w:top w:val="single" w:sz="12"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$0.001 par value per share</w:t>
      </w:r>
    </w:p>
    <w:p>
      <w:pPr>
        <w:pStyle w:val="TextBody"/>
        <w:pBdr>
          <w:top w:val="single" w:sz="12" w:space="1" w:color="000000"/>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00853E 305</w:t>
      </w:r>
    </w:p>
    <w:p>
      <w:pPr>
        <w:pStyle w:val="TextBody"/>
        <w:pBdr>
          <w:top w:val="single" w:sz="12" w:space="1" w:color="000000"/>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Bret Kravitz</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 West Huron Street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700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Illinois 60654</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(312) 471-6720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Person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to Receive Notices and Communications)</w:t>
      </w:r>
    </w:p>
    <w:p>
      <w:pPr>
        <w:pStyle w:val="TextBody"/>
        <w:bidi w:val="0"/>
        <w:spacing w:before="0" w:after="0"/>
        <w:ind w:left="0" w:right="0" w:hanging="0"/>
        <w:jc w:val="center"/>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2330"/>
        <w:gridCol w:w="2330"/>
      </w:tblGrid>
      <w:tr>
        <w:trPr/>
        <w:tc>
          <w:tcPr>
            <w:tcW w:w="4660" w:type="dxa"/>
            <w:gridSpan w:val="2"/>
            <w:tcBorders/>
            <w:vAlign w:val="center"/>
          </w:tcPr>
          <w:p>
            <w:pPr>
              <w:pStyle w:val="TableContents"/>
              <w:bidi w:val="0"/>
              <w:spacing w:before="0" w:after="283"/>
              <w:jc w:val="center"/>
              <w:rPr/>
            </w:pPr>
            <w:r>
              <w:rPr/>
              <w:t>-with copies to-</w:t>
            </w:r>
          </w:p>
        </w:tc>
      </w:tr>
      <w:tr>
        <w:trPr/>
        <w:tc>
          <w:tcPr>
            <w:tcW w:w="4660" w:type="dxa"/>
            <w:gridSpan w:val="2"/>
            <w:tcBorders/>
            <w:vAlign w:val="center"/>
          </w:tcPr>
          <w:p>
            <w:pPr>
              <w:pStyle w:val="TableContents"/>
              <w:bidi w:val="0"/>
              <w:spacing w:before="0" w:after="283"/>
              <w:jc w:val="center"/>
              <w:rPr/>
            </w:pPr>
            <w:r>
              <w:rPr/>
              <w:t> </w:t>
            </w:r>
          </w:p>
        </w:tc>
      </w:tr>
      <w:tr>
        <w:trPr/>
        <w:tc>
          <w:tcPr>
            <w:tcW w:w="233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Jessie Lochman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Foley &amp; Lardner LLP</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 East Wisconsin Avenue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3800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Milwaukee, WI 53202-5306</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297-5817</w:t>
            </w:r>
          </w:p>
        </w:tc>
        <w:tc>
          <w:tcPr>
            <w:tcW w:w="233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Fetzer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Foley &amp; Lardner LLP</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 East Wisconsin Avenue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3800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Milwaukee, WI 53202-5306</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297-5596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5, 2024</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which is the subject of this Schedule 13D, and is filing this schedule because of Rule 13d-1(e), 13d-1(f) or 13d-1(g),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885" w:type="dxa"/>
        <w:jc w:val="left"/>
        <w:tblInd w:w="-15" w:type="dxa"/>
        <w:tblLayout w:type="fixed"/>
        <w:tblCellMar>
          <w:top w:w="40" w:type="dxa"/>
          <w:left w:w="108" w:type="dxa"/>
          <w:bottom w:w="40" w:type="dxa"/>
          <w:right w:w="108" w:type="dxa"/>
        </w:tblCellMar>
      </w:tblPr>
      <w:tblGrid>
        <w:gridCol w:w="1970"/>
        <w:gridCol w:w="365"/>
        <w:gridCol w:w="1550"/>
      </w:tblGrid>
      <w:tr>
        <w:trPr/>
        <w:tc>
          <w:tcPr>
            <w:tcW w:w="197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sz w:val="20"/>
              </w:rPr>
            </w:pPr>
            <w:r>
              <w:rPr>
                <w:sz w:val="20"/>
              </w:rPr>
              <w:t>CUSIP NO. 105230 106</w:t>
            </w:r>
          </w:p>
        </w:tc>
        <w:tc>
          <w:tcPr>
            <w:tcW w:w="36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13D</w:t>
            </w:r>
          </w:p>
        </w:tc>
        <w:tc>
          <w:tcPr>
            <w:tcW w:w="15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sz w:val="20"/>
              </w:rPr>
            </w:pPr>
            <w:r>
              <w:rPr>
                <w:sz w:val="20"/>
              </w:rPr>
              <w:t xml:space="preserve">Page </w:t>
            </w:r>
            <w:r>
              <w:rPr>
                <w:rFonts w:ascii="Times New Roman;Times;Serif" w:hAnsi="Times New Roman;Times;Serif"/>
                <w:sz w:val="20"/>
              </w:rPr>
              <w:t>1</w:t>
            </w:r>
            <w:r>
              <w:rPr>
                <w:sz w:val="20"/>
              </w:rPr>
              <w:t xml:space="preserve"> of 12 Pages</w:t>
            </w:r>
          </w:p>
        </w:tc>
      </w:tr>
    </w:tbl>
    <w:p>
      <w:pPr>
        <w:pStyle w:val="TextBody"/>
        <w:bidi w:val="0"/>
        <w:spacing w:before="0" w:after="0"/>
        <w:ind w:left="0" w:right="0" w:hanging="0"/>
        <w:jc w:val="both"/>
        <w:rPr>
          <w:caps w:val="false"/>
          <w:smallCaps w:val="false"/>
        </w:rPr>
      </w:pPr>
      <w:r>
        <w:rPr>
          <w:caps w:val="false"/>
          <w:smallCaps w:val="false"/>
        </w:rPr>
        <w:t> </w:t>
      </w:r>
    </w:p>
    <w:tbl>
      <w:tblPr>
        <w:tblW w:w="9825" w:type="dxa"/>
        <w:jc w:val="left"/>
        <w:tblInd w:w="-15" w:type="dxa"/>
        <w:tblLayout w:type="fixed"/>
        <w:tblCellMar>
          <w:top w:w="108" w:type="dxa"/>
          <w:left w:w="108" w:type="dxa"/>
          <w:bottom w:w="108" w:type="dxa"/>
          <w:right w:w="108" w:type="dxa"/>
        </w:tblCellMar>
      </w:tblPr>
      <w:tblGrid>
        <w:gridCol w:w="140"/>
        <w:gridCol w:w="9155"/>
        <w:gridCol w:w="530"/>
      </w:tblGrid>
      <w:tr>
        <w:trPr/>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w:t>
            </w:r>
          </w:p>
        </w:tc>
        <w:tc>
          <w:tcPr>
            <w:tcW w:w="9155" w:type="dxa"/>
            <w:tcBorders>
              <w:top w:val="single" w:sz="12" w:space="0" w:color="000000"/>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RSLGH, LLC</w:t>
            </w:r>
          </w:p>
        </w:tc>
        <w:tc>
          <w:tcPr>
            <w:tcW w:w="53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2</w:t>
            </w:r>
          </w:p>
        </w:tc>
        <w:tc>
          <w:tcPr>
            <w:tcW w:w="9155" w:type="dxa"/>
            <w:tcBorders>
              <w:bottom w:val="single" w:sz="1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3</w:t>
            </w:r>
          </w:p>
        </w:tc>
        <w:tc>
          <w:tcPr>
            <w:tcW w:w="9155" w:type="dxa"/>
            <w:tcBorders>
              <w:bottom w:val="single" w:sz="12" w:space="0" w:color="000000"/>
            </w:tcBorders>
            <w:tcMar>
              <w:top w:w="0" w:type="dxa"/>
              <w:left w:w="0" w:type="dxa"/>
              <w:right w:w="0" w:type="dxa"/>
            </w:tcMar>
            <w:vAlign w:val="center"/>
          </w:tcPr>
          <w:p>
            <w:pPr>
              <w:pStyle w:val="TableContents"/>
              <w:bidi w:val="0"/>
              <w:jc w:val="left"/>
              <w:rPr>
                <w:sz w:val="20"/>
              </w:rPr>
            </w:pPr>
            <w:r>
              <w:rPr>
                <w:sz w:val="20"/>
              </w:rPr>
              <w:t>SEC USE ONLY</w:t>
            </w:r>
          </w:p>
          <w:p>
            <w:pPr>
              <w:pStyle w:val="TableContents"/>
              <w:bidi w:val="0"/>
              <w:spacing w:before="0" w:after="283"/>
              <w:jc w:val="left"/>
              <w:rPr/>
            </w:pPr>
            <w:r>
              <w:rPr/>
              <w:t> </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4</w:t>
            </w:r>
          </w:p>
        </w:tc>
        <w:tc>
          <w:tcPr>
            <w:tcW w:w="9155" w:type="dxa"/>
            <w:tcBorders>
              <w:bottom w:val="single" w:sz="1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5</w:t>
            </w:r>
          </w:p>
        </w:tc>
        <w:tc>
          <w:tcPr>
            <w:tcW w:w="9155" w:type="dxa"/>
            <w:tcBorders>
              <w:bottom w:val="single" w:sz="12" w:space="0" w:color="000000"/>
            </w:tcBorders>
            <w:tcMar>
              <w:top w:w="0" w:type="dxa"/>
              <w:left w:w="0" w:type="dxa"/>
              <w:right w:w="0" w:type="dxa"/>
            </w:tcMar>
            <w:vAlign w:val="center"/>
          </w:tcPr>
          <w:p>
            <w:pPr>
              <w:pStyle w:val="TableContents"/>
              <w:bidi w:val="0"/>
              <w:jc w:val="left"/>
              <w:rPr>
                <w:sz w:val="20"/>
              </w:rPr>
            </w:pPr>
            <w:r>
              <w:rPr>
                <w:sz w:val="20"/>
              </w:rPr>
              <w:t>CHECK BOX IF DISCLOSURE OF LEGAL PROCEEDINGS IS REQUIRED PURSUANT TO ITEMS 2(d) OR 2(e)</w:t>
            </w:r>
          </w:p>
          <w:p>
            <w:pPr>
              <w:pStyle w:val="TableContents"/>
              <w:bidi w:val="0"/>
              <w:spacing w:before="0" w:after="283"/>
              <w:jc w:val="left"/>
              <w:rPr/>
            </w:pPr>
            <w:r>
              <w:rPr/>
              <w:t> </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6</w:t>
            </w:r>
          </w:p>
        </w:tc>
        <w:tc>
          <w:tcPr>
            <w:tcW w:w="9155" w:type="dxa"/>
            <w:tcBorders>
              <w:bottom w:val="single" w:sz="1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tbl>
      <w:tblPr>
        <w:tblW w:w="4515" w:type="dxa"/>
        <w:jc w:val="left"/>
        <w:tblInd w:w="-15" w:type="dxa"/>
        <w:tblLayout w:type="fixed"/>
        <w:tblCellMar>
          <w:top w:w="0" w:type="dxa"/>
          <w:left w:w="108" w:type="dxa"/>
          <w:bottom w:w="108" w:type="dxa"/>
          <w:right w:w="108" w:type="dxa"/>
        </w:tblCellMar>
      </w:tblPr>
      <w:tblGrid>
        <w:gridCol w:w="1520"/>
        <w:gridCol w:w="230"/>
        <w:gridCol w:w="2690"/>
        <w:gridCol w:w="75"/>
      </w:tblGrid>
      <w:tr>
        <w:trPr/>
        <w:tc>
          <w:tcPr>
            <w:tcW w:w="1520" w:type="dxa"/>
            <w:vMerge w:val="restart"/>
            <w:tcBorders>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7</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520"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8</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6,860,274</w:t>
            </w:r>
            <w:r>
              <w:rPr>
                <w:rFonts w:ascii="Times New Roman;Times;Serif" w:hAnsi="Times New Roman;Times;Serif"/>
                <w:b/>
                <w:i w:val="false"/>
                <w:caps w:val="false"/>
                <w:smallCaps w:val="false"/>
                <w:position w:val="7"/>
                <w:sz w:val="16"/>
                <w:sz w:val="20"/>
              </w:rPr>
              <w:t>1</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520"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9</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520"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10</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6,860,274</w:t>
            </w:r>
            <w:r>
              <w:rPr>
                <w:rFonts w:ascii="Times New Roman;Times;Serif" w:hAnsi="Times New Roman;Times;Serif"/>
                <w:b/>
                <w:i w:val="false"/>
                <w:caps w:val="false"/>
                <w:smallCaps w:val="false"/>
                <w:position w:val="7"/>
                <w:sz w:val="16"/>
                <w:sz w:val="20"/>
              </w:rPr>
              <w:t>1</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tbl>
      <w:tblPr>
        <w:tblW w:w="8175" w:type="dxa"/>
        <w:jc w:val="left"/>
        <w:tblInd w:w="-15" w:type="dxa"/>
        <w:tblLayout w:type="fixed"/>
        <w:tblCellMar>
          <w:top w:w="0" w:type="dxa"/>
          <w:left w:w="108" w:type="dxa"/>
          <w:bottom w:w="108" w:type="dxa"/>
          <w:right w:w="108" w:type="dxa"/>
        </w:tblCellMar>
      </w:tblPr>
      <w:tblGrid>
        <w:gridCol w:w="245"/>
        <w:gridCol w:w="7685"/>
        <w:gridCol w:w="245"/>
      </w:tblGrid>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11</w:t>
            </w:r>
          </w:p>
        </w:tc>
        <w:tc>
          <w:tcPr>
            <w:tcW w:w="7685"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6,860,274</w:t>
            </w:r>
            <w:r>
              <w:rPr>
                <w:rFonts w:ascii="Times New Roman;Times;Serif" w:hAnsi="Times New Roman;Times;Serif"/>
                <w:b/>
                <w:i w:val="false"/>
                <w:caps w:val="false"/>
                <w:smallCaps w:val="false"/>
                <w:position w:val="7"/>
                <w:sz w:val="16"/>
                <w:sz w:val="20"/>
              </w:rPr>
              <w:t>1</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12</w:t>
            </w:r>
          </w:p>
        </w:tc>
        <w:tc>
          <w:tcPr>
            <w:tcW w:w="7685" w:type="dxa"/>
            <w:tcBorders>
              <w:bottom w:val="single" w:sz="12" w:space="0" w:color="000000"/>
            </w:tcBorders>
            <w:tcMar>
              <w:left w:w="0" w:type="dxa"/>
              <w:right w:w="0" w:type="dxa"/>
            </w:tcMar>
            <w:vAlign w:val="center"/>
          </w:tcPr>
          <w:p>
            <w:pPr>
              <w:pStyle w:val="TableContents"/>
              <w:bidi w:val="0"/>
              <w:jc w:val="left"/>
              <w:rPr>
                <w:sz w:val="20"/>
              </w:rPr>
            </w:pPr>
            <w:r>
              <w:rPr>
                <w:sz w:val="20"/>
              </w:rPr>
              <w:t>CHECK BOX IF THE AGGREGATE AMOUNT IN ROW (11) EXCLUDES CERTAIN SHARES</w:t>
            </w:r>
          </w:p>
          <w:p>
            <w:pPr>
              <w:pStyle w:val="TableContents"/>
              <w:bidi w:val="0"/>
              <w:spacing w:before="0" w:after="283"/>
              <w:jc w:val="left"/>
              <w:rPr/>
            </w:pPr>
            <w:r>
              <w:rPr/>
              <w:t> </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283"/>
              <w:jc w:val="left"/>
              <w:rPr/>
            </w:pPr>
            <w:r>
              <w:rPr/>
              <w:t>☐</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13</w:t>
            </w:r>
          </w:p>
        </w:tc>
        <w:tc>
          <w:tcPr>
            <w:tcW w:w="7685"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49.99%</w:t>
            </w:r>
            <w:r>
              <w:rPr>
                <w:rFonts w:ascii="Times New Roman;Times;Serif" w:hAnsi="Times New Roman;Times;Serif"/>
                <w:b/>
                <w:i w:val="false"/>
                <w:caps w:val="false"/>
                <w:smallCaps w:val="false"/>
                <w:position w:val="7"/>
                <w:sz w:val="16"/>
                <w:sz w:val="20"/>
              </w:rPr>
              <w:t>1</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14</w:t>
            </w:r>
          </w:p>
        </w:tc>
        <w:tc>
          <w:tcPr>
            <w:tcW w:w="7685"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7" w:type="dxa"/>
            <w:tcBorders/>
            <w:vAlign w:val="center"/>
          </w:tcPr>
          <w:p>
            <w:pPr>
              <w:pStyle w:val="TableContents"/>
              <w:bidi w:val="0"/>
              <w:spacing w:before="0" w:after="283"/>
              <w:jc w:val="both"/>
              <w:rPr/>
            </w:pPr>
            <w:r>
              <w:rPr/>
              <w:t>This amount includes (a) 666,699 shares of common stock acquired pursuant to the Purchase Agreement (as defined in Item 4); (b) 6,169,702 shares of common stock underlying warrants acquired pursuant to the Purchase Agreement, subject to a 49.99% beneficial ownership limitation; and (c) 23,873 shares of common stock underlying Award Stock (as defined in Item 4) acquired pursuant to the Purchase Agreement. The Note (as defined in Item 4) is not currently convertible and is not anticipated to be convertible within the next 60 days.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900" w:type="dxa"/>
        <w:jc w:val="left"/>
        <w:tblInd w:w="-15" w:type="dxa"/>
        <w:tblLayout w:type="fixed"/>
        <w:tblCellMar>
          <w:top w:w="40" w:type="dxa"/>
          <w:left w:w="108" w:type="dxa"/>
          <w:bottom w:w="40" w:type="dxa"/>
          <w:right w:w="108" w:type="dxa"/>
        </w:tblCellMar>
      </w:tblPr>
      <w:tblGrid>
        <w:gridCol w:w="1985"/>
        <w:gridCol w:w="365"/>
        <w:gridCol w:w="1550"/>
      </w:tblGrid>
      <w:tr>
        <w:trPr/>
        <w:tc>
          <w:tcPr>
            <w:tcW w:w="19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sz w:val="20"/>
              </w:rPr>
            </w:pPr>
            <w:r>
              <w:rPr>
                <w:sz w:val="20"/>
              </w:rPr>
              <w:t>CUSIP NO. 00853E 305</w:t>
            </w:r>
          </w:p>
        </w:tc>
        <w:tc>
          <w:tcPr>
            <w:tcW w:w="36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13D</w:t>
            </w:r>
          </w:p>
        </w:tc>
        <w:tc>
          <w:tcPr>
            <w:tcW w:w="15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sz w:val="20"/>
              </w:rPr>
            </w:pPr>
            <w:r>
              <w:rPr>
                <w:sz w:val="20"/>
              </w:rPr>
              <w:t xml:space="preserve">Page 2 of </w:t>
            </w:r>
            <w:r>
              <w:rPr>
                <w:rFonts w:ascii="Times New Roman;Times;Serif" w:hAnsi="Times New Roman;Times;Serif"/>
                <w:sz w:val="20"/>
              </w:rPr>
              <w:t>12</w:t>
            </w:r>
            <w:r>
              <w:rPr>
                <w:sz w:val="20"/>
              </w:rPr>
              <w:t xml:space="preserve"> Pages</w:t>
            </w:r>
          </w:p>
        </w:tc>
      </w:tr>
    </w:tbl>
    <w:p>
      <w:pPr>
        <w:pStyle w:val="TextBody"/>
        <w:bidi w:val="0"/>
        <w:spacing w:before="0" w:after="0"/>
        <w:jc w:val="left"/>
        <w:rPr>
          <w:caps w:val="false"/>
          <w:smallCaps w:val="false"/>
        </w:rPr>
      </w:pPr>
      <w:r>
        <w:rPr>
          <w:caps w:val="false"/>
          <w:smallCaps w:val="false"/>
        </w:rPr>
        <w:t> </w:t>
      </w:r>
    </w:p>
    <w:tbl>
      <w:tblPr>
        <w:tblW w:w="9825" w:type="dxa"/>
        <w:jc w:val="left"/>
        <w:tblInd w:w="-15" w:type="dxa"/>
        <w:tblLayout w:type="fixed"/>
        <w:tblCellMar>
          <w:top w:w="108" w:type="dxa"/>
          <w:left w:w="108" w:type="dxa"/>
          <w:bottom w:w="108" w:type="dxa"/>
          <w:right w:w="108" w:type="dxa"/>
        </w:tblCellMar>
      </w:tblPr>
      <w:tblGrid>
        <w:gridCol w:w="140"/>
        <w:gridCol w:w="9155"/>
        <w:gridCol w:w="530"/>
      </w:tblGrid>
      <w:tr>
        <w:trPr/>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w:t>
            </w:r>
          </w:p>
        </w:tc>
        <w:tc>
          <w:tcPr>
            <w:tcW w:w="9155" w:type="dxa"/>
            <w:tcBorders>
              <w:top w:val="single" w:sz="12" w:space="0" w:color="000000"/>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Core growth, llc</w:t>
            </w:r>
          </w:p>
        </w:tc>
        <w:tc>
          <w:tcPr>
            <w:tcW w:w="53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2</w:t>
            </w:r>
          </w:p>
        </w:tc>
        <w:tc>
          <w:tcPr>
            <w:tcW w:w="9155" w:type="dxa"/>
            <w:tcBorders>
              <w:bottom w:val="single" w:sz="1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3</w:t>
            </w:r>
          </w:p>
        </w:tc>
        <w:tc>
          <w:tcPr>
            <w:tcW w:w="9155" w:type="dxa"/>
            <w:tcBorders>
              <w:bottom w:val="single" w:sz="12" w:space="0" w:color="000000"/>
            </w:tcBorders>
            <w:tcMar>
              <w:top w:w="0" w:type="dxa"/>
              <w:left w:w="0" w:type="dxa"/>
              <w:right w:w="0" w:type="dxa"/>
            </w:tcMar>
            <w:vAlign w:val="center"/>
          </w:tcPr>
          <w:p>
            <w:pPr>
              <w:pStyle w:val="TableContents"/>
              <w:bidi w:val="0"/>
              <w:jc w:val="left"/>
              <w:rPr>
                <w:sz w:val="20"/>
              </w:rPr>
            </w:pPr>
            <w:r>
              <w:rPr>
                <w:sz w:val="20"/>
              </w:rPr>
              <w:t>SEC USE ONLY</w:t>
            </w:r>
          </w:p>
          <w:p>
            <w:pPr>
              <w:pStyle w:val="TableContents"/>
              <w:bidi w:val="0"/>
              <w:spacing w:before="0" w:after="283"/>
              <w:jc w:val="left"/>
              <w:rPr/>
            </w:pPr>
            <w:r>
              <w:rPr/>
              <w:t> </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4</w:t>
            </w:r>
          </w:p>
        </w:tc>
        <w:tc>
          <w:tcPr>
            <w:tcW w:w="9155" w:type="dxa"/>
            <w:tcBorders>
              <w:bottom w:val="single" w:sz="1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5</w:t>
            </w:r>
          </w:p>
        </w:tc>
        <w:tc>
          <w:tcPr>
            <w:tcW w:w="9155" w:type="dxa"/>
            <w:tcBorders>
              <w:bottom w:val="single" w:sz="12" w:space="0" w:color="000000"/>
            </w:tcBorders>
            <w:tcMar>
              <w:top w:w="0" w:type="dxa"/>
              <w:left w:w="0" w:type="dxa"/>
              <w:right w:w="0" w:type="dxa"/>
            </w:tcMar>
            <w:vAlign w:val="center"/>
          </w:tcPr>
          <w:p>
            <w:pPr>
              <w:pStyle w:val="TableContents"/>
              <w:bidi w:val="0"/>
              <w:jc w:val="left"/>
              <w:rPr>
                <w:sz w:val="20"/>
              </w:rPr>
            </w:pPr>
            <w:r>
              <w:rPr>
                <w:sz w:val="20"/>
              </w:rPr>
              <w:t>CHECK BOX IF DISCLOSURE OF LEGAL PROCEEDINGS IS REQUIRED PURSUANT TO ITEMS 2(d) OR 2(e)</w:t>
            </w:r>
          </w:p>
          <w:p>
            <w:pPr>
              <w:pStyle w:val="TableContents"/>
              <w:bidi w:val="0"/>
              <w:spacing w:before="0" w:after="283"/>
              <w:jc w:val="left"/>
              <w:rPr/>
            </w:pPr>
            <w:r>
              <w:rPr/>
              <w:t> </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6</w:t>
            </w:r>
          </w:p>
        </w:tc>
        <w:tc>
          <w:tcPr>
            <w:tcW w:w="9155" w:type="dxa"/>
            <w:tcBorders>
              <w:bottom w:val="single" w:sz="1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tbl>
      <w:tblPr>
        <w:tblW w:w="4515" w:type="dxa"/>
        <w:jc w:val="left"/>
        <w:tblInd w:w="-15" w:type="dxa"/>
        <w:tblLayout w:type="fixed"/>
        <w:tblCellMar>
          <w:top w:w="0" w:type="dxa"/>
          <w:left w:w="108" w:type="dxa"/>
          <w:bottom w:w="108" w:type="dxa"/>
          <w:right w:w="108" w:type="dxa"/>
        </w:tblCellMar>
      </w:tblPr>
      <w:tblGrid>
        <w:gridCol w:w="1520"/>
        <w:gridCol w:w="230"/>
        <w:gridCol w:w="2690"/>
        <w:gridCol w:w="75"/>
      </w:tblGrid>
      <w:tr>
        <w:trPr/>
        <w:tc>
          <w:tcPr>
            <w:tcW w:w="1520" w:type="dxa"/>
            <w:vMerge w:val="restart"/>
            <w:tcBorders>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7</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520"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8</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6,860,274</w:t>
            </w:r>
            <w:r>
              <w:rPr>
                <w:rFonts w:ascii="Times New Roman;Times;Serif" w:hAnsi="Times New Roman;Times;Serif"/>
                <w:b/>
                <w:i w:val="false"/>
                <w:caps w:val="false"/>
                <w:smallCaps w:val="false"/>
                <w:position w:val="7"/>
                <w:sz w:val="16"/>
                <w:sz w:val="20"/>
              </w:rPr>
              <w:t>1</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520"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9</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520"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10</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6,860,274</w:t>
            </w:r>
            <w:r>
              <w:rPr>
                <w:rFonts w:ascii="Times New Roman;Times;Serif" w:hAnsi="Times New Roman;Times;Serif"/>
                <w:b/>
                <w:i w:val="false"/>
                <w:caps w:val="false"/>
                <w:smallCaps w:val="false"/>
                <w:position w:val="7"/>
                <w:sz w:val="16"/>
                <w:sz w:val="20"/>
              </w:rPr>
              <w:t>1</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tbl>
      <w:tblPr>
        <w:tblW w:w="8175" w:type="dxa"/>
        <w:jc w:val="left"/>
        <w:tblInd w:w="-15" w:type="dxa"/>
        <w:tblLayout w:type="fixed"/>
        <w:tblCellMar>
          <w:top w:w="0" w:type="dxa"/>
          <w:left w:w="108" w:type="dxa"/>
          <w:bottom w:w="108" w:type="dxa"/>
          <w:right w:w="108" w:type="dxa"/>
        </w:tblCellMar>
      </w:tblPr>
      <w:tblGrid>
        <w:gridCol w:w="245"/>
        <w:gridCol w:w="7685"/>
        <w:gridCol w:w="245"/>
      </w:tblGrid>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11</w:t>
            </w:r>
          </w:p>
        </w:tc>
        <w:tc>
          <w:tcPr>
            <w:tcW w:w="7685"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6,860,274</w:t>
            </w:r>
            <w:r>
              <w:rPr>
                <w:rFonts w:ascii="Times New Roman;Times;Serif" w:hAnsi="Times New Roman;Times;Serif"/>
                <w:b/>
                <w:i w:val="false"/>
                <w:caps w:val="false"/>
                <w:smallCaps w:val="false"/>
                <w:position w:val="7"/>
                <w:sz w:val="16"/>
                <w:sz w:val="20"/>
              </w:rPr>
              <w:t>1</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12</w:t>
            </w:r>
          </w:p>
        </w:tc>
        <w:tc>
          <w:tcPr>
            <w:tcW w:w="7685" w:type="dxa"/>
            <w:tcBorders>
              <w:bottom w:val="single" w:sz="12" w:space="0" w:color="000000"/>
            </w:tcBorders>
            <w:tcMar>
              <w:left w:w="0" w:type="dxa"/>
              <w:right w:w="0" w:type="dxa"/>
            </w:tcMar>
            <w:vAlign w:val="center"/>
          </w:tcPr>
          <w:p>
            <w:pPr>
              <w:pStyle w:val="TableContents"/>
              <w:bidi w:val="0"/>
              <w:jc w:val="left"/>
              <w:rPr>
                <w:sz w:val="20"/>
              </w:rPr>
            </w:pPr>
            <w:r>
              <w:rPr>
                <w:sz w:val="20"/>
              </w:rPr>
              <w:t>CHECK BOX IF THE AGGREGATE AMOUNT IN ROW (11) EXCLUDES CERTAIN SHARES</w:t>
            </w:r>
          </w:p>
          <w:p>
            <w:pPr>
              <w:pStyle w:val="TableContents"/>
              <w:bidi w:val="0"/>
              <w:spacing w:before="0" w:after="283"/>
              <w:jc w:val="left"/>
              <w:rPr/>
            </w:pPr>
            <w:r>
              <w:rPr/>
              <w:t> </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283"/>
              <w:jc w:val="left"/>
              <w:rPr/>
            </w:pPr>
            <w:r>
              <w:rPr/>
              <w:t>☐</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13</w:t>
            </w:r>
          </w:p>
        </w:tc>
        <w:tc>
          <w:tcPr>
            <w:tcW w:w="7685"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49.99%</w:t>
            </w:r>
            <w:r>
              <w:rPr>
                <w:rFonts w:ascii="Times New Roman;Times;Serif" w:hAnsi="Times New Roman;Times;Serif"/>
                <w:b/>
                <w:i w:val="false"/>
                <w:caps w:val="false"/>
                <w:smallCaps w:val="false"/>
                <w:position w:val="7"/>
                <w:sz w:val="16"/>
                <w:sz w:val="20"/>
              </w:rPr>
              <w:t>1</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14</w:t>
            </w:r>
          </w:p>
        </w:tc>
        <w:tc>
          <w:tcPr>
            <w:tcW w:w="7685"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7" w:type="dxa"/>
            <w:tcBorders/>
            <w:vAlign w:val="center"/>
          </w:tcPr>
          <w:p>
            <w:pPr>
              <w:pStyle w:val="TableContents"/>
              <w:bidi w:val="0"/>
              <w:spacing w:before="0" w:after="283"/>
              <w:jc w:val="both"/>
              <w:rPr/>
            </w:pPr>
            <w:r>
              <w:rPr/>
              <w:t>This amount includes (a) 666,699 shares of common stock acquired pursuant to the Purchase Agreement (as defined in Item 4); (b) 6,169,702 shares of common stock underlying warrants acquired pursuant to the Purchase Agreement, subject to a 49.99% beneficial ownership limitation; and (c) 23,873 shares of common stock underlying Award Stock (as defined in Item 4) acquired pursuant to the Purchase Agreement. The Note (as defined in Item 4) is not currently convertible and is not anticipated to be convertible within the next 60 days.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00" w:type="dxa"/>
        <w:jc w:val="left"/>
        <w:tblInd w:w="-15" w:type="dxa"/>
        <w:tblLayout w:type="fixed"/>
        <w:tblCellMar>
          <w:top w:w="40" w:type="dxa"/>
          <w:left w:w="108" w:type="dxa"/>
          <w:bottom w:w="40" w:type="dxa"/>
          <w:right w:w="108" w:type="dxa"/>
        </w:tblCellMar>
      </w:tblPr>
      <w:tblGrid>
        <w:gridCol w:w="1985"/>
        <w:gridCol w:w="365"/>
        <w:gridCol w:w="1550"/>
      </w:tblGrid>
      <w:tr>
        <w:trPr/>
        <w:tc>
          <w:tcPr>
            <w:tcW w:w="19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sz w:val="20"/>
              </w:rPr>
            </w:pPr>
            <w:r>
              <w:rPr>
                <w:sz w:val="20"/>
              </w:rPr>
              <w:t>CUSIP NO. 00853E 305</w:t>
            </w:r>
          </w:p>
        </w:tc>
        <w:tc>
          <w:tcPr>
            <w:tcW w:w="36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13D</w:t>
            </w:r>
          </w:p>
        </w:tc>
        <w:tc>
          <w:tcPr>
            <w:tcW w:w="15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sz w:val="20"/>
              </w:rPr>
            </w:pPr>
            <w:r>
              <w:rPr>
                <w:sz w:val="20"/>
              </w:rPr>
              <w:t xml:space="preserve">Page </w:t>
            </w:r>
            <w:r>
              <w:rPr>
                <w:rFonts w:ascii="Times New Roman;Times;Serif" w:hAnsi="Times New Roman;Times;Serif"/>
                <w:sz w:val="20"/>
              </w:rPr>
              <w:t>3</w:t>
            </w:r>
            <w:r>
              <w:rPr>
                <w:sz w:val="20"/>
              </w:rPr>
              <w:t xml:space="preserve"> of 12 Pages</w:t>
            </w:r>
          </w:p>
        </w:tc>
      </w:tr>
    </w:tbl>
    <w:p>
      <w:pPr>
        <w:pStyle w:val="TextBody"/>
        <w:bidi w:val="0"/>
        <w:spacing w:before="0" w:after="0"/>
        <w:ind w:left="0" w:right="0" w:hanging="0"/>
        <w:jc w:val="left"/>
        <w:rPr>
          <w:caps w:val="false"/>
          <w:smallCaps w:val="false"/>
        </w:rPr>
      </w:pPr>
      <w:r>
        <w:rPr>
          <w:caps w:val="false"/>
          <w:smallCaps w:val="false"/>
        </w:rPr>
        <w:t> </w:t>
      </w:r>
    </w:p>
    <w:tbl>
      <w:tblPr>
        <w:tblW w:w="9825" w:type="dxa"/>
        <w:jc w:val="left"/>
        <w:tblInd w:w="-15" w:type="dxa"/>
        <w:tblLayout w:type="fixed"/>
        <w:tblCellMar>
          <w:top w:w="108" w:type="dxa"/>
          <w:left w:w="108" w:type="dxa"/>
          <w:bottom w:w="108" w:type="dxa"/>
          <w:right w:w="108" w:type="dxa"/>
        </w:tblCellMar>
      </w:tblPr>
      <w:tblGrid>
        <w:gridCol w:w="140"/>
        <w:gridCol w:w="9155"/>
        <w:gridCol w:w="530"/>
      </w:tblGrid>
      <w:tr>
        <w:trPr/>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w:t>
            </w:r>
          </w:p>
        </w:tc>
        <w:tc>
          <w:tcPr>
            <w:tcW w:w="9155" w:type="dxa"/>
            <w:tcBorders>
              <w:top w:val="single" w:sz="12" w:space="0" w:color="000000"/>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Wellness Mgmt, LLC</w:t>
            </w:r>
          </w:p>
        </w:tc>
        <w:tc>
          <w:tcPr>
            <w:tcW w:w="53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2</w:t>
            </w:r>
          </w:p>
        </w:tc>
        <w:tc>
          <w:tcPr>
            <w:tcW w:w="9155" w:type="dxa"/>
            <w:tcBorders>
              <w:bottom w:val="single" w:sz="1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3</w:t>
            </w:r>
          </w:p>
        </w:tc>
        <w:tc>
          <w:tcPr>
            <w:tcW w:w="9155" w:type="dxa"/>
            <w:tcBorders>
              <w:bottom w:val="single" w:sz="12" w:space="0" w:color="000000"/>
            </w:tcBorders>
            <w:tcMar>
              <w:top w:w="0" w:type="dxa"/>
              <w:left w:w="0" w:type="dxa"/>
              <w:right w:w="0" w:type="dxa"/>
            </w:tcMar>
            <w:vAlign w:val="center"/>
          </w:tcPr>
          <w:p>
            <w:pPr>
              <w:pStyle w:val="TableContents"/>
              <w:bidi w:val="0"/>
              <w:jc w:val="left"/>
              <w:rPr>
                <w:sz w:val="20"/>
              </w:rPr>
            </w:pPr>
            <w:r>
              <w:rPr>
                <w:sz w:val="20"/>
              </w:rPr>
              <w:t>SEC USE ONLY</w:t>
            </w:r>
          </w:p>
          <w:p>
            <w:pPr>
              <w:pStyle w:val="TableContents"/>
              <w:bidi w:val="0"/>
              <w:spacing w:before="0" w:after="283"/>
              <w:jc w:val="left"/>
              <w:rPr/>
            </w:pPr>
            <w:r>
              <w:rPr/>
              <w:t> </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4</w:t>
            </w:r>
          </w:p>
        </w:tc>
        <w:tc>
          <w:tcPr>
            <w:tcW w:w="9155" w:type="dxa"/>
            <w:tcBorders>
              <w:bottom w:val="single" w:sz="1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5</w:t>
            </w:r>
          </w:p>
        </w:tc>
        <w:tc>
          <w:tcPr>
            <w:tcW w:w="9155" w:type="dxa"/>
            <w:tcBorders>
              <w:bottom w:val="single" w:sz="12" w:space="0" w:color="000000"/>
            </w:tcBorders>
            <w:tcMar>
              <w:top w:w="0" w:type="dxa"/>
              <w:left w:w="0" w:type="dxa"/>
              <w:right w:w="0" w:type="dxa"/>
            </w:tcMar>
            <w:vAlign w:val="center"/>
          </w:tcPr>
          <w:p>
            <w:pPr>
              <w:pStyle w:val="TableContents"/>
              <w:bidi w:val="0"/>
              <w:jc w:val="left"/>
              <w:rPr>
                <w:sz w:val="20"/>
              </w:rPr>
            </w:pPr>
            <w:r>
              <w:rPr>
                <w:sz w:val="20"/>
              </w:rPr>
              <w:t>CHECK BOX IF DISCLOSURE OF LEGAL PROCEEDINGS IS REQUIRED PURSUANT TO ITEMS 2(d) OR 2(e)</w:t>
            </w:r>
          </w:p>
          <w:p>
            <w:pPr>
              <w:pStyle w:val="TableContents"/>
              <w:bidi w:val="0"/>
              <w:spacing w:before="0" w:after="283"/>
              <w:jc w:val="left"/>
              <w:rPr/>
            </w:pPr>
            <w:r>
              <w:rPr/>
              <w:t> </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6</w:t>
            </w:r>
          </w:p>
        </w:tc>
        <w:tc>
          <w:tcPr>
            <w:tcW w:w="9155" w:type="dxa"/>
            <w:tcBorders>
              <w:bottom w:val="single" w:sz="1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California</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tbl>
      <w:tblPr>
        <w:tblW w:w="4515" w:type="dxa"/>
        <w:jc w:val="left"/>
        <w:tblInd w:w="-15" w:type="dxa"/>
        <w:tblLayout w:type="fixed"/>
        <w:tblCellMar>
          <w:top w:w="0" w:type="dxa"/>
          <w:left w:w="108" w:type="dxa"/>
          <w:bottom w:w="108" w:type="dxa"/>
          <w:right w:w="108" w:type="dxa"/>
        </w:tblCellMar>
      </w:tblPr>
      <w:tblGrid>
        <w:gridCol w:w="1520"/>
        <w:gridCol w:w="230"/>
        <w:gridCol w:w="2690"/>
        <w:gridCol w:w="75"/>
      </w:tblGrid>
      <w:tr>
        <w:trPr/>
        <w:tc>
          <w:tcPr>
            <w:tcW w:w="1520" w:type="dxa"/>
            <w:vMerge w:val="restart"/>
            <w:tcBorders>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7</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520"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8</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6,860,274</w:t>
            </w:r>
            <w:r>
              <w:rPr>
                <w:rFonts w:ascii="Times New Roman;Times;Serif" w:hAnsi="Times New Roman;Times;Serif"/>
                <w:b/>
                <w:i w:val="false"/>
                <w:caps w:val="false"/>
                <w:smallCaps w:val="false"/>
                <w:position w:val="7"/>
                <w:sz w:val="16"/>
                <w:sz w:val="20"/>
              </w:rPr>
              <w:t>1</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520"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9</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520"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10</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6,860,274</w:t>
            </w:r>
            <w:r>
              <w:rPr>
                <w:rFonts w:ascii="Times New Roman;Times;Serif" w:hAnsi="Times New Roman;Times;Serif"/>
                <w:b/>
                <w:i w:val="false"/>
                <w:caps w:val="false"/>
                <w:smallCaps w:val="false"/>
                <w:position w:val="7"/>
                <w:sz w:val="16"/>
                <w:sz w:val="20"/>
              </w:rPr>
              <w:t>1</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tbl>
      <w:tblPr>
        <w:tblW w:w="8175" w:type="dxa"/>
        <w:jc w:val="left"/>
        <w:tblInd w:w="-15" w:type="dxa"/>
        <w:tblLayout w:type="fixed"/>
        <w:tblCellMar>
          <w:top w:w="0" w:type="dxa"/>
          <w:left w:w="108" w:type="dxa"/>
          <w:bottom w:w="108" w:type="dxa"/>
          <w:right w:w="108" w:type="dxa"/>
        </w:tblCellMar>
      </w:tblPr>
      <w:tblGrid>
        <w:gridCol w:w="245"/>
        <w:gridCol w:w="7685"/>
        <w:gridCol w:w="245"/>
      </w:tblGrid>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11</w:t>
            </w:r>
          </w:p>
        </w:tc>
        <w:tc>
          <w:tcPr>
            <w:tcW w:w="7685"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6,860,274</w:t>
            </w:r>
            <w:r>
              <w:rPr>
                <w:rFonts w:ascii="Times New Roman;Times;Serif" w:hAnsi="Times New Roman;Times;Serif"/>
                <w:b/>
                <w:i w:val="false"/>
                <w:caps w:val="false"/>
                <w:smallCaps w:val="false"/>
                <w:position w:val="7"/>
                <w:sz w:val="16"/>
                <w:sz w:val="20"/>
              </w:rPr>
              <w:t>1</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12</w:t>
            </w:r>
          </w:p>
        </w:tc>
        <w:tc>
          <w:tcPr>
            <w:tcW w:w="7685" w:type="dxa"/>
            <w:tcBorders>
              <w:bottom w:val="single" w:sz="12" w:space="0" w:color="000000"/>
            </w:tcBorders>
            <w:tcMar>
              <w:left w:w="0" w:type="dxa"/>
              <w:right w:w="0" w:type="dxa"/>
            </w:tcMar>
            <w:vAlign w:val="center"/>
          </w:tcPr>
          <w:p>
            <w:pPr>
              <w:pStyle w:val="TableContents"/>
              <w:bidi w:val="0"/>
              <w:jc w:val="left"/>
              <w:rPr>
                <w:sz w:val="20"/>
              </w:rPr>
            </w:pPr>
            <w:r>
              <w:rPr>
                <w:sz w:val="20"/>
              </w:rPr>
              <w:t>CHECK BOX IF THE AGGREGATE AMOUNT IN ROW (11) EXCLUDES CERTAIN SHARES</w:t>
            </w:r>
          </w:p>
          <w:p>
            <w:pPr>
              <w:pStyle w:val="TableContents"/>
              <w:bidi w:val="0"/>
              <w:spacing w:before="0" w:after="283"/>
              <w:jc w:val="left"/>
              <w:rPr/>
            </w:pPr>
            <w:r>
              <w:rPr/>
              <w:t> </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283"/>
              <w:jc w:val="left"/>
              <w:rPr/>
            </w:pPr>
            <w:r>
              <w:rPr/>
              <w:t>☐</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13</w:t>
            </w:r>
          </w:p>
        </w:tc>
        <w:tc>
          <w:tcPr>
            <w:tcW w:w="7685"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49.99%</w:t>
            </w:r>
            <w:r>
              <w:rPr>
                <w:rFonts w:ascii="Times New Roman;Times;Serif" w:hAnsi="Times New Roman;Times;Serif"/>
                <w:b/>
                <w:i w:val="false"/>
                <w:caps w:val="false"/>
                <w:smallCaps w:val="false"/>
                <w:position w:val="7"/>
                <w:sz w:val="16"/>
                <w:sz w:val="20"/>
              </w:rPr>
              <w:t>1</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14</w:t>
            </w:r>
          </w:p>
        </w:tc>
        <w:tc>
          <w:tcPr>
            <w:tcW w:w="7685"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7" w:type="dxa"/>
            <w:tcBorders/>
            <w:vAlign w:val="center"/>
          </w:tcPr>
          <w:p>
            <w:pPr>
              <w:pStyle w:val="TableContents"/>
              <w:bidi w:val="0"/>
              <w:spacing w:before="0" w:after="283"/>
              <w:jc w:val="both"/>
              <w:rPr/>
            </w:pPr>
            <w:r>
              <w:rPr/>
              <w:t>This amount includes (a) 666,699 shares of common stock acquired pursuant to the Purchase Agreement (as defined in Item 4); (b) 6,169,702 shares of common stock underlying warrants acquired pursuant to the Purchase Agreement, subject to a 49.99% beneficial ownership limitation; and (c) 23,873 shares of common stock underlying Award Stock (as defined in Item 4) acquired pursuant to the Purchase Agreement. The Note (as defined in Item 4) is not currently convertible and is not anticipated to be convertible within the next 60 days.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900" w:type="dxa"/>
        <w:jc w:val="left"/>
        <w:tblInd w:w="-15" w:type="dxa"/>
        <w:tblLayout w:type="fixed"/>
        <w:tblCellMar>
          <w:top w:w="40" w:type="dxa"/>
          <w:left w:w="108" w:type="dxa"/>
          <w:bottom w:w="40" w:type="dxa"/>
          <w:right w:w="108" w:type="dxa"/>
        </w:tblCellMar>
      </w:tblPr>
      <w:tblGrid>
        <w:gridCol w:w="1985"/>
        <w:gridCol w:w="365"/>
        <w:gridCol w:w="1550"/>
      </w:tblGrid>
      <w:tr>
        <w:trPr/>
        <w:tc>
          <w:tcPr>
            <w:tcW w:w="19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sz w:val="20"/>
              </w:rPr>
            </w:pPr>
            <w:r>
              <w:rPr>
                <w:sz w:val="20"/>
              </w:rPr>
              <w:t>CUSIP NO. 00853E 305</w:t>
            </w:r>
          </w:p>
        </w:tc>
        <w:tc>
          <w:tcPr>
            <w:tcW w:w="36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13D</w:t>
            </w:r>
          </w:p>
        </w:tc>
        <w:tc>
          <w:tcPr>
            <w:tcW w:w="15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sz w:val="20"/>
              </w:rPr>
            </w:pPr>
            <w:r>
              <w:rPr>
                <w:sz w:val="20"/>
              </w:rPr>
              <w:t xml:space="preserve">Page </w:t>
            </w:r>
            <w:r>
              <w:rPr>
                <w:rFonts w:ascii="Times New Roman;Times;Serif" w:hAnsi="Times New Roman;Times;Serif"/>
                <w:sz w:val="20"/>
              </w:rPr>
              <w:t>4</w:t>
            </w:r>
            <w:r>
              <w:rPr>
                <w:sz w:val="20"/>
              </w:rPr>
              <w:t xml:space="preserve"> of </w:t>
            </w:r>
            <w:r>
              <w:rPr>
                <w:rFonts w:ascii="Times New Roman;Times;Serif" w:hAnsi="Times New Roman;Times;Serif"/>
                <w:sz w:val="20"/>
              </w:rPr>
              <w:t>12</w:t>
            </w:r>
            <w:r>
              <w:rPr>
                <w:sz w:val="20"/>
              </w:rPr>
              <w:t xml:space="preserve"> Pages</w:t>
            </w:r>
          </w:p>
        </w:tc>
      </w:tr>
    </w:tbl>
    <w:p>
      <w:pPr>
        <w:pStyle w:val="TextBody"/>
        <w:bidi w:val="0"/>
        <w:spacing w:before="0" w:after="0"/>
        <w:jc w:val="left"/>
        <w:rPr>
          <w:caps w:val="false"/>
          <w:smallCaps w:val="false"/>
        </w:rPr>
      </w:pPr>
      <w:r>
        <w:rPr>
          <w:caps w:val="false"/>
          <w:smallCaps w:val="false"/>
        </w:rPr>
        <w:t> </w:t>
      </w:r>
    </w:p>
    <w:tbl>
      <w:tblPr>
        <w:tblW w:w="9825" w:type="dxa"/>
        <w:jc w:val="left"/>
        <w:tblInd w:w="-15" w:type="dxa"/>
        <w:tblLayout w:type="fixed"/>
        <w:tblCellMar>
          <w:top w:w="108" w:type="dxa"/>
          <w:left w:w="108" w:type="dxa"/>
          <w:bottom w:w="108" w:type="dxa"/>
          <w:right w:w="108" w:type="dxa"/>
        </w:tblCellMar>
      </w:tblPr>
      <w:tblGrid>
        <w:gridCol w:w="140"/>
        <w:gridCol w:w="9155"/>
        <w:gridCol w:w="530"/>
      </w:tblGrid>
      <w:tr>
        <w:trPr/>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w:t>
            </w:r>
          </w:p>
        </w:tc>
        <w:tc>
          <w:tcPr>
            <w:tcW w:w="9155" w:type="dxa"/>
            <w:tcBorders>
              <w:top w:val="single" w:sz="12" w:space="0" w:color="000000"/>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For Success Holdings Company</w:t>
            </w:r>
          </w:p>
        </w:tc>
        <w:tc>
          <w:tcPr>
            <w:tcW w:w="53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2</w:t>
            </w:r>
          </w:p>
        </w:tc>
        <w:tc>
          <w:tcPr>
            <w:tcW w:w="9155" w:type="dxa"/>
            <w:tcBorders>
              <w:bottom w:val="single" w:sz="1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3</w:t>
            </w:r>
          </w:p>
        </w:tc>
        <w:tc>
          <w:tcPr>
            <w:tcW w:w="9155" w:type="dxa"/>
            <w:tcBorders>
              <w:bottom w:val="single" w:sz="12" w:space="0" w:color="000000"/>
            </w:tcBorders>
            <w:tcMar>
              <w:top w:w="0" w:type="dxa"/>
              <w:left w:w="0" w:type="dxa"/>
              <w:right w:w="0" w:type="dxa"/>
            </w:tcMar>
            <w:vAlign w:val="center"/>
          </w:tcPr>
          <w:p>
            <w:pPr>
              <w:pStyle w:val="TableContents"/>
              <w:bidi w:val="0"/>
              <w:jc w:val="left"/>
              <w:rPr>
                <w:sz w:val="20"/>
              </w:rPr>
            </w:pPr>
            <w:r>
              <w:rPr>
                <w:sz w:val="20"/>
              </w:rPr>
              <w:t>SEC USE ONLY</w:t>
            </w:r>
          </w:p>
          <w:p>
            <w:pPr>
              <w:pStyle w:val="TableContents"/>
              <w:bidi w:val="0"/>
              <w:spacing w:before="0" w:after="283"/>
              <w:jc w:val="left"/>
              <w:rPr/>
            </w:pPr>
            <w:r>
              <w:rPr/>
              <w:t> </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4</w:t>
            </w:r>
          </w:p>
        </w:tc>
        <w:tc>
          <w:tcPr>
            <w:tcW w:w="9155" w:type="dxa"/>
            <w:tcBorders>
              <w:bottom w:val="single" w:sz="1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5</w:t>
            </w:r>
          </w:p>
        </w:tc>
        <w:tc>
          <w:tcPr>
            <w:tcW w:w="9155" w:type="dxa"/>
            <w:tcBorders>
              <w:bottom w:val="single" w:sz="12" w:space="0" w:color="000000"/>
            </w:tcBorders>
            <w:tcMar>
              <w:top w:w="0" w:type="dxa"/>
              <w:left w:w="0" w:type="dxa"/>
              <w:right w:w="0" w:type="dxa"/>
            </w:tcMar>
            <w:vAlign w:val="center"/>
          </w:tcPr>
          <w:p>
            <w:pPr>
              <w:pStyle w:val="TableContents"/>
              <w:bidi w:val="0"/>
              <w:jc w:val="left"/>
              <w:rPr>
                <w:sz w:val="20"/>
              </w:rPr>
            </w:pPr>
            <w:r>
              <w:rPr>
                <w:sz w:val="20"/>
              </w:rPr>
              <w:t>CHECK BOX IF DISCLOSURE OF LEGAL PROCEEDINGS IS REQUIRED PURSUANT TO ITEMS 2(d) OR 2(e)</w:t>
            </w:r>
          </w:p>
          <w:p>
            <w:pPr>
              <w:pStyle w:val="TableContents"/>
              <w:bidi w:val="0"/>
              <w:spacing w:before="0" w:after="283"/>
              <w:jc w:val="left"/>
              <w:rPr/>
            </w:pPr>
            <w:r>
              <w:rPr/>
              <w:t> </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6</w:t>
            </w:r>
          </w:p>
        </w:tc>
        <w:tc>
          <w:tcPr>
            <w:tcW w:w="9155" w:type="dxa"/>
            <w:tcBorders>
              <w:bottom w:val="single" w:sz="1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tbl>
      <w:tblPr>
        <w:tblW w:w="4515" w:type="dxa"/>
        <w:jc w:val="left"/>
        <w:tblInd w:w="-15" w:type="dxa"/>
        <w:tblLayout w:type="fixed"/>
        <w:tblCellMar>
          <w:top w:w="0" w:type="dxa"/>
          <w:left w:w="108" w:type="dxa"/>
          <w:bottom w:w="108" w:type="dxa"/>
          <w:right w:w="108" w:type="dxa"/>
        </w:tblCellMar>
      </w:tblPr>
      <w:tblGrid>
        <w:gridCol w:w="1520"/>
        <w:gridCol w:w="230"/>
        <w:gridCol w:w="2690"/>
        <w:gridCol w:w="75"/>
      </w:tblGrid>
      <w:tr>
        <w:trPr/>
        <w:tc>
          <w:tcPr>
            <w:tcW w:w="1520" w:type="dxa"/>
            <w:vMerge w:val="restart"/>
            <w:tcBorders>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7</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520"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8</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6,860,274</w:t>
            </w:r>
            <w:r>
              <w:rPr>
                <w:rFonts w:ascii="Times New Roman;Times;Serif" w:hAnsi="Times New Roman;Times;Serif"/>
                <w:b/>
                <w:i w:val="false"/>
                <w:caps w:val="false"/>
                <w:smallCaps w:val="false"/>
                <w:position w:val="7"/>
                <w:sz w:val="16"/>
                <w:sz w:val="20"/>
              </w:rPr>
              <w:t>1</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520"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9</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520"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10</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6,860,274</w:t>
            </w:r>
            <w:r>
              <w:rPr>
                <w:rFonts w:ascii="Times New Roman;Times;Serif" w:hAnsi="Times New Roman;Times;Serif"/>
                <w:b/>
                <w:i w:val="false"/>
                <w:caps w:val="false"/>
                <w:smallCaps w:val="false"/>
                <w:position w:val="7"/>
                <w:sz w:val="16"/>
                <w:sz w:val="20"/>
              </w:rPr>
              <w:t>1</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tbl>
      <w:tblPr>
        <w:tblW w:w="8175" w:type="dxa"/>
        <w:jc w:val="left"/>
        <w:tblInd w:w="-15" w:type="dxa"/>
        <w:tblLayout w:type="fixed"/>
        <w:tblCellMar>
          <w:top w:w="0" w:type="dxa"/>
          <w:left w:w="108" w:type="dxa"/>
          <w:bottom w:w="108" w:type="dxa"/>
          <w:right w:w="108" w:type="dxa"/>
        </w:tblCellMar>
      </w:tblPr>
      <w:tblGrid>
        <w:gridCol w:w="245"/>
        <w:gridCol w:w="7685"/>
        <w:gridCol w:w="245"/>
      </w:tblGrid>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11</w:t>
            </w:r>
          </w:p>
        </w:tc>
        <w:tc>
          <w:tcPr>
            <w:tcW w:w="7685"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6,860,274</w:t>
            </w:r>
            <w:r>
              <w:rPr>
                <w:rFonts w:ascii="Times New Roman;Times;Serif" w:hAnsi="Times New Roman;Times;Serif"/>
                <w:b/>
                <w:i w:val="false"/>
                <w:caps w:val="false"/>
                <w:smallCaps w:val="false"/>
                <w:position w:val="7"/>
                <w:sz w:val="16"/>
                <w:sz w:val="20"/>
              </w:rPr>
              <w:t>1</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12</w:t>
            </w:r>
          </w:p>
        </w:tc>
        <w:tc>
          <w:tcPr>
            <w:tcW w:w="7685" w:type="dxa"/>
            <w:tcBorders>
              <w:bottom w:val="single" w:sz="12" w:space="0" w:color="000000"/>
            </w:tcBorders>
            <w:tcMar>
              <w:left w:w="0" w:type="dxa"/>
              <w:right w:w="0" w:type="dxa"/>
            </w:tcMar>
            <w:vAlign w:val="center"/>
          </w:tcPr>
          <w:p>
            <w:pPr>
              <w:pStyle w:val="TableContents"/>
              <w:bidi w:val="0"/>
              <w:jc w:val="left"/>
              <w:rPr>
                <w:sz w:val="20"/>
              </w:rPr>
            </w:pPr>
            <w:r>
              <w:rPr>
                <w:sz w:val="20"/>
              </w:rPr>
              <w:t>CHECK BOX IF THE AGGREGATE AMOUNT IN ROW (11) EXCLUDES CERTAIN SHARES</w:t>
            </w:r>
          </w:p>
          <w:p>
            <w:pPr>
              <w:pStyle w:val="TableContents"/>
              <w:bidi w:val="0"/>
              <w:spacing w:before="0" w:after="283"/>
              <w:jc w:val="left"/>
              <w:rPr/>
            </w:pPr>
            <w:r>
              <w:rPr/>
              <w:t> </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283"/>
              <w:jc w:val="left"/>
              <w:rPr/>
            </w:pPr>
            <w:r>
              <w:rPr/>
              <w:t>☐</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13</w:t>
            </w:r>
          </w:p>
        </w:tc>
        <w:tc>
          <w:tcPr>
            <w:tcW w:w="7685"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49.99%</w:t>
            </w:r>
            <w:r>
              <w:rPr>
                <w:rFonts w:ascii="Times New Roman;Times;Serif" w:hAnsi="Times New Roman;Times;Serif"/>
                <w:b/>
                <w:i w:val="false"/>
                <w:caps w:val="false"/>
                <w:smallCaps w:val="false"/>
                <w:position w:val="7"/>
                <w:sz w:val="16"/>
                <w:sz w:val="20"/>
              </w:rPr>
              <w:t>1</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14</w:t>
            </w:r>
          </w:p>
        </w:tc>
        <w:tc>
          <w:tcPr>
            <w:tcW w:w="7685"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7" w:type="dxa"/>
            <w:tcBorders/>
            <w:vAlign w:val="center"/>
          </w:tcPr>
          <w:p>
            <w:pPr>
              <w:pStyle w:val="TableContents"/>
              <w:bidi w:val="0"/>
              <w:spacing w:before="0" w:after="283"/>
              <w:jc w:val="both"/>
              <w:rPr/>
            </w:pPr>
            <w:r>
              <w:rPr/>
              <w:t>This amount includes (a) 666,699 shares of common stock acquired pursuant to the Purchase Agreement (as defined in Item 4); (b) 6,169,702 shares of common stock underlying warrants acquired pursuant to the Purchase Agreement, subject to a 49.99% beneficial ownership limitation; and (c) 23,873 shares of common stock underlying Award Stock (as defined in Item 4) acquired pursuant to the Purchase Agreement. The Note (as defined in Item 4) is not currently convertible and is not anticipated to be convertible within the next 60 days.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900" w:type="dxa"/>
        <w:jc w:val="left"/>
        <w:tblInd w:w="-15" w:type="dxa"/>
        <w:tblLayout w:type="fixed"/>
        <w:tblCellMar>
          <w:top w:w="40" w:type="dxa"/>
          <w:left w:w="108" w:type="dxa"/>
          <w:bottom w:w="40" w:type="dxa"/>
          <w:right w:w="108" w:type="dxa"/>
        </w:tblCellMar>
      </w:tblPr>
      <w:tblGrid>
        <w:gridCol w:w="1985"/>
        <w:gridCol w:w="365"/>
        <w:gridCol w:w="1550"/>
      </w:tblGrid>
      <w:tr>
        <w:trPr/>
        <w:tc>
          <w:tcPr>
            <w:tcW w:w="19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sz w:val="20"/>
              </w:rPr>
            </w:pPr>
            <w:r>
              <w:rPr>
                <w:sz w:val="20"/>
              </w:rPr>
              <w:t>CUSIP NO. 00853E 305</w:t>
            </w:r>
          </w:p>
        </w:tc>
        <w:tc>
          <w:tcPr>
            <w:tcW w:w="36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13D</w:t>
            </w:r>
          </w:p>
        </w:tc>
        <w:tc>
          <w:tcPr>
            <w:tcW w:w="15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sz w:val="20"/>
              </w:rPr>
            </w:pPr>
            <w:r>
              <w:rPr>
                <w:sz w:val="20"/>
              </w:rPr>
              <w:t xml:space="preserve">Page </w:t>
            </w:r>
            <w:r>
              <w:rPr>
                <w:rFonts w:ascii="Times New Roman;Times;Serif" w:hAnsi="Times New Roman;Times;Serif"/>
                <w:sz w:val="20"/>
              </w:rPr>
              <w:t>5</w:t>
            </w:r>
            <w:r>
              <w:rPr>
                <w:sz w:val="20"/>
              </w:rPr>
              <w:t xml:space="preserve"> of 12 Pages</w:t>
            </w:r>
          </w:p>
        </w:tc>
      </w:tr>
    </w:tbl>
    <w:p>
      <w:pPr>
        <w:pStyle w:val="TextBody"/>
        <w:bidi w:val="0"/>
        <w:spacing w:before="0" w:after="0"/>
        <w:jc w:val="left"/>
        <w:rPr>
          <w:caps w:val="false"/>
          <w:smallCaps w:val="false"/>
        </w:rPr>
      </w:pPr>
      <w:r>
        <w:rPr>
          <w:caps w:val="false"/>
          <w:smallCaps w:val="false"/>
        </w:rPr>
        <w:t> </w:t>
      </w:r>
    </w:p>
    <w:tbl>
      <w:tblPr>
        <w:tblW w:w="9825" w:type="dxa"/>
        <w:jc w:val="left"/>
        <w:tblInd w:w="-15" w:type="dxa"/>
        <w:tblLayout w:type="fixed"/>
        <w:tblCellMar>
          <w:top w:w="108" w:type="dxa"/>
          <w:left w:w="108" w:type="dxa"/>
          <w:bottom w:w="108" w:type="dxa"/>
          <w:right w:w="108" w:type="dxa"/>
        </w:tblCellMar>
      </w:tblPr>
      <w:tblGrid>
        <w:gridCol w:w="140"/>
        <w:gridCol w:w="9155"/>
        <w:gridCol w:w="530"/>
      </w:tblGrid>
      <w:tr>
        <w:trPr/>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w:t>
            </w:r>
          </w:p>
        </w:tc>
        <w:tc>
          <w:tcPr>
            <w:tcW w:w="9155" w:type="dxa"/>
            <w:tcBorders>
              <w:top w:val="single" w:sz="12" w:space="0" w:color="000000"/>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VCP23, LLC</w:t>
            </w:r>
          </w:p>
        </w:tc>
        <w:tc>
          <w:tcPr>
            <w:tcW w:w="53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2</w:t>
            </w:r>
          </w:p>
        </w:tc>
        <w:tc>
          <w:tcPr>
            <w:tcW w:w="9155" w:type="dxa"/>
            <w:tcBorders>
              <w:bottom w:val="single" w:sz="1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3</w:t>
            </w:r>
          </w:p>
        </w:tc>
        <w:tc>
          <w:tcPr>
            <w:tcW w:w="9155" w:type="dxa"/>
            <w:tcBorders>
              <w:bottom w:val="single" w:sz="12" w:space="0" w:color="000000"/>
            </w:tcBorders>
            <w:tcMar>
              <w:top w:w="0" w:type="dxa"/>
              <w:left w:w="0" w:type="dxa"/>
              <w:right w:w="0" w:type="dxa"/>
            </w:tcMar>
            <w:vAlign w:val="center"/>
          </w:tcPr>
          <w:p>
            <w:pPr>
              <w:pStyle w:val="TableContents"/>
              <w:bidi w:val="0"/>
              <w:jc w:val="left"/>
              <w:rPr>
                <w:sz w:val="20"/>
              </w:rPr>
            </w:pPr>
            <w:r>
              <w:rPr>
                <w:sz w:val="20"/>
              </w:rPr>
              <w:t>SEC USE ONLY</w:t>
            </w:r>
          </w:p>
          <w:p>
            <w:pPr>
              <w:pStyle w:val="TableContents"/>
              <w:bidi w:val="0"/>
              <w:spacing w:before="0" w:after="283"/>
              <w:jc w:val="left"/>
              <w:rPr/>
            </w:pPr>
            <w:r>
              <w:rPr/>
              <w:t> </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4</w:t>
            </w:r>
          </w:p>
        </w:tc>
        <w:tc>
          <w:tcPr>
            <w:tcW w:w="9155" w:type="dxa"/>
            <w:tcBorders>
              <w:bottom w:val="single" w:sz="1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5</w:t>
            </w:r>
          </w:p>
        </w:tc>
        <w:tc>
          <w:tcPr>
            <w:tcW w:w="9155" w:type="dxa"/>
            <w:tcBorders>
              <w:bottom w:val="single" w:sz="12" w:space="0" w:color="000000"/>
            </w:tcBorders>
            <w:tcMar>
              <w:top w:w="0" w:type="dxa"/>
              <w:left w:w="0" w:type="dxa"/>
              <w:right w:w="0" w:type="dxa"/>
            </w:tcMar>
            <w:vAlign w:val="center"/>
          </w:tcPr>
          <w:p>
            <w:pPr>
              <w:pStyle w:val="TableContents"/>
              <w:bidi w:val="0"/>
              <w:jc w:val="left"/>
              <w:rPr>
                <w:sz w:val="20"/>
              </w:rPr>
            </w:pPr>
            <w:r>
              <w:rPr>
                <w:sz w:val="20"/>
              </w:rPr>
              <w:t>CHECK BOX IF DISCLOSURE OF LEGAL PROCEEDINGS IS REQUIRED PURSUANT TO ITEMS 2(d) OR 2(e)</w:t>
            </w:r>
          </w:p>
          <w:p>
            <w:pPr>
              <w:pStyle w:val="TableContents"/>
              <w:bidi w:val="0"/>
              <w:spacing w:before="0" w:after="283"/>
              <w:jc w:val="left"/>
              <w:rPr/>
            </w:pPr>
            <w:r>
              <w:rPr/>
              <w:t> </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6</w:t>
            </w:r>
          </w:p>
        </w:tc>
        <w:tc>
          <w:tcPr>
            <w:tcW w:w="9155" w:type="dxa"/>
            <w:tcBorders>
              <w:bottom w:val="single" w:sz="1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tbl>
      <w:tblPr>
        <w:tblW w:w="4515" w:type="dxa"/>
        <w:jc w:val="left"/>
        <w:tblInd w:w="-15" w:type="dxa"/>
        <w:tblLayout w:type="fixed"/>
        <w:tblCellMar>
          <w:top w:w="0" w:type="dxa"/>
          <w:left w:w="108" w:type="dxa"/>
          <w:bottom w:w="108" w:type="dxa"/>
          <w:right w:w="108" w:type="dxa"/>
        </w:tblCellMar>
      </w:tblPr>
      <w:tblGrid>
        <w:gridCol w:w="1520"/>
        <w:gridCol w:w="230"/>
        <w:gridCol w:w="2690"/>
        <w:gridCol w:w="75"/>
      </w:tblGrid>
      <w:tr>
        <w:trPr/>
        <w:tc>
          <w:tcPr>
            <w:tcW w:w="1520" w:type="dxa"/>
            <w:vMerge w:val="restart"/>
            <w:tcBorders>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7</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520"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8</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6,860,274</w:t>
            </w:r>
            <w:r>
              <w:rPr>
                <w:rFonts w:ascii="Times New Roman;Times;Serif" w:hAnsi="Times New Roman;Times;Serif"/>
                <w:b/>
                <w:i w:val="false"/>
                <w:caps w:val="false"/>
                <w:smallCaps w:val="false"/>
                <w:position w:val="7"/>
                <w:sz w:val="16"/>
                <w:sz w:val="20"/>
              </w:rPr>
              <w:t>1</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520"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9</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520"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10</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6,860,274</w:t>
            </w:r>
            <w:r>
              <w:rPr>
                <w:rFonts w:ascii="Times New Roman;Times;Serif" w:hAnsi="Times New Roman;Times;Serif"/>
                <w:b/>
                <w:i w:val="false"/>
                <w:caps w:val="false"/>
                <w:smallCaps w:val="false"/>
                <w:position w:val="7"/>
                <w:sz w:val="16"/>
                <w:sz w:val="20"/>
              </w:rPr>
              <w:t>1</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tbl>
      <w:tblPr>
        <w:tblW w:w="8175" w:type="dxa"/>
        <w:jc w:val="left"/>
        <w:tblInd w:w="-15" w:type="dxa"/>
        <w:tblLayout w:type="fixed"/>
        <w:tblCellMar>
          <w:top w:w="0" w:type="dxa"/>
          <w:left w:w="108" w:type="dxa"/>
          <w:bottom w:w="108" w:type="dxa"/>
          <w:right w:w="108" w:type="dxa"/>
        </w:tblCellMar>
      </w:tblPr>
      <w:tblGrid>
        <w:gridCol w:w="245"/>
        <w:gridCol w:w="7685"/>
        <w:gridCol w:w="245"/>
      </w:tblGrid>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11</w:t>
            </w:r>
          </w:p>
        </w:tc>
        <w:tc>
          <w:tcPr>
            <w:tcW w:w="7685"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6,860,274</w:t>
            </w:r>
            <w:r>
              <w:rPr>
                <w:rFonts w:ascii="Times New Roman;Times;Serif" w:hAnsi="Times New Roman;Times;Serif"/>
                <w:b/>
                <w:i w:val="false"/>
                <w:caps w:val="false"/>
                <w:smallCaps w:val="false"/>
                <w:position w:val="7"/>
                <w:sz w:val="16"/>
                <w:sz w:val="20"/>
              </w:rPr>
              <w:t>1</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12</w:t>
            </w:r>
          </w:p>
        </w:tc>
        <w:tc>
          <w:tcPr>
            <w:tcW w:w="7685" w:type="dxa"/>
            <w:tcBorders>
              <w:bottom w:val="single" w:sz="12" w:space="0" w:color="000000"/>
            </w:tcBorders>
            <w:tcMar>
              <w:left w:w="0" w:type="dxa"/>
              <w:right w:w="0" w:type="dxa"/>
            </w:tcMar>
            <w:vAlign w:val="center"/>
          </w:tcPr>
          <w:p>
            <w:pPr>
              <w:pStyle w:val="TableContents"/>
              <w:bidi w:val="0"/>
              <w:jc w:val="left"/>
              <w:rPr>
                <w:sz w:val="20"/>
              </w:rPr>
            </w:pPr>
            <w:r>
              <w:rPr>
                <w:sz w:val="20"/>
              </w:rPr>
              <w:t>CHECK BOX IF THE AGGREGATE AMOUNT IN ROW (11) EXCLUDES CERTAIN SHARES</w:t>
            </w:r>
          </w:p>
          <w:p>
            <w:pPr>
              <w:pStyle w:val="TableContents"/>
              <w:bidi w:val="0"/>
              <w:spacing w:before="0" w:after="283"/>
              <w:jc w:val="left"/>
              <w:rPr/>
            </w:pPr>
            <w:r>
              <w:rPr/>
              <w:t> </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283"/>
              <w:jc w:val="left"/>
              <w:rPr/>
            </w:pPr>
            <w:r>
              <w:rPr/>
              <w:t>☐</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13</w:t>
            </w:r>
          </w:p>
        </w:tc>
        <w:tc>
          <w:tcPr>
            <w:tcW w:w="7685"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49.99%</w:t>
            </w:r>
            <w:r>
              <w:rPr>
                <w:rFonts w:ascii="Times New Roman;Times;Serif" w:hAnsi="Times New Roman;Times;Serif"/>
                <w:b/>
                <w:i w:val="false"/>
                <w:caps w:val="false"/>
                <w:smallCaps w:val="false"/>
                <w:position w:val="7"/>
                <w:sz w:val="16"/>
                <w:sz w:val="20"/>
              </w:rPr>
              <w:t>1</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14</w:t>
            </w:r>
          </w:p>
        </w:tc>
        <w:tc>
          <w:tcPr>
            <w:tcW w:w="7685"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7" w:type="dxa"/>
            <w:tcBorders/>
            <w:vAlign w:val="center"/>
          </w:tcPr>
          <w:p>
            <w:pPr>
              <w:pStyle w:val="TableContents"/>
              <w:bidi w:val="0"/>
              <w:spacing w:before="0" w:after="283"/>
              <w:jc w:val="both"/>
              <w:rPr/>
            </w:pPr>
            <w:r>
              <w:rPr/>
              <w:t>This amount includes (a) 666,699 shares of common stock acquired pursuant to the Purchase Agreement (as defined in Item 4); (b) 6,169,702 shares of common stock underlying warrants acquired pursuant to the Purchase Agreement, subject to a 49.99% beneficial ownership limitation; and (c) 23,873 shares of common stock underlying Award Stock (as defined in Item 4) acquired pursuant to the Purchase Agreement. The Note (as defined in Item 4) is not currently convertible and is not anticipated to be convertible within the next 60 days.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900" w:type="dxa"/>
        <w:jc w:val="left"/>
        <w:tblInd w:w="-15" w:type="dxa"/>
        <w:tblLayout w:type="fixed"/>
        <w:tblCellMar>
          <w:top w:w="40" w:type="dxa"/>
          <w:left w:w="108" w:type="dxa"/>
          <w:bottom w:w="40" w:type="dxa"/>
          <w:right w:w="108" w:type="dxa"/>
        </w:tblCellMar>
      </w:tblPr>
      <w:tblGrid>
        <w:gridCol w:w="1985"/>
        <w:gridCol w:w="365"/>
        <w:gridCol w:w="1550"/>
      </w:tblGrid>
      <w:tr>
        <w:trPr/>
        <w:tc>
          <w:tcPr>
            <w:tcW w:w="19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sz w:val="20"/>
              </w:rPr>
            </w:pPr>
            <w:r>
              <w:rPr>
                <w:sz w:val="20"/>
              </w:rPr>
              <w:t>CUSIP NO. 00853E 305</w:t>
            </w:r>
          </w:p>
        </w:tc>
        <w:tc>
          <w:tcPr>
            <w:tcW w:w="36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13D</w:t>
            </w:r>
          </w:p>
        </w:tc>
        <w:tc>
          <w:tcPr>
            <w:tcW w:w="15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sz w:val="20"/>
              </w:rPr>
            </w:pPr>
            <w:r>
              <w:rPr>
                <w:sz w:val="20"/>
              </w:rPr>
              <w:t xml:space="preserve">Page </w:t>
            </w:r>
            <w:r>
              <w:rPr>
                <w:rFonts w:ascii="Times New Roman;Times;Serif" w:hAnsi="Times New Roman;Times;Serif"/>
                <w:sz w:val="20"/>
              </w:rPr>
              <w:t>6</w:t>
            </w:r>
            <w:r>
              <w:rPr>
                <w:sz w:val="20"/>
              </w:rPr>
              <w:t xml:space="preserve"> of 12 Pages</w:t>
            </w:r>
          </w:p>
        </w:tc>
      </w:tr>
    </w:tbl>
    <w:p>
      <w:pPr>
        <w:pStyle w:val="TextBody"/>
        <w:bidi w:val="0"/>
        <w:spacing w:before="0" w:after="0"/>
        <w:jc w:val="left"/>
        <w:rPr>
          <w:caps w:val="false"/>
          <w:smallCaps w:val="false"/>
        </w:rPr>
      </w:pPr>
      <w:r>
        <w:rPr>
          <w:caps w:val="false"/>
          <w:smallCaps w:val="false"/>
        </w:rPr>
        <w:t> </w:t>
      </w:r>
    </w:p>
    <w:tbl>
      <w:tblPr>
        <w:tblW w:w="9825" w:type="dxa"/>
        <w:jc w:val="left"/>
        <w:tblInd w:w="-15" w:type="dxa"/>
        <w:tblLayout w:type="fixed"/>
        <w:tblCellMar>
          <w:top w:w="108" w:type="dxa"/>
          <w:left w:w="108" w:type="dxa"/>
          <w:bottom w:w="108" w:type="dxa"/>
          <w:right w:w="108" w:type="dxa"/>
        </w:tblCellMar>
      </w:tblPr>
      <w:tblGrid>
        <w:gridCol w:w="140"/>
        <w:gridCol w:w="9155"/>
        <w:gridCol w:w="530"/>
      </w:tblGrid>
      <w:tr>
        <w:trPr/>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w:t>
            </w:r>
          </w:p>
        </w:tc>
        <w:tc>
          <w:tcPr>
            <w:tcW w:w="9155" w:type="dxa"/>
            <w:tcBorders>
              <w:top w:val="single" w:sz="12" w:space="0" w:color="000000"/>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GTI23, Inc.</w:t>
            </w:r>
          </w:p>
        </w:tc>
        <w:tc>
          <w:tcPr>
            <w:tcW w:w="53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2</w:t>
            </w:r>
          </w:p>
        </w:tc>
        <w:tc>
          <w:tcPr>
            <w:tcW w:w="9155" w:type="dxa"/>
            <w:tcBorders>
              <w:bottom w:val="single" w:sz="1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3</w:t>
            </w:r>
          </w:p>
        </w:tc>
        <w:tc>
          <w:tcPr>
            <w:tcW w:w="9155" w:type="dxa"/>
            <w:tcBorders>
              <w:bottom w:val="single" w:sz="12" w:space="0" w:color="000000"/>
            </w:tcBorders>
            <w:tcMar>
              <w:top w:w="0" w:type="dxa"/>
              <w:left w:w="0" w:type="dxa"/>
              <w:right w:w="0" w:type="dxa"/>
            </w:tcMar>
            <w:vAlign w:val="center"/>
          </w:tcPr>
          <w:p>
            <w:pPr>
              <w:pStyle w:val="TableContents"/>
              <w:bidi w:val="0"/>
              <w:jc w:val="left"/>
              <w:rPr>
                <w:sz w:val="20"/>
              </w:rPr>
            </w:pPr>
            <w:r>
              <w:rPr>
                <w:sz w:val="20"/>
              </w:rPr>
              <w:t>SEC USE ONLY</w:t>
            </w:r>
          </w:p>
          <w:p>
            <w:pPr>
              <w:pStyle w:val="TableContents"/>
              <w:bidi w:val="0"/>
              <w:spacing w:before="0" w:after="283"/>
              <w:jc w:val="left"/>
              <w:rPr/>
            </w:pPr>
            <w:r>
              <w:rPr/>
              <w:t> </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4</w:t>
            </w:r>
          </w:p>
        </w:tc>
        <w:tc>
          <w:tcPr>
            <w:tcW w:w="9155" w:type="dxa"/>
            <w:tcBorders>
              <w:bottom w:val="single" w:sz="1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5</w:t>
            </w:r>
          </w:p>
        </w:tc>
        <w:tc>
          <w:tcPr>
            <w:tcW w:w="9155" w:type="dxa"/>
            <w:tcBorders>
              <w:bottom w:val="single" w:sz="12" w:space="0" w:color="000000"/>
            </w:tcBorders>
            <w:tcMar>
              <w:top w:w="0" w:type="dxa"/>
              <w:left w:w="0" w:type="dxa"/>
              <w:right w:w="0" w:type="dxa"/>
            </w:tcMar>
            <w:vAlign w:val="center"/>
          </w:tcPr>
          <w:p>
            <w:pPr>
              <w:pStyle w:val="TableContents"/>
              <w:bidi w:val="0"/>
              <w:jc w:val="left"/>
              <w:rPr>
                <w:sz w:val="20"/>
              </w:rPr>
            </w:pPr>
            <w:r>
              <w:rPr>
                <w:sz w:val="20"/>
              </w:rPr>
              <w:t>CHECK BOX IF DISCLOSURE OF LEGAL PROCEEDINGS IS REQUIRED PURSUANT TO ITEMS 2(d) OR 2(e)</w:t>
            </w:r>
          </w:p>
          <w:p>
            <w:pPr>
              <w:pStyle w:val="TableContents"/>
              <w:bidi w:val="0"/>
              <w:spacing w:before="0" w:after="283"/>
              <w:jc w:val="left"/>
              <w:rPr/>
            </w:pPr>
            <w:r>
              <w:rPr/>
              <w:t> </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6</w:t>
            </w:r>
          </w:p>
        </w:tc>
        <w:tc>
          <w:tcPr>
            <w:tcW w:w="9155" w:type="dxa"/>
            <w:tcBorders>
              <w:bottom w:val="single" w:sz="1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tbl>
      <w:tblPr>
        <w:tblW w:w="4515" w:type="dxa"/>
        <w:jc w:val="left"/>
        <w:tblInd w:w="-15" w:type="dxa"/>
        <w:tblLayout w:type="fixed"/>
        <w:tblCellMar>
          <w:top w:w="0" w:type="dxa"/>
          <w:left w:w="108" w:type="dxa"/>
          <w:bottom w:w="108" w:type="dxa"/>
          <w:right w:w="108" w:type="dxa"/>
        </w:tblCellMar>
      </w:tblPr>
      <w:tblGrid>
        <w:gridCol w:w="1520"/>
        <w:gridCol w:w="230"/>
        <w:gridCol w:w="2690"/>
        <w:gridCol w:w="75"/>
      </w:tblGrid>
      <w:tr>
        <w:trPr/>
        <w:tc>
          <w:tcPr>
            <w:tcW w:w="1520" w:type="dxa"/>
            <w:vMerge w:val="restart"/>
            <w:tcBorders>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7</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520"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8</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6,860,274</w:t>
            </w:r>
            <w:r>
              <w:rPr>
                <w:rFonts w:ascii="Times New Roman;Times;Serif" w:hAnsi="Times New Roman;Times;Serif"/>
                <w:b/>
                <w:i w:val="false"/>
                <w:caps w:val="false"/>
                <w:smallCaps w:val="false"/>
                <w:position w:val="7"/>
                <w:sz w:val="16"/>
                <w:sz w:val="20"/>
              </w:rPr>
              <w:t>1</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520"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9</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520"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10</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6,860,274</w:t>
            </w:r>
            <w:r>
              <w:rPr>
                <w:rFonts w:ascii="Times New Roman;Times;Serif" w:hAnsi="Times New Roman;Times;Serif"/>
                <w:b/>
                <w:i w:val="false"/>
                <w:caps w:val="false"/>
                <w:smallCaps w:val="false"/>
                <w:position w:val="7"/>
                <w:sz w:val="16"/>
                <w:sz w:val="20"/>
              </w:rPr>
              <w:t>1</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tbl>
      <w:tblPr>
        <w:tblW w:w="8175" w:type="dxa"/>
        <w:jc w:val="left"/>
        <w:tblInd w:w="-15" w:type="dxa"/>
        <w:tblLayout w:type="fixed"/>
        <w:tblCellMar>
          <w:top w:w="0" w:type="dxa"/>
          <w:left w:w="108" w:type="dxa"/>
          <w:bottom w:w="108" w:type="dxa"/>
          <w:right w:w="108" w:type="dxa"/>
        </w:tblCellMar>
      </w:tblPr>
      <w:tblGrid>
        <w:gridCol w:w="245"/>
        <w:gridCol w:w="7685"/>
        <w:gridCol w:w="245"/>
      </w:tblGrid>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11</w:t>
            </w:r>
          </w:p>
        </w:tc>
        <w:tc>
          <w:tcPr>
            <w:tcW w:w="7685"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6,860,274</w:t>
            </w:r>
            <w:r>
              <w:rPr>
                <w:rFonts w:ascii="Times New Roman;Times;Serif" w:hAnsi="Times New Roman;Times;Serif"/>
                <w:b/>
                <w:i w:val="false"/>
                <w:caps w:val="false"/>
                <w:smallCaps w:val="false"/>
                <w:position w:val="7"/>
                <w:sz w:val="16"/>
                <w:sz w:val="20"/>
              </w:rPr>
              <w:t>1</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12</w:t>
            </w:r>
          </w:p>
        </w:tc>
        <w:tc>
          <w:tcPr>
            <w:tcW w:w="7685" w:type="dxa"/>
            <w:tcBorders>
              <w:bottom w:val="single" w:sz="12" w:space="0" w:color="000000"/>
            </w:tcBorders>
            <w:tcMar>
              <w:left w:w="0" w:type="dxa"/>
              <w:right w:w="0" w:type="dxa"/>
            </w:tcMar>
            <w:vAlign w:val="center"/>
          </w:tcPr>
          <w:p>
            <w:pPr>
              <w:pStyle w:val="TableContents"/>
              <w:bidi w:val="0"/>
              <w:jc w:val="left"/>
              <w:rPr>
                <w:sz w:val="20"/>
              </w:rPr>
            </w:pPr>
            <w:r>
              <w:rPr>
                <w:sz w:val="20"/>
              </w:rPr>
              <w:t>CHECK BOX IF THE AGGREGATE AMOUNT IN ROW (11) EXCLUDES CERTAIN SHARES</w:t>
            </w:r>
          </w:p>
          <w:p>
            <w:pPr>
              <w:pStyle w:val="TableContents"/>
              <w:bidi w:val="0"/>
              <w:spacing w:before="0" w:after="283"/>
              <w:jc w:val="left"/>
              <w:rPr/>
            </w:pPr>
            <w:r>
              <w:rPr/>
              <w:t> </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283"/>
              <w:jc w:val="left"/>
              <w:rPr/>
            </w:pPr>
            <w:r>
              <w:rPr/>
              <w:t>☐</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13</w:t>
            </w:r>
          </w:p>
        </w:tc>
        <w:tc>
          <w:tcPr>
            <w:tcW w:w="7685"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49.99%</w:t>
            </w:r>
            <w:r>
              <w:rPr>
                <w:rFonts w:ascii="Times New Roman;Times;Serif" w:hAnsi="Times New Roman;Times;Serif"/>
                <w:b/>
                <w:i w:val="false"/>
                <w:caps w:val="false"/>
                <w:smallCaps w:val="false"/>
                <w:position w:val="7"/>
                <w:sz w:val="16"/>
                <w:sz w:val="20"/>
              </w:rPr>
              <w:t>1</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14</w:t>
            </w:r>
          </w:p>
        </w:tc>
        <w:tc>
          <w:tcPr>
            <w:tcW w:w="7685"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7" w:type="dxa"/>
            <w:tcBorders/>
            <w:vAlign w:val="center"/>
          </w:tcPr>
          <w:p>
            <w:pPr>
              <w:pStyle w:val="TableContents"/>
              <w:bidi w:val="0"/>
              <w:spacing w:before="0" w:after="283"/>
              <w:jc w:val="both"/>
              <w:rPr/>
            </w:pPr>
            <w:r>
              <w:rPr/>
              <w:t>This amount includes (a) 666,699 shares of common stock acquired pursuant to the Purchase Agreement (as defined in Item 4); (b) 6,169,702 shares of common stock underlying warrants acquired pursuant to the Purchase Agreement, subject to a 49.99% beneficial ownership limitation; and (c) 23,873 shares of common stock underlying Award Stock (as defined in Item 4) acquired pursuant to the Purchase Agreement. The Note (as defined in Item 4) is not currently convertible and is not anticipated to be convertible within the next 60 days.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900" w:type="dxa"/>
        <w:jc w:val="left"/>
        <w:tblInd w:w="-15" w:type="dxa"/>
        <w:tblLayout w:type="fixed"/>
        <w:tblCellMar>
          <w:top w:w="40" w:type="dxa"/>
          <w:left w:w="108" w:type="dxa"/>
          <w:bottom w:w="40" w:type="dxa"/>
          <w:right w:w="108" w:type="dxa"/>
        </w:tblCellMar>
      </w:tblPr>
      <w:tblGrid>
        <w:gridCol w:w="1985"/>
        <w:gridCol w:w="365"/>
        <w:gridCol w:w="1550"/>
      </w:tblGrid>
      <w:tr>
        <w:trPr/>
        <w:tc>
          <w:tcPr>
            <w:tcW w:w="19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sz w:val="20"/>
              </w:rPr>
            </w:pPr>
            <w:r>
              <w:rPr>
                <w:sz w:val="20"/>
              </w:rPr>
              <w:t>CUSIP NO. 00853E 305</w:t>
            </w:r>
          </w:p>
        </w:tc>
        <w:tc>
          <w:tcPr>
            <w:tcW w:w="36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13D</w:t>
            </w:r>
          </w:p>
        </w:tc>
        <w:tc>
          <w:tcPr>
            <w:tcW w:w="15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sz w:val="20"/>
              </w:rPr>
            </w:pPr>
            <w:r>
              <w:rPr>
                <w:sz w:val="20"/>
              </w:rPr>
              <w:t xml:space="preserve">Page </w:t>
            </w:r>
            <w:r>
              <w:rPr>
                <w:rFonts w:ascii="Times New Roman;Times;Serif" w:hAnsi="Times New Roman;Times;Serif"/>
                <w:sz w:val="20"/>
              </w:rPr>
              <w:t>7</w:t>
            </w:r>
            <w:r>
              <w:rPr>
                <w:sz w:val="20"/>
              </w:rPr>
              <w:t xml:space="preserve"> of 12 Pages</w:t>
            </w:r>
          </w:p>
        </w:tc>
      </w:tr>
    </w:tbl>
    <w:p>
      <w:pPr>
        <w:pStyle w:val="TextBody"/>
        <w:bidi w:val="0"/>
        <w:spacing w:before="0" w:after="0"/>
        <w:jc w:val="left"/>
        <w:rPr>
          <w:caps w:val="false"/>
          <w:smallCaps w:val="false"/>
        </w:rPr>
      </w:pPr>
      <w:r>
        <w:rPr>
          <w:caps w:val="false"/>
          <w:smallCaps w:val="false"/>
        </w:rPr>
        <w:t> </w:t>
      </w:r>
    </w:p>
    <w:tbl>
      <w:tblPr>
        <w:tblW w:w="9825" w:type="dxa"/>
        <w:jc w:val="left"/>
        <w:tblInd w:w="-15" w:type="dxa"/>
        <w:tblLayout w:type="fixed"/>
        <w:tblCellMar>
          <w:top w:w="108" w:type="dxa"/>
          <w:left w:w="108" w:type="dxa"/>
          <w:bottom w:w="108" w:type="dxa"/>
          <w:right w:w="108" w:type="dxa"/>
        </w:tblCellMar>
      </w:tblPr>
      <w:tblGrid>
        <w:gridCol w:w="140"/>
        <w:gridCol w:w="9155"/>
        <w:gridCol w:w="530"/>
      </w:tblGrid>
      <w:tr>
        <w:trPr/>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w:t>
            </w:r>
          </w:p>
        </w:tc>
        <w:tc>
          <w:tcPr>
            <w:tcW w:w="9155" w:type="dxa"/>
            <w:tcBorders>
              <w:top w:val="single" w:sz="12" w:space="0" w:color="000000"/>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Green Thumb Industries Inc.</w:t>
            </w:r>
          </w:p>
        </w:tc>
        <w:tc>
          <w:tcPr>
            <w:tcW w:w="53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2</w:t>
            </w:r>
          </w:p>
        </w:tc>
        <w:tc>
          <w:tcPr>
            <w:tcW w:w="9155" w:type="dxa"/>
            <w:tcBorders>
              <w:bottom w:val="single" w:sz="1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3</w:t>
            </w:r>
          </w:p>
        </w:tc>
        <w:tc>
          <w:tcPr>
            <w:tcW w:w="9155" w:type="dxa"/>
            <w:tcBorders>
              <w:bottom w:val="single" w:sz="12" w:space="0" w:color="000000"/>
            </w:tcBorders>
            <w:tcMar>
              <w:top w:w="0" w:type="dxa"/>
              <w:left w:w="0" w:type="dxa"/>
              <w:right w:w="0" w:type="dxa"/>
            </w:tcMar>
            <w:vAlign w:val="center"/>
          </w:tcPr>
          <w:p>
            <w:pPr>
              <w:pStyle w:val="TableContents"/>
              <w:bidi w:val="0"/>
              <w:jc w:val="left"/>
              <w:rPr>
                <w:sz w:val="20"/>
              </w:rPr>
            </w:pPr>
            <w:r>
              <w:rPr>
                <w:sz w:val="20"/>
              </w:rPr>
              <w:t>SEC USE ONLY</w:t>
            </w:r>
          </w:p>
          <w:p>
            <w:pPr>
              <w:pStyle w:val="TableContents"/>
              <w:bidi w:val="0"/>
              <w:spacing w:before="0" w:after="283"/>
              <w:jc w:val="left"/>
              <w:rPr/>
            </w:pPr>
            <w:r>
              <w:rPr/>
              <w:t> </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4</w:t>
            </w:r>
          </w:p>
        </w:tc>
        <w:tc>
          <w:tcPr>
            <w:tcW w:w="9155" w:type="dxa"/>
            <w:tcBorders>
              <w:bottom w:val="single" w:sz="1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WC</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5</w:t>
            </w:r>
          </w:p>
        </w:tc>
        <w:tc>
          <w:tcPr>
            <w:tcW w:w="9155" w:type="dxa"/>
            <w:tcBorders>
              <w:bottom w:val="single" w:sz="12" w:space="0" w:color="000000"/>
            </w:tcBorders>
            <w:tcMar>
              <w:top w:w="0" w:type="dxa"/>
              <w:left w:w="0" w:type="dxa"/>
              <w:right w:w="0" w:type="dxa"/>
            </w:tcMar>
            <w:vAlign w:val="center"/>
          </w:tcPr>
          <w:p>
            <w:pPr>
              <w:pStyle w:val="TableContents"/>
              <w:bidi w:val="0"/>
              <w:jc w:val="left"/>
              <w:rPr>
                <w:sz w:val="20"/>
              </w:rPr>
            </w:pPr>
            <w:r>
              <w:rPr>
                <w:sz w:val="20"/>
              </w:rPr>
              <w:t>CHECK BOX IF DISCLOSURE OF LEGAL PROCEEDINGS IS REQUIRED PURSUANT TO ITEMS 2(d) OR 2(e)</w:t>
            </w:r>
          </w:p>
          <w:p>
            <w:pPr>
              <w:pStyle w:val="TableContents"/>
              <w:bidi w:val="0"/>
              <w:spacing w:before="0" w:after="283"/>
              <w:jc w:val="left"/>
              <w:rPr/>
            </w:pPr>
            <w:r>
              <w:rPr/>
              <w:t> </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6</w:t>
            </w:r>
          </w:p>
        </w:tc>
        <w:tc>
          <w:tcPr>
            <w:tcW w:w="9155" w:type="dxa"/>
            <w:tcBorders>
              <w:bottom w:val="single" w:sz="1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Columbia</w:t>
            </w:r>
          </w:p>
        </w:tc>
        <w:tc>
          <w:tcPr>
            <w:tcW w:w="53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tbl>
      <w:tblPr>
        <w:tblW w:w="4515" w:type="dxa"/>
        <w:jc w:val="left"/>
        <w:tblInd w:w="-15" w:type="dxa"/>
        <w:tblLayout w:type="fixed"/>
        <w:tblCellMar>
          <w:top w:w="0" w:type="dxa"/>
          <w:left w:w="108" w:type="dxa"/>
          <w:bottom w:w="108" w:type="dxa"/>
          <w:right w:w="108" w:type="dxa"/>
        </w:tblCellMar>
      </w:tblPr>
      <w:tblGrid>
        <w:gridCol w:w="1520"/>
        <w:gridCol w:w="230"/>
        <w:gridCol w:w="2690"/>
        <w:gridCol w:w="75"/>
      </w:tblGrid>
      <w:tr>
        <w:trPr/>
        <w:tc>
          <w:tcPr>
            <w:tcW w:w="1520" w:type="dxa"/>
            <w:vMerge w:val="restart"/>
            <w:tcBorders>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7</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520"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8</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6,860,274</w:t>
            </w:r>
            <w:r>
              <w:rPr>
                <w:rFonts w:ascii="Times New Roman;Times;Serif" w:hAnsi="Times New Roman;Times;Serif"/>
                <w:b/>
                <w:i w:val="false"/>
                <w:caps w:val="false"/>
                <w:smallCaps w:val="false"/>
                <w:position w:val="7"/>
                <w:sz w:val="16"/>
                <w:sz w:val="20"/>
              </w:rPr>
              <w:t>1</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520"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9</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520"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left"/>
              <w:rPr>
                <w:b/>
                <w:sz w:val="20"/>
              </w:rPr>
            </w:pPr>
            <w:r>
              <w:rPr>
                <w:b/>
                <w:sz w:val="20"/>
              </w:rPr>
              <w:t>10</w:t>
            </w:r>
          </w:p>
        </w:tc>
        <w:tc>
          <w:tcPr>
            <w:tcW w:w="2690"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6,860,274</w:t>
            </w:r>
            <w:r>
              <w:rPr>
                <w:rFonts w:ascii="Times New Roman;Times;Serif" w:hAnsi="Times New Roman;Times;Serif"/>
                <w:b/>
                <w:i w:val="false"/>
                <w:caps w:val="false"/>
                <w:smallCaps w:val="false"/>
                <w:position w:val="7"/>
                <w:sz w:val="16"/>
                <w:sz w:val="20"/>
              </w:rPr>
              <w:t>1</w:t>
            </w:r>
          </w:p>
        </w:tc>
        <w:tc>
          <w:tcPr>
            <w:tcW w:w="7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tbl>
      <w:tblPr>
        <w:tblW w:w="8175" w:type="dxa"/>
        <w:jc w:val="left"/>
        <w:tblInd w:w="-15" w:type="dxa"/>
        <w:tblLayout w:type="fixed"/>
        <w:tblCellMar>
          <w:top w:w="0" w:type="dxa"/>
          <w:left w:w="108" w:type="dxa"/>
          <w:bottom w:w="108" w:type="dxa"/>
          <w:right w:w="108" w:type="dxa"/>
        </w:tblCellMar>
      </w:tblPr>
      <w:tblGrid>
        <w:gridCol w:w="245"/>
        <w:gridCol w:w="7685"/>
        <w:gridCol w:w="245"/>
      </w:tblGrid>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11</w:t>
            </w:r>
          </w:p>
        </w:tc>
        <w:tc>
          <w:tcPr>
            <w:tcW w:w="7685"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6,860,274</w:t>
            </w:r>
            <w:r>
              <w:rPr>
                <w:rFonts w:ascii="Times New Roman;Times;Serif" w:hAnsi="Times New Roman;Times;Serif"/>
                <w:b/>
                <w:i w:val="false"/>
                <w:caps w:val="false"/>
                <w:smallCaps w:val="false"/>
                <w:position w:val="7"/>
                <w:sz w:val="16"/>
                <w:sz w:val="20"/>
              </w:rPr>
              <w:t>1</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12</w:t>
            </w:r>
          </w:p>
        </w:tc>
        <w:tc>
          <w:tcPr>
            <w:tcW w:w="7685" w:type="dxa"/>
            <w:tcBorders>
              <w:bottom w:val="single" w:sz="12" w:space="0" w:color="000000"/>
            </w:tcBorders>
            <w:tcMar>
              <w:left w:w="0" w:type="dxa"/>
              <w:right w:w="0" w:type="dxa"/>
            </w:tcMar>
            <w:vAlign w:val="center"/>
          </w:tcPr>
          <w:p>
            <w:pPr>
              <w:pStyle w:val="TableContents"/>
              <w:bidi w:val="0"/>
              <w:jc w:val="left"/>
              <w:rPr>
                <w:sz w:val="20"/>
              </w:rPr>
            </w:pPr>
            <w:r>
              <w:rPr>
                <w:sz w:val="20"/>
              </w:rPr>
              <w:t>CHECK BOX IF THE AGGREGATE AMOUNT IN ROW (11) EXCLUDES CERTAIN SHARES</w:t>
            </w:r>
          </w:p>
          <w:p>
            <w:pPr>
              <w:pStyle w:val="TableContents"/>
              <w:bidi w:val="0"/>
              <w:spacing w:before="0" w:after="283"/>
              <w:jc w:val="left"/>
              <w:rPr/>
            </w:pPr>
            <w:r>
              <w:rPr/>
              <w:t> </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283"/>
              <w:jc w:val="left"/>
              <w:rPr/>
            </w:pPr>
            <w:r>
              <w:rPr/>
              <w:t>☐</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13</w:t>
            </w:r>
          </w:p>
        </w:tc>
        <w:tc>
          <w:tcPr>
            <w:tcW w:w="7685"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49.99%</w:t>
            </w:r>
            <w:r>
              <w:rPr>
                <w:rFonts w:ascii="Times New Roman;Times;Serif" w:hAnsi="Times New Roman;Times;Serif"/>
                <w:b/>
                <w:i w:val="false"/>
                <w:caps w:val="false"/>
                <w:smallCaps w:val="false"/>
                <w:position w:val="7"/>
                <w:sz w:val="16"/>
                <w:sz w:val="20"/>
              </w:rPr>
              <w:t>1</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left"/>
              <w:rPr>
                <w:b/>
                <w:sz w:val="20"/>
              </w:rPr>
            </w:pPr>
            <w:r>
              <w:rPr>
                <w:b/>
                <w:sz w:val="20"/>
              </w:rPr>
              <w:t>14</w:t>
            </w:r>
          </w:p>
        </w:tc>
        <w:tc>
          <w:tcPr>
            <w:tcW w:w="7685" w:type="dxa"/>
            <w:tcBorders>
              <w:bottom w:val="single" w:sz="1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w:t>
            </w:r>
          </w:p>
        </w:tc>
        <w:tc>
          <w:tcPr>
            <w:tcW w:w="245" w:type="dxa"/>
            <w:tcBorders>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7" w:type="dxa"/>
            <w:tcBorders/>
            <w:vAlign w:val="center"/>
          </w:tcPr>
          <w:p>
            <w:pPr>
              <w:pStyle w:val="TableContents"/>
              <w:bidi w:val="0"/>
              <w:spacing w:before="0" w:after="283"/>
              <w:jc w:val="both"/>
              <w:rPr/>
            </w:pPr>
            <w:r>
              <w:rPr/>
              <w:t>This amount includes (a) 666,699 shares of common stock acquired pursuant to the Purchase Agreement (as defined in Item 4); (b) 6,169,702 shares of common stock underlying warrants acquired pursuant to the Purchase Agreement, subject to a 49.99% beneficial ownership limitation; and (c) 23,873 shares of common stock underlying Award Stock (as defined in Item 4) acquired pursuant to the Purchase Agreement. The Note (as defined in Item 4) is not currently convertible and is not anticipated to be convertible within the next 60 days.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00" w:type="dxa"/>
        <w:jc w:val="left"/>
        <w:tblInd w:w="-15" w:type="dxa"/>
        <w:tblLayout w:type="fixed"/>
        <w:tblCellMar>
          <w:top w:w="40" w:type="dxa"/>
          <w:left w:w="108" w:type="dxa"/>
          <w:bottom w:w="40" w:type="dxa"/>
          <w:right w:w="108" w:type="dxa"/>
        </w:tblCellMar>
      </w:tblPr>
      <w:tblGrid>
        <w:gridCol w:w="1985"/>
        <w:gridCol w:w="365"/>
        <w:gridCol w:w="1550"/>
      </w:tblGrid>
      <w:tr>
        <w:trPr/>
        <w:tc>
          <w:tcPr>
            <w:tcW w:w="19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sz w:val="20"/>
              </w:rPr>
            </w:pPr>
            <w:r>
              <w:rPr>
                <w:sz w:val="20"/>
              </w:rPr>
              <w:t>CUSIP NO. 00853E 305</w:t>
            </w:r>
          </w:p>
        </w:tc>
        <w:tc>
          <w:tcPr>
            <w:tcW w:w="36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13D</w:t>
            </w:r>
          </w:p>
        </w:tc>
        <w:tc>
          <w:tcPr>
            <w:tcW w:w="15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sz w:val="20"/>
              </w:rPr>
            </w:pPr>
            <w:r>
              <w:rPr>
                <w:sz w:val="20"/>
              </w:rPr>
              <w:t xml:space="preserve">Page </w:t>
            </w:r>
            <w:r>
              <w:rPr>
                <w:rFonts w:ascii="Times New Roman;Times;Serif" w:hAnsi="Times New Roman;Times;Serif"/>
                <w:sz w:val="20"/>
              </w:rPr>
              <w:t>8</w:t>
            </w:r>
            <w:r>
              <w:rPr>
                <w:sz w:val="20"/>
              </w:rPr>
              <w:t xml:space="preserve"> of 12 Pages</w:t>
            </w:r>
          </w:p>
        </w:tc>
      </w:tr>
    </w:tbl>
    <w:p>
      <w:pPr>
        <w:pStyle w:val="TextBody"/>
        <w:bidi w:val="0"/>
        <w:spacing w:before="0" w:after="0"/>
        <w:jc w:val="left"/>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725"/>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b/>
              </w:rPr>
            </w:pPr>
            <w:r>
              <w:rPr>
                <w:b/>
              </w:rPr>
              <w:t>Item 1.</w:t>
            </w:r>
          </w:p>
        </w:tc>
        <w:tc>
          <w:tcPr>
            <w:tcW w:w="2000" w:type="dxa"/>
            <w:tcBorders/>
            <w:vAlign w:val="center"/>
          </w:tcPr>
          <w:p>
            <w:pPr>
              <w:pStyle w:val="TableContents"/>
              <w:bidi w:val="0"/>
              <w:spacing w:before="0" w:after="283"/>
              <w:jc w:val="both"/>
              <w:rPr>
                <w:b/>
              </w:rPr>
            </w:pPr>
            <w:r>
              <w:rPr>
                <w:b/>
              </w:rPr>
              <w:t>Security and Issuer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Schedule 13D relates to the common stock, $0.001 par value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of Agrify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The address of the principal executive offices of the Company is 2468 Industrial Row Dr., Troy, Michigan 48084.</w:t>
      </w:r>
    </w:p>
    <w:p>
      <w:pPr>
        <w:pStyle w:val="TextBody"/>
        <w:bidi w:val="0"/>
        <w:spacing w:before="0" w:after="0"/>
        <w:ind w:left="1440" w:right="0" w:hanging="1440"/>
        <w:jc w:val="both"/>
        <w:rPr>
          <w:caps w:val="false"/>
          <w:smallCaps w:val="false"/>
        </w:rPr>
      </w:pPr>
      <w:r>
        <w:rPr>
          <w:caps w:val="false"/>
          <w:smallCaps w:val="false"/>
        </w:rPr>
        <w:t> </w:t>
      </w:r>
    </w:p>
    <w:tbl>
      <w:tblPr>
        <w:tblW w:w="3378" w:type="dxa"/>
        <w:jc w:val="left"/>
        <w:tblInd w:w="0" w:type="dxa"/>
        <w:tblLayout w:type="fixed"/>
        <w:tblCellMar>
          <w:top w:w="0" w:type="dxa"/>
          <w:left w:w="0" w:type="dxa"/>
          <w:bottom w:w="0" w:type="dxa"/>
          <w:right w:w="0" w:type="dxa"/>
        </w:tblCellMar>
      </w:tblPr>
      <w:tblGrid>
        <w:gridCol w:w="38"/>
        <w:gridCol w:w="725"/>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both"/>
              <w:rPr>
                <w:b/>
              </w:rPr>
            </w:pPr>
            <w:r>
              <w:rPr>
                <w:b/>
              </w:rPr>
              <w:t>Item 2.</w:t>
            </w:r>
          </w:p>
        </w:tc>
        <w:tc>
          <w:tcPr>
            <w:tcW w:w="2615" w:type="dxa"/>
            <w:tcBorders/>
            <w:vAlign w:val="center"/>
          </w:tcPr>
          <w:p>
            <w:pPr>
              <w:pStyle w:val="TableContents"/>
              <w:bidi w:val="0"/>
              <w:spacing w:before="0" w:after="283"/>
              <w:jc w:val="both"/>
              <w:rPr>
                <w:b/>
              </w:rPr>
            </w:pPr>
            <w:r>
              <w:rPr>
                <w:b/>
              </w:rPr>
              <w:t>Identity and Background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both"/>
              <w:rPr/>
            </w:pPr>
            <w:r>
              <w:rPr/>
              <w:t>(a)</w:t>
            </w:r>
          </w:p>
        </w:tc>
        <w:tc>
          <w:tcPr>
            <w:tcW w:w="9962" w:type="dxa"/>
            <w:tcBorders/>
            <w:vAlign w:val="center"/>
          </w:tcPr>
          <w:p>
            <w:pPr>
              <w:pStyle w:val="TableContents"/>
              <w:bidi w:val="0"/>
              <w:spacing w:before="0" w:after="283"/>
              <w:jc w:val="both"/>
              <w:rPr/>
            </w:pPr>
            <w:r>
              <w:rPr/>
              <w:t>This Schedule 13D is being filed jointly by (1) RSLGH, LLC, a Delaware limited liability company (“</w:t>
            </w:r>
            <w:r>
              <w:rPr>
                <w:u w:val="single"/>
              </w:rPr>
              <w:t>RSLGH</w:t>
            </w:r>
            <w:r>
              <w:rPr/>
              <w:t>”); (2) Core Growth, LLC, a Delaware limited liability company and the sole member of RSLGH (“</w:t>
            </w:r>
            <w:r>
              <w:rPr>
                <w:u w:val="single"/>
              </w:rPr>
              <w:t>Core Growth</w:t>
            </w:r>
            <w:r>
              <w:rPr/>
              <w:t>”); (3) Wellness Mgmt, LLC, a California limited liability company and the sole member of Core Growth (“</w:t>
            </w:r>
            <w:r>
              <w:rPr>
                <w:u w:val="single"/>
              </w:rPr>
              <w:t>Wellness Mgmt</w:t>
            </w:r>
            <w:r>
              <w:rPr/>
              <w:t xml:space="preserve">”); (4) </w:t>
            </w:r>
            <w:r>
              <w:rPr>
                <w:rFonts w:ascii="Times New Roman;Times;Serif" w:hAnsi="Times New Roman;Times;Serif"/>
              </w:rPr>
              <w:t>For Success Holdings Company, a Delaware corporation and the sole member of Wellness Mgmt (“</w:t>
            </w:r>
            <w:r>
              <w:rPr>
                <w:rFonts w:ascii="Times New Roman;Times;Serif" w:hAnsi="Times New Roman;Times;Serif"/>
                <w:u w:val="single"/>
              </w:rPr>
              <w:t>For Success Holdings</w:t>
            </w:r>
            <w:r>
              <w:rPr>
                <w:rFonts w:ascii="Times New Roman;Times;Serif" w:hAnsi="Times New Roman;Times;Serif"/>
              </w:rPr>
              <w:t>”); (5) VCP23, LLC, a Delaware limited liability company and the sole shareholder of For Success Holdings (“</w:t>
            </w:r>
            <w:r>
              <w:rPr>
                <w:rFonts w:ascii="Times New Roman;Times;Serif" w:hAnsi="Times New Roman;Times;Serif"/>
                <w:u w:val="single"/>
              </w:rPr>
              <w:t>VCP23</w:t>
            </w:r>
            <w:r>
              <w:rPr>
                <w:rFonts w:ascii="Times New Roman;Times;Serif" w:hAnsi="Times New Roman;Times;Serif"/>
              </w:rPr>
              <w:t>”); (6) GTI23, Inc., a Delaware corporation and the sole member of VCP23 (“</w:t>
            </w:r>
            <w:r>
              <w:rPr>
                <w:rFonts w:ascii="Times New Roman;Times;Serif" w:hAnsi="Times New Roman;Times;Serif"/>
                <w:u w:val="single"/>
              </w:rPr>
              <w:t>GTI23</w:t>
            </w:r>
            <w:r>
              <w:rPr>
                <w:rFonts w:ascii="Times New Roman;Times;Serif" w:hAnsi="Times New Roman;Times;Serif"/>
              </w:rPr>
              <w:t>”);</w:t>
            </w:r>
            <w:r>
              <w:rPr/>
              <w:t xml:space="preserve"> and (7) Green Thumb Industries Inc., a British Columbia corporation and the sole shareholder of GTI23 (“</w:t>
            </w:r>
            <w:r>
              <w:rPr>
                <w:u w:val="single"/>
              </w:rPr>
              <w:t>GTI</w:t>
            </w:r>
            <w:r>
              <w:rPr/>
              <w:t>” or “</w:t>
            </w:r>
            <w:r>
              <w:rPr>
                <w:u w:val="single"/>
              </w:rPr>
              <w:t>Green Thumb</w:t>
            </w:r>
            <w:r>
              <w:rPr/>
              <w:t>”) (RSLGH, Core Growth, Wellness Mgmt, For Success Holdings, VCP23, GTI23 and GTI, collectively, the “</w:t>
            </w:r>
            <w:r>
              <w:rPr>
                <w:u w:val="single"/>
              </w:rPr>
              <w:t>Reporting Persons</w:t>
            </w:r>
            <w:r>
              <w:rPr/>
              <w:t xml:space="preserve">”). The joint filing agreement of the Reporting Persons is attached as </w:t>
            </w:r>
            <w:r>
              <w:rPr>
                <w:u w:val="single"/>
              </w:rPr>
              <w:t>Exhibit 99.1</w:t>
            </w:r>
            <w:r>
              <w:rPr/>
              <w:t xml:space="preserve"> to this Schedule 13D.</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information with respect to the identity and background of each executive officer and director of GTI, For Success Holdings and GTI23, see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attached hereto. The information required herein with respect to the respective executive officers and directors of GTI, For Success Holdings and GTI23, is provided to the best knowledge of the Reporting Persons.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both"/>
              <w:rPr/>
            </w:pPr>
            <w:r>
              <w:rPr/>
              <w:t>(b)</w:t>
            </w:r>
          </w:p>
        </w:tc>
        <w:tc>
          <w:tcPr>
            <w:tcW w:w="9888" w:type="dxa"/>
            <w:tcBorders/>
            <w:vAlign w:val="center"/>
          </w:tcPr>
          <w:p>
            <w:pPr>
              <w:pStyle w:val="TableContents"/>
              <w:bidi w:val="0"/>
              <w:spacing w:before="0" w:after="283"/>
              <w:jc w:val="both"/>
              <w:rPr/>
            </w:pPr>
            <w:r>
              <w:rPr/>
              <w:t>The principal business address of the Reporting Persons is 325 West Huron Street, Suite 700, Chicago, Illinois 60654.</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both"/>
              <w:rPr/>
            </w:pPr>
            <w:r>
              <w:rPr/>
              <w:t>(c)</w:t>
            </w:r>
          </w:p>
        </w:tc>
        <w:tc>
          <w:tcPr>
            <w:tcW w:w="9941" w:type="dxa"/>
            <w:tcBorders/>
            <w:vAlign w:val="center"/>
          </w:tcPr>
          <w:p>
            <w:pPr>
              <w:pStyle w:val="TableContents"/>
              <w:bidi w:val="0"/>
              <w:spacing w:before="0" w:after="283"/>
              <w:jc w:val="both"/>
              <w:rPr/>
            </w:pPr>
            <w:r>
              <w:rPr/>
              <w:t>GTI, through its subsidiaries, owns state-licensed medical and/or adult-use marijuana businesses in California, Connecticut, Florida, Illinois, Maryland, Massachusetts, Minnesota, Nevada, New Jersey, New York, Ohio, Pennsylvania, Rhode Island and Virginia.</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8"/>
        <w:gridCol w:w="9820"/>
      </w:tblGrid>
      <w:tr>
        <w:trPr/>
        <w:tc>
          <w:tcPr>
            <w:tcW w:w="3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both"/>
              <w:rPr/>
            </w:pPr>
            <w:r>
              <w:rPr/>
              <w:t>(d)-(e)</w:t>
            </w:r>
          </w:p>
        </w:tc>
        <w:tc>
          <w:tcPr>
            <w:tcW w:w="9820" w:type="dxa"/>
            <w:tcBorders/>
            <w:vAlign w:val="center"/>
          </w:tcPr>
          <w:p>
            <w:pPr>
              <w:pStyle w:val="TableContents"/>
              <w:bidi w:val="0"/>
              <w:spacing w:before="0" w:after="283"/>
              <w:jc w:val="both"/>
              <w:rPr/>
            </w:pPr>
            <w:r>
              <w:rPr/>
              <w:t>During the last five years, none of the Reporting Persons has (i) been convicted in a criminal proceeding (excluding traffic violations or similar misdemeanors) and (ii) has not been a party to a civil proceeding of a judicial or administrative body of competent jurisdiction and as a result of such proceedings was or is subject to a judgment, decree, or final order enjoining future violations of, or prohibiting or mandating activities subject to, federal or state securities laws or finding any violations with respect to such laws.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both"/>
              <w:rPr/>
            </w:pPr>
            <w:r>
              <w:rPr/>
              <w:t>(f)</w:t>
            </w:r>
          </w:p>
        </w:tc>
        <w:tc>
          <w:tcPr>
            <w:tcW w:w="9980" w:type="dxa"/>
            <w:tcBorders/>
            <w:vAlign w:val="center"/>
          </w:tcPr>
          <w:p>
            <w:pPr>
              <w:pStyle w:val="TableContents"/>
              <w:bidi w:val="0"/>
              <w:spacing w:before="0" w:after="283"/>
              <w:jc w:val="both"/>
              <w:rPr/>
            </w:pPr>
            <w:r>
              <w:rPr/>
              <w:t>The place of organization of RSLGH is Delaware. The place of organization of Core Growth is Delaware. The place of organization of Wellness Mgmt is California. The place of organization of For Success Holdings is Delaware. The place of organization of VCP23 is Delaware. The place of organization of GTI23 is Delaware. The place of organization of GTI is British Columbia.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00" w:type="dxa"/>
        <w:jc w:val="left"/>
        <w:tblInd w:w="-15" w:type="dxa"/>
        <w:tblLayout w:type="fixed"/>
        <w:tblCellMar>
          <w:top w:w="40" w:type="dxa"/>
          <w:left w:w="108" w:type="dxa"/>
          <w:bottom w:w="40" w:type="dxa"/>
          <w:right w:w="108" w:type="dxa"/>
        </w:tblCellMar>
      </w:tblPr>
      <w:tblGrid>
        <w:gridCol w:w="1985"/>
        <w:gridCol w:w="365"/>
        <w:gridCol w:w="1550"/>
      </w:tblGrid>
      <w:tr>
        <w:trPr/>
        <w:tc>
          <w:tcPr>
            <w:tcW w:w="19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sz w:val="20"/>
              </w:rPr>
            </w:pPr>
            <w:r>
              <w:rPr>
                <w:sz w:val="20"/>
              </w:rPr>
              <w:t>CUSIP NO. 00853E 305</w:t>
            </w:r>
          </w:p>
        </w:tc>
        <w:tc>
          <w:tcPr>
            <w:tcW w:w="36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13D</w:t>
            </w:r>
          </w:p>
        </w:tc>
        <w:tc>
          <w:tcPr>
            <w:tcW w:w="15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sz w:val="20"/>
              </w:rPr>
            </w:pPr>
            <w:r>
              <w:rPr>
                <w:sz w:val="20"/>
              </w:rPr>
              <w:t xml:space="preserve">Page </w:t>
            </w:r>
            <w:r>
              <w:rPr>
                <w:rFonts w:ascii="Times New Roman;Times;Serif" w:hAnsi="Times New Roman;Times;Serif"/>
                <w:sz w:val="20"/>
              </w:rPr>
              <w:t>9</w:t>
            </w:r>
            <w:r>
              <w:rPr>
                <w:sz w:val="20"/>
              </w:rPr>
              <w:t xml:space="preserve"> of 12 Pages</w:t>
            </w:r>
          </w:p>
        </w:tc>
      </w:tr>
    </w:tbl>
    <w:p>
      <w:pPr>
        <w:pStyle w:val="TextBody"/>
        <w:bidi w:val="0"/>
        <w:spacing w:before="0" w:after="0"/>
        <w:ind w:left="0" w:right="0" w:hanging="0"/>
        <w:jc w:val="left"/>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725"/>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b/>
              </w:rPr>
            </w:pPr>
            <w:r>
              <w:rPr>
                <w:b/>
              </w:rPr>
              <w:t>Item 3.</w:t>
            </w:r>
          </w:p>
        </w:tc>
        <w:tc>
          <w:tcPr>
            <w:tcW w:w="5495" w:type="dxa"/>
            <w:tcBorders/>
            <w:vAlign w:val="center"/>
          </w:tcPr>
          <w:p>
            <w:pPr>
              <w:pStyle w:val="TableContents"/>
              <w:bidi w:val="0"/>
              <w:spacing w:before="0" w:after="283"/>
              <w:jc w:val="left"/>
              <w:rPr>
                <w:b/>
              </w:rPr>
            </w:pPr>
            <w:r>
              <w:rPr>
                <w:b/>
              </w:rPr>
              <w:t>Source and Amount of Funds or Other Consideration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aggregate, the Reporting Persons are deemed to have voting and dispositive power over </w:t>
      </w:r>
      <w:r>
        <w:rPr>
          <w:rFonts w:ascii="Times New Roman;Times;Serif" w:hAnsi="Times New Roman;Times;Serif"/>
          <w:b w:val="false"/>
          <w:i w:val="false"/>
          <w:caps w:val="false"/>
          <w:smallCaps w:val="false"/>
          <w:sz w:val="20"/>
          <w:shd w:fill="FFFFFF" w:val="clear"/>
        </w:rPr>
        <w:t>6,860,274</w:t>
      </w:r>
      <w:r>
        <w:rPr>
          <w:rFonts w:ascii="Times New Roman;Times;Serif" w:hAnsi="Times New Roman;Times;Serif"/>
          <w:b w:val="false"/>
          <w:i w:val="false"/>
          <w:caps w:val="false"/>
          <w:smallCaps w:val="false"/>
          <w:sz w:val="20"/>
        </w:rPr>
        <w:t xml:space="preserve"> shares of Common Stock of the Company, for the Purchase Price (as defined in Item 4). The Purchase Price was paid out of the working capital of GTI.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filing, the Reporting Persons have no margin or other loans outstanding secured by Common Stock.</w:t>
      </w:r>
    </w:p>
    <w:p>
      <w:pPr>
        <w:pStyle w:val="TextBody"/>
        <w:bidi w:val="0"/>
        <w:spacing w:before="0" w:after="0"/>
        <w:ind w:left="1440" w:right="0" w:hanging="1440"/>
        <w:jc w:val="both"/>
        <w:rPr>
          <w:caps w:val="false"/>
          <w:smallCaps w:val="false"/>
        </w:rPr>
      </w:pPr>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38"/>
        <w:gridCol w:w="725"/>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both"/>
              <w:rPr>
                <w:b/>
              </w:rPr>
            </w:pPr>
            <w:r>
              <w:rPr>
                <w:b/>
              </w:rPr>
              <w:t>Item 4.</w:t>
            </w:r>
          </w:p>
        </w:tc>
        <w:tc>
          <w:tcPr>
            <w:tcW w:w="2420" w:type="dxa"/>
            <w:tcBorders/>
            <w:vAlign w:val="center"/>
          </w:tcPr>
          <w:p>
            <w:pPr>
              <w:pStyle w:val="TableContents"/>
              <w:bidi w:val="0"/>
              <w:spacing w:before="0" w:after="283"/>
              <w:jc w:val="both"/>
              <w:rPr>
                <w:b/>
              </w:rPr>
            </w:pPr>
            <w:r>
              <w:rPr>
                <w:b/>
              </w:rPr>
              <w:t>Purpose of Transaction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the Reporting Persons’ initial Schedule 13D.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RSLGH (sometimes referred to herein as the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a subsidiary of Green Thumb, entered into that certain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November 5, 2024, with Raymond Chang (individually, and as the representative of the Sellers (as defined herein)), Chinwei Wang, I-Tseng Jenny Chan, CP Acquisitions, GIC Acquisition LLC (“</w:t>
      </w:r>
      <w:r>
        <w:rPr>
          <w:rFonts w:ascii="Times New Roman;Times;Serif" w:hAnsi="Times New Roman;Times;Serif"/>
          <w:b w:val="false"/>
          <w:i w:val="false"/>
          <w:caps w:val="false"/>
          <w:smallCaps w:val="false"/>
          <w:sz w:val="20"/>
          <w:u w:val="single"/>
        </w:rPr>
        <w:t>GIC</w:t>
      </w:r>
      <w:r>
        <w:rPr>
          <w:rFonts w:ascii="Times New Roman;Times;Serif" w:hAnsi="Times New Roman;Times;Serif"/>
          <w:b w:val="false"/>
          <w:i w:val="false"/>
          <w:caps w:val="false"/>
          <w:smallCaps w:val="false"/>
          <w:sz w:val="20"/>
        </w:rPr>
        <w:t>”), the RTC3 2020 Irrevocable Trust (“</w:t>
      </w:r>
      <w:r>
        <w:rPr>
          <w:rFonts w:ascii="Times New Roman;Times;Serif" w:hAnsi="Times New Roman;Times;Serif"/>
          <w:b w:val="false"/>
          <w:i w:val="false"/>
          <w:caps w:val="false"/>
          <w:smallCaps w:val="false"/>
          <w:sz w:val="20"/>
          <w:u w:val="single"/>
        </w:rPr>
        <w:t>RTC</w:t>
      </w:r>
      <w:r>
        <w:rPr>
          <w:rFonts w:ascii="Times New Roman;Times;Serif" w:hAnsi="Times New Roman;Times;Serif"/>
          <w:b w:val="false"/>
          <w:i w:val="false"/>
          <w:caps w:val="false"/>
          <w:smallCaps w:val="false"/>
          <w:sz w:val="20"/>
        </w:rPr>
        <w:t>”), M Zion Capital, LLC, M Olivet Capital, LLC and M Cannan Capital, LLC (collectively, the “</w:t>
      </w:r>
      <w:r>
        <w:rPr>
          <w:rFonts w:ascii="Times New Roman;Times;Serif" w:hAnsi="Times New Roman;Times;Serif"/>
          <w:b w:val="false"/>
          <w:i w:val="false"/>
          <w:caps w:val="false"/>
          <w:smallCaps w:val="false"/>
          <w:sz w:val="20"/>
          <w:u w:val="single"/>
        </w:rPr>
        <w:t>Sellers</w:t>
      </w:r>
      <w:r>
        <w:rPr>
          <w:rFonts w:ascii="Times New Roman;Times;Serif" w:hAnsi="Times New Roman;Times;Serif"/>
          <w:b w:val="false"/>
          <w:i w:val="false"/>
          <w:caps w:val="false"/>
          <w:smallCaps w:val="false"/>
          <w:sz w:val="20"/>
        </w:rPr>
        <w:t>”) to purchase Common Stock and warrants to purchase Common Stock held by the Sellers (collectively, the “</w:t>
      </w:r>
      <w:r>
        <w:rPr>
          <w:rFonts w:ascii="Times New Roman;Times;Serif" w:hAnsi="Times New Roman;Times;Serif"/>
          <w:b w:val="false"/>
          <w:i w:val="false"/>
          <w:caps w:val="false"/>
          <w:smallCaps w:val="false"/>
          <w:sz w:val="20"/>
          <w:u w:val="single"/>
        </w:rPr>
        <w:t>Sellers Equity</w:t>
      </w:r>
      <w:r>
        <w:rPr>
          <w:rFonts w:ascii="Times New Roman;Times;Serif" w:hAnsi="Times New Roman;Times;Serif"/>
          <w:b w:val="false"/>
          <w:i w:val="false"/>
          <w:caps w:val="false"/>
          <w:smallCaps w:val="false"/>
          <w:sz w:val="20"/>
        </w:rPr>
        <w:t>”). The Company was not a party to the Purchase Agreement. Specifically, the following shares of Common Stock were transferred to the Purchase Agreement:</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0"/>
        <w:gridCol w:w="9936"/>
      </w:tblGrid>
      <w:tr>
        <w:trPr/>
        <w:tc>
          <w:tcPr>
            <w:tcW w:w="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both"/>
              <w:rPr/>
            </w:pPr>
            <w:r>
              <w:rPr/>
              <w:t>●</w:t>
            </w:r>
          </w:p>
        </w:tc>
        <w:tc>
          <w:tcPr>
            <w:tcW w:w="99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Mr. Chang, individually, transferred 38 shares of Common Stock to the Investor;</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46"/>
        <w:gridCol w:w="207"/>
        <w:gridCol w:w="9952"/>
      </w:tblGrid>
      <w:tr>
        <w:trPr/>
        <w:tc>
          <w:tcPr>
            <w:tcW w:w="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pPr>
            <w:r>
              <w:rPr/>
              <w:t>●</w:t>
            </w:r>
          </w:p>
        </w:tc>
        <w:tc>
          <w:tcPr>
            <w:tcW w:w="995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Ms. Wang, individually, transferred 105,263 shares of Common Stock to the Investor;</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59"/>
        <w:gridCol w:w="265"/>
        <w:gridCol w:w="9881"/>
      </w:tblGrid>
      <w:tr>
        <w:trPr/>
        <w:tc>
          <w:tcPr>
            <w:tcW w:w="5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both"/>
              <w:rPr/>
            </w:pPr>
            <w:r>
              <w:rPr/>
              <w:t>●</w:t>
            </w:r>
          </w:p>
        </w:tc>
        <w:tc>
          <w:tcPr>
            <w:tcW w:w="988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RTC transferred 357,410 shares of Common Stock to the Investor;</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48"/>
        <w:gridCol w:w="217"/>
        <w:gridCol w:w="9940"/>
      </w:tblGrid>
      <w:tr>
        <w:trPr/>
        <w:tc>
          <w:tcPr>
            <w:tcW w:w="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both"/>
              <w:rPr/>
            </w:pPr>
            <w:r>
              <w:rPr/>
              <w:t>●</w:t>
            </w:r>
          </w:p>
        </w:tc>
        <w:tc>
          <w:tcPr>
            <w:tcW w:w="9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 Zion Capital, LLC transferred 67,996 shares of Common Stock to the Investor;</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47"/>
        <w:gridCol w:w="214"/>
        <w:gridCol w:w="9944"/>
      </w:tblGrid>
      <w:tr>
        <w:trPr/>
        <w:tc>
          <w:tcPr>
            <w:tcW w:w="4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both"/>
              <w:rPr/>
            </w:pPr>
            <w:r>
              <w:rPr/>
              <w:t>●</w:t>
            </w:r>
          </w:p>
        </w:tc>
        <w:tc>
          <w:tcPr>
            <w:tcW w:w="994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 Olivet Capital, LLC transferred 67,996 shares of Common Stock to the Investor;</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46"/>
        <w:gridCol w:w="210"/>
        <w:gridCol w:w="9949"/>
      </w:tblGrid>
      <w:tr>
        <w:trPr/>
        <w:tc>
          <w:tcPr>
            <w:tcW w:w="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both"/>
              <w:rPr/>
            </w:pPr>
            <w:r>
              <w:rPr/>
              <w:t>●</w:t>
            </w:r>
          </w:p>
        </w:tc>
        <w:tc>
          <w:tcPr>
            <w:tcW w:w="994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 Cannan Capital, LLC transferred 67,996 shares of Common Stock to the Investor;</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RTC assigned warrants to purchase 15,417 shares of Common Stock held by RTC, subject to a 9.99% beneficial ownership limitation, to the Investor;</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GIC assigned pre-funded warrants to purchase 1,085,123 shares of Common Stock held by GIC, as amended by that certain Amendment to Pre-Funded Common Stock Purchase Warrant, dated August 28, 2024, by and between the Issuer and GIC, subject to a 49.99% beneficial ownership limitation; and</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CP Acquisitions assigned warrants to purchase 5,069,162 shares of Common Stock held by CP Acquisitions, </w:t>
            </w:r>
            <w:r>
              <w:rPr/>
              <w:t>subject to a 49.99% beneficial ownership limitation, to the Investor.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exchange for the Sellers Equity, subject to the other terms and conditions in the Purchase Agreement, the Investor paid the Sellers $18,280,000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comprised of a combination of cash and subordinate voting shares of Green Thumb as payment, in three tranches.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any Seller holds any restricted stock units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 or stock options (“</w:t>
      </w:r>
      <w:r>
        <w:rPr>
          <w:rFonts w:ascii="Times New Roman;Times;Serif" w:hAnsi="Times New Roman;Times;Serif"/>
          <w:b w:val="false"/>
          <w:i w:val="false"/>
          <w:caps w:val="false"/>
          <w:smallCaps w:val="false"/>
          <w:sz w:val="20"/>
          <w:u w:val="single"/>
        </w:rPr>
        <w:t>Stock Options</w:t>
      </w:r>
      <w:r>
        <w:rPr>
          <w:rFonts w:ascii="Times New Roman;Times;Serif" w:hAnsi="Times New Roman;Times;Serif"/>
          <w:b w:val="false"/>
          <w:i w:val="false"/>
          <w:caps w:val="false"/>
          <w:smallCaps w:val="false"/>
          <w:sz w:val="20"/>
        </w:rPr>
        <w:t>”) of the Issuer granted under any equity incentive plan of the Issuer or otherwise (the “</w:t>
      </w:r>
      <w:r>
        <w:rPr>
          <w:rFonts w:ascii="Times New Roman;Times;Serif" w:hAnsi="Times New Roman;Times;Serif"/>
          <w:b w:val="false"/>
          <w:i w:val="false"/>
          <w:caps w:val="false"/>
          <w:smallCaps w:val="false"/>
          <w:sz w:val="20"/>
          <w:u w:val="single"/>
        </w:rPr>
        <w:t>Equity Awards</w:t>
      </w:r>
      <w:r>
        <w:rPr>
          <w:rFonts w:ascii="Times New Roman;Times;Serif" w:hAnsi="Times New Roman;Times;Serif"/>
          <w:b w:val="false"/>
          <w:i w:val="false"/>
          <w:caps w:val="false"/>
          <w:smallCaps w:val="false"/>
          <w:sz w:val="20"/>
        </w:rPr>
        <w:t>” and the Common Stock of the Issuer underlying such Equity Awards, the “</w:t>
      </w:r>
      <w:r>
        <w:rPr>
          <w:rFonts w:ascii="Times New Roman;Times;Serif" w:hAnsi="Times New Roman;Times;Serif"/>
          <w:b w:val="false"/>
          <w:i w:val="false"/>
          <w:caps w:val="false"/>
          <w:smallCaps w:val="false"/>
          <w:sz w:val="20"/>
          <w:u w:val="single"/>
        </w:rPr>
        <w:t>Award Stock</w:t>
      </w:r>
      <w:r>
        <w:rPr>
          <w:rFonts w:ascii="Times New Roman;Times;Serif" w:hAnsi="Times New Roman;Times;Serif"/>
          <w:b w:val="false"/>
          <w:i w:val="false"/>
          <w:caps w:val="false"/>
          <w:smallCaps w:val="false"/>
          <w:sz w:val="20"/>
        </w:rPr>
        <w:t>”), such Seller agreed to the following: (i) to promptly transfer the Award Stock to the Investor promptly upon receipt of such Award Stock, (ii) to not sell, assign, encumber or in any other way transfer any of the Award Stock except to the Investor, and (iii) to not exercise any Stock Options unless in connection with transferring the resulting Award Stock to the Issuer with the consent of the Issuer. The Sellers agreed that the Purchase Price constitutes in part consideration for the Award Stock and no further consideration from the Issuer shall be paid in exchange for the Award Stock. There are 23,873 shares of Common Stock subject to Award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4005" w:type="dxa"/>
        <w:jc w:val="left"/>
        <w:tblInd w:w="-15" w:type="dxa"/>
        <w:tblLayout w:type="fixed"/>
        <w:tblCellMar>
          <w:top w:w="40" w:type="dxa"/>
          <w:left w:w="108" w:type="dxa"/>
          <w:bottom w:w="40" w:type="dxa"/>
          <w:right w:w="108" w:type="dxa"/>
        </w:tblCellMar>
      </w:tblPr>
      <w:tblGrid>
        <w:gridCol w:w="1985"/>
        <w:gridCol w:w="365"/>
        <w:gridCol w:w="1655"/>
      </w:tblGrid>
      <w:tr>
        <w:trPr/>
        <w:tc>
          <w:tcPr>
            <w:tcW w:w="19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sz w:val="20"/>
              </w:rPr>
            </w:pPr>
            <w:r>
              <w:rPr>
                <w:sz w:val="20"/>
              </w:rPr>
              <w:t>CUSIP NO. 00853E 305</w:t>
            </w:r>
          </w:p>
        </w:tc>
        <w:tc>
          <w:tcPr>
            <w:tcW w:w="36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13D</w:t>
            </w:r>
          </w:p>
        </w:tc>
        <w:tc>
          <w:tcPr>
            <w:tcW w:w="165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sz w:val="20"/>
              </w:rPr>
            </w:pPr>
            <w:r>
              <w:rPr>
                <w:sz w:val="20"/>
              </w:rPr>
              <w:t xml:space="preserve">Page </w:t>
            </w:r>
            <w:r>
              <w:rPr>
                <w:rFonts w:ascii="Times New Roman;Times;Serif" w:hAnsi="Times New Roman;Times;Serif"/>
                <w:sz w:val="20"/>
              </w:rPr>
              <w:t>10</w:t>
            </w:r>
            <w:r>
              <w:rPr>
                <w:sz w:val="20"/>
              </w:rPr>
              <w:t xml:space="preserve"> of 12 Pages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includes customary indemnification, limitations of liability, and representations and warranties. The foregoing summary of the Purchase Agreement does not purport to be complete</w:t>
      </w:r>
      <w:r>
        <w:rPr>
          <w:rFonts w:ascii="Times New Roman;Times;Serif" w:hAnsi="Times New Roman;Times;Serif"/>
          <w:b w:val="false"/>
          <w:i w:val="false"/>
          <w:caps w:val="false"/>
          <w:smallCaps w:val="false"/>
          <w:sz w:val="20"/>
          <w:shd w:fill="FFFFFF" w:val="clear"/>
        </w:rPr>
        <w:t xml:space="preserve">, and is qualified in its entirety by reference to a copy of the Purchase Agreement that is filed as </w:t>
      </w:r>
      <w:r>
        <w:rPr>
          <w:rFonts w:ascii="Times New Roman;Times;Serif" w:hAnsi="Times New Roman;Times;Serif"/>
          <w:b w:val="false"/>
          <w:i w:val="false"/>
          <w:caps w:val="false"/>
          <w:smallCaps w:val="false"/>
          <w:sz w:val="20"/>
          <w:u w:val="single"/>
          <w:shd w:fill="FFFFFF" w:val="clear"/>
        </w:rPr>
        <w:t>Exhibit 99.2</w:t>
      </w:r>
      <w:r>
        <w:rPr>
          <w:rFonts w:ascii="Times New Roman;Times;Serif" w:hAnsi="Times New Roman;Times;Serif"/>
          <w:b w:val="false"/>
          <w:i w:val="false"/>
          <w:caps w:val="false"/>
          <w:smallCaps w:val="false"/>
          <w:sz w:val="20"/>
          <w:shd w:fill="FFFFFF" w:val="clear"/>
        </w:rPr>
        <w:t xml:space="preserv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November 5, 2024, the Company issued a Secured Convertible Note (the “</w:t>
      </w:r>
      <w:r>
        <w:rPr>
          <w:rFonts w:ascii="Times New Roman;Times;Serif" w:hAnsi="Times New Roman;Times;Serif"/>
          <w:b w:val="false"/>
          <w:i w:val="false"/>
          <w:caps w:val="false"/>
          <w:smallCaps w:val="false"/>
          <w:sz w:val="20"/>
          <w:u w:val="single"/>
          <w:shd w:fill="FFFFFF" w:val="clear"/>
        </w:rPr>
        <w:t>Note</w:t>
      </w:r>
      <w:r>
        <w:rPr>
          <w:rFonts w:ascii="Times New Roman;Times;Serif" w:hAnsi="Times New Roman;Times;Serif"/>
          <w:b w:val="false"/>
          <w:i w:val="false"/>
          <w:caps w:val="false"/>
          <w:smallCaps w:val="false"/>
          <w:sz w:val="20"/>
          <w:shd w:fill="FFFFFF" w:val="clear"/>
        </w:rPr>
        <w:t>”) to RSLGH, a subsidiary of Green Thumb. The Note is a secured obligation of the Company and will rank senior to all indebtedness of the Company except for certain indebtedness set forth in the Note. The Note will mature on November 5, 2025 (the “</w:t>
      </w:r>
      <w:r>
        <w:rPr>
          <w:rFonts w:ascii="Times New Roman;Times;Serif" w:hAnsi="Times New Roman;Times;Serif"/>
          <w:b w:val="false"/>
          <w:i w:val="false"/>
          <w:caps w:val="false"/>
          <w:smallCaps w:val="false"/>
          <w:sz w:val="20"/>
          <w:u w:val="single"/>
          <w:shd w:fill="FFFFFF" w:val="clear"/>
        </w:rPr>
        <w:t>Maturity Date</w:t>
      </w:r>
      <w:r>
        <w:rPr>
          <w:rFonts w:ascii="Times New Roman;Times;Serif" w:hAnsi="Times New Roman;Times;Serif"/>
          <w:b w:val="false"/>
          <w:i w:val="false"/>
          <w:caps w:val="false"/>
          <w:smallCaps w:val="false"/>
          <w:sz w:val="20"/>
          <w:shd w:fill="FFFFFF" w:val="clear"/>
        </w:rPr>
        <w:t>”) and contains a 10.0% annualized interest rate, with interest to be paid on the first calendar day of each September and March while the Note is outstanding, in cash, beginning January 1, 2025. The principal amount of the Note will be payable on the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Note imposes certain customary affirmative and negative covenants upon the Company, including covenants relating to corporate existence, indebtedness, liens, distributions, affiliate transactions, and issuance of other notes. If an event of default under the Note occurs, the Investor can elect to redeem the Note for cash equal to the then-outstanding principal amount of the Note (or such lesser principal amount accelerated by the Investor), plus accrued and unpaid interest, including default interest, which accrues at a rate per annum equal to 14% from the date of a default or event of default, or, only in connection with certain 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the Investor elects to convert the Note, the conversion price per share will be $3.158, subject to customary adjustments for certain corporate events, and the largest number of shares of Common Stock for which the conversion could be exercised is 6,333,122 shares. The conversion of the Note will be subject to certain customary conditions and the receipt of stockholder approval to the extent necessary under Nasdaq listing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RSLGH is not entitled to convert any portion of the Note, as the Company has not obtained the approval of the shareholders of the Company for such conversion in accordance with Listing Rule 5635(b) and 5635(d) of The Nasdaq Stock Market, Inc. Such approval is not anticipated to be obtained within 60 days of the filing of this Schedule 13D.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foregoing summary of the Note does not purport to be complete, and is qualified in its entirety by reference to a copy of the Note that is filed as </w:t>
      </w:r>
      <w:r>
        <w:rPr>
          <w:rFonts w:ascii="Times New Roman;Times;Serif" w:hAnsi="Times New Roman;Times;Serif"/>
          <w:b w:val="false"/>
          <w:i w:val="false"/>
          <w:caps w:val="false"/>
          <w:smallCaps w:val="false"/>
          <w:sz w:val="20"/>
          <w:u w:val="single"/>
          <w:shd w:fill="FFFFFF" w:val="clear"/>
        </w:rPr>
        <w:t>Exhibit 99.3</w:t>
      </w:r>
      <w:r>
        <w:rPr>
          <w:rFonts w:ascii="Times New Roman;Times;Serif" w:hAnsi="Times New Roman;Times;Serif"/>
          <w:b w:val="false"/>
          <w:i w:val="false"/>
          <w:caps w:val="false"/>
          <w:smallCaps w:val="false"/>
          <w:sz w:val="20"/>
          <w:shd w:fill="FFFFFF" w:val="clear"/>
        </w:rPr>
        <w:t xml:space="preserve"> hereto.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and Chief Executive Officer Changes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2024, immediately following the issuance of the Note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Raymond Chang resigned as a member of the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of the Company and any subsidiaries and as President and Chief Executive Officer of the Company, and I-Tseng Jenny Chan resigned as a member of the Board. Mr. Chang’s and Ms. Chan’s resignations did not result from any disagreement regarding the Company’s operations, policies or practices.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the Board appointed Benjamin Kovler as a member of the Board and Chairman and appointed Armon Vakili and Richard Drexler as members of the Board.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005" w:type="dxa"/>
        <w:jc w:val="left"/>
        <w:tblInd w:w="-15" w:type="dxa"/>
        <w:tblLayout w:type="fixed"/>
        <w:tblCellMar>
          <w:top w:w="40" w:type="dxa"/>
          <w:left w:w="108" w:type="dxa"/>
          <w:bottom w:w="40" w:type="dxa"/>
          <w:right w:w="108" w:type="dxa"/>
        </w:tblCellMar>
      </w:tblPr>
      <w:tblGrid>
        <w:gridCol w:w="1985"/>
        <w:gridCol w:w="365"/>
        <w:gridCol w:w="1655"/>
      </w:tblGrid>
      <w:tr>
        <w:trPr/>
        <w:tc>
          <w:tcPr>
            <w:tcW w:w="19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sz w:val="20"/>
              </w:rPr>
            </w:pPr>
            <w:r>
              <w:rPr>
                <w:sz w:val="20"/>
              </w:rPr>
              <w:t>CUSIP NO. 00853E 305</w:t>
            </w:r>
          </w:p>
        </w:tc>
        <w:tc>
          <w:tcPr>
            <w:tcW w:w="36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13D</w:t>
            </w:r>
          </w:p>
        </w:tc>
        <w:tc>
          <w:tcPr>
            <w:tcW w:w="165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sz w:val="20"/>
              </w:rPr>
            </w:pPr>
            <w:r>
              <w:rPr>
                <w:sz w:val="20"/>
              </w:rPr>
              <w:t>Page 11 of 12 Pages</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pursuant to the Purchase Agreement, to which the Company was not a party, there are no arrangements or understandings between Mr. Kovler, Mr. Vakili or Mr. Drexler and any other person pursuant to which they were appointed as directors of the Company, and there are no family relationships between Mr. Kovler, Mr. Vakili or Mr. Drexler and any director or executive officer of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the Effective Time, the Company appointed Benjamin Kovler as its Interim Chief Executive Officer. In this capacity, Mr. Kovler will also serve as principal executive, financial and accounting officer. He will also carry the titles of President, Secretary and Treasurer.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actions described herein may be deemed to constitute a “control purpose” with respect to the Securities Exchange Act of 1934, as amended, and the regulations thereunder, the Reporting Persons have such a purpose. Except as noted in this Schedule 13D, the Reporting Persons do not have any plans or proposals, which relate to, or would result in, any of the matters referred to in paragraphs (b) through (j), inclusive of Item (4) of Schedule 13D. The Reporting Persons may, at any time and from time to time, review or reconsider their positions and formulate plans or proposals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various factors including, without limitation, the Issuer’s financial position and investment strategy, the price levels of the Common Stock,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board of directors of the Issuer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engaging in discussions with stockholders of the Issuer or other third parties about the Issuer and the Reporting Persons’ investment, including potential business combinations or dispositions involving the Issuer or certain of its businesses, making recommendations or proposals to the Issuer concerning changes to the capitalization of the Issuer, ownership structure, Board structure (including Board composition), potential business combinations or dispositions involving the Issuer or certain of its businesses, or suggestions for improving the Issuer’s financial and/or operational performance, purchasing additional shares securities of the Issuer, and/or selling some or all of the Investors securities in the Issuer.</w:t>
      </w:r>
    </w:p>
    <w:p>
      <w:pPr>
        <w:pStyle w:val="TextBody"/>
        <w:bidi w:val="0"/>
        <w:spacing w:before="0" w:after="0"/>
        <w:ind w:left="1440" w:right="0" w:hanging="144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725"/>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both"/>
              <w:rPr>
                <w:b/>
              </w:rPr>
            </w:pPr>
            <w:r>
              <w:rPr>
                <w:b/>
              </w:rPr>
              <w:t>Item 5.</w:t>
            </w:r>
          </w:p>
        </w:tc>
        <w:tc>
          <w:tcPr>
            <w:tcW w:w="3800" w:type="dxa"/>
            <w:tcBorders/>
            <w:vAlign w:val="center"/>
          </w:tcPr>
          <w:p>
            <w:pPr>
              <w:pStyle w:val="TableContents"/>
              <w:bidi w:val="0"/>
              <w:spacing w:before="0" w:after="283"/>
              <w:jc w:val="both"/>
              <w:rPr>
                <w:b/>
              </w:rPr>
            </w:pPr>
            <w:r>
              <w:rPr>
                <w:b/>
              </w:rPr>
              <w:t>Interest in Securities of the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percentages used in this Schedule 13D are calculated based on 1,331,539 shares of Common Stock outstanding as of October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Core Growth is the sole member of RSLGH, Wellness Mgmt is the sole member of Core Growth, For Success Holdings is the sole member of Wellness Mgmt, VCP23 is the sole shareholder of For Success Holdings, GTI23 is the sole member of VCP23, and GTI is the sole shareholder of GTI23 (collectively, other than RSLGH, the “</w:t>
      </w:r>
      <w:r>
        <w:rPr>
          <w:rFonts w:ascii="Times New Roman;Times;Serif" w:hAnsi="Times New Roman;Times;Serif"/>
          <w:b w:val="false"/>
          <w:i w:val="false"/>
          <w:caps w:val="false"/>
          <w:smallCaps w:val="false"/>
          <w:sz w:val="20"/>
          <w:u w:val="single"/>
        </w:rPr>
        <w:t>GTI Parties</w:t>
      </w:r>
      <w:r>
        <w:rPr>
          <w:rFonts w:ascii="Times New Roman;Times;Serif" w:hAnsi="Times New Roman;Times;Serif"/>
          <w:b w:val="false"/>
          <w:i w:val="false"/>
          <w:caps w:val="false"/>
          <w:smallCaps w:val="false"/>
          <w:sz w:val="20"/>
        </w:rPr>
        <w:t>”), the GTI Parties are deemed to share the voting and dispositive power over the shares of Common Stock owned by RSLGH.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Persons have not made any transactions in the Common Stock within the past 60 days other than as provided in Item 4 above.</w:t>
      </w:r>
    </w:p>
    <w:p>
      <w:pPr>
        <w:pStyle w:val="TextBody"/>
        <w:bidi w:val="0"/>
        <w:spacing w:before="0" w:after="0"/>
        <w:ind w:left="1440" w:right="0" w:hanging="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99"/>
        <w:gridCol w:w="9468"/>
      </w:tblGrid>
      <w:tr>
        <w:trPr/>
        <w:tc>
          <w:tcPr>
            <w:tcW w:w="3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b/>
              </w:rPr>
            </w:pPr>
            <w:r>
              <w:rPr>
                <w:b/>
              </w:rPr>
              <w:t>Item 6.</w:t>
            </w:r>
          </w:p>
        </w:tc>
        <w:tc>
          <w:tcPr>
            <w:tcW w:w="9468" w:type="dxa"/>
            <w:tcBorders/>
            <w:vAlign w:val="center"/>
          </w:tcPr>
          <w:p>
            <w:pPr>
              <w:pStyle w:val="TableContents"/>
              <w:bidi w:val="0"/>
              <w:spacing w:before="0" w:after="283"/>
              <w:jc w:val="left"/>
              <w:rPr>
                <w:b/>
              </w:rPr>
            </w:pPr>
            <w:r>
              <w:rPr>
                <w:b/>
              </w:rPr>
              <w:t>Contracts, Arrangements, Understandings or Relationships with Respect to Securities of the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disclosure in Item 4 and Item 5 above, which is incorporated into this Item 6, and see the joint filing agreement of the Reporting Persons.</w:t>
      </w:r>
    </w:p>
    <w:p>
      <w:pPr>
        <w:pStyle w:val="TextBody"/>
        <w:bidi w:val="0"/>
        <w:spacing w:before="0" w:after="0"/>
        <w:ind w:left="1440" w:right="0" w:hanging="144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725"/>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b/>
              </w:rPr>
            </w:pPr>
            <w:r>
              <w:rPr>
                <w:b/>
              </w:rPr>
              <w:t>Item 7.</w:t>
            </w:r>
          </w:p>
        </w:tc>
        <w:tc>
          <w:tcPr>
            <w:tcW w:w="3200" w:type="dxa"/>
            <w:tcBorders/>
            <w:vAlign w:val="center"/>
          </w:tcPr>
          <w:p>
            <w:pPr>
              <w:pStyle w:val="TableContents"/>
              <w:bidi w:val="0"/>
              <w:spacing w:before="0" w:after="283"/>
              <w:jc w:val="left"/>
              <w:rPr>
                <w:b/>
              </w:rPr>
            </w:pPr>
            <w:r>
              <w:rPr>
                <w:b/>
              </w:rPr>
              <w:t>Material to be Filed as Exhibits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782"/>
        <w:gridCol w:w="60"/>
        <w:gridCol w:w="9363"/>
      </w:tblGrid>
      <w:tr>
        <w:trPr/>
        <w:tc>
          <w:tcPr>
            <w:tcW w:w="782"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Exhibit No.</w:t>
            </w:r>
          </w:p>
        </w:tc>
        <w:tc>
          <w:tcPr>
            <w:tcW w:w="60" w:type="dxa"/>
            <w:tcBorders/>
            <w:tcMar>
              <w:bottom w:w="0" w:type="dxa"/>
            </w:tcMar>
            <w:vAlign w:val="center"/>
          </w:tcPr>
          <w:p>
            <w:pPr>
              <w:pStyle w:val="TableContents"/>
              <w:bidi w:val="0"/>
              <w:spacing w:before="0" w:after="283"/>
              <w:jc w:val="left"/>
              <w:rPr/>
            </w:pPr>
            <w:r>
              <w:rPr/>
              <w:t> </w:t>
            </w:r>
          </w:p>
        </w:tc>
        <w:tc>
          <w:tcPr>
            <w:tcW w:w="9363" w:type="dxa"/>
            <w:tcBorders>
              <w:bottom w:val="single" w:sz="12" w:space="0" w:color="000000"/>
            </w:tcBorders>
            <w:vAlign w:val="center"/>
          </w:tcPr>
          <w:p>
            <w:pPr>
              <w:pStyle w:val="TableContents"/>
              <w:bidi w:val="0"/>
              <w:spacing w:before="0" w:after="283"/>
              <w:jc w:val="left"/>
              <w:rPr>
                <w:strike w:val="false"/>
                <w:dstrike w:val="false"/>
                <w:sz w:val="20"/>
                <w:u w:val="none"/>
                <w:effect w:val="none"/>
              </w:rPr>
            </w:pPr>
            <w:r>
              <w:rPr>
                <w:strike w:val="false"/>
                <w:dstrike w:val="false"/>
                <w:sz w:val="20"/>
                <w:u w:val="none"/>
                <w:effect w:val="none"/>
              </w:rPr>
              <w:t>Description</w:t>
            </w:r>
          </w:p>
        </w:tc>
      </w:tr>
      <w:tr>
        <w:trPr/>
        <w:tc>
          <w:tcPr>
            <w:tcW w:w="782"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3" w:type="dxa"/>
            <w:tcBorders/>
            <w:shd w:fill="CCEEFF" w:val="clear"/>
            <w:tcMar>
              <w:bottom w:w="0" w:type="dxa"/>
            </w:tcMar>
            <w:vAlign w:val="center"/>
          </w:tcPr>
          <w:p>
            <w:pPr>
              <w:pStyle w:val="TableContents"/>
              <w:bidi w:val="0"/>
              <w:spacing w:before="0" w:after="283"/>
              <w:jc w:val="both"/>
              <w:rPr/>
            </w:pPr>
            <w:hyperlink w:anchor="ea022100501ex99-1_agrify.htm">
              <w:r>
                <w:rPr>
                  <w:rStyle w:val="InternetLink"/>
                  <w:sz w:val="20"/>
                </w:rPr>
                <w:t>Joint Filing Agreement – Filed Herewith.</w:t>
              </w:r>
            </w:hyperlink>
          </w:p>
        </w:tc>
      </w:tr>
      <w:tr>
        <w:trPr/>
        <w:tc>
          <w:tcPr>
            <w:tcW w:w="782" w:type="dxa"/>
            <w:tcBorders/>
            <w:shd w:fill="FFFFFF" w:val="clear"/>
            <w:tcMar>
              <w:bottom w:w="0" w:type="dxa"/>
            </w:tcMar>
            <w:vAlign w:val="center"/>
          </w:tcPr>
          <w:p>
            <w:pPr>
              <w:pStyle w:val="TableContents"/>
              <w:bidi w:val="0"/>
              <w:spacing w:before="0" w:after="283"/>
              <w:jc w:val="left"/>
              <w:rPr>
                <w:sz w:val="20"/>
              </w:rPr>
            </w:pPr>
            <w:r>
              <w:rPr>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3" w:type="dxa"/>
            <w:tcBorders/>
            <w:shd w:fill="FFFFFF" w:val="clear"/>
            <w:tcMar>
              <w:bottom w:w="0" w:type="dxa"/>
            </w:tcMar>
            <w:vAlign w:val="center"/>
          </w:tcPr>
          <w:p>
            <w:pPr>
              <w:pStyle w:val="TableContents"/>
              <w:bidi w:val="0"/>
              <w:spacing w:before="0" w:after="283"/>
              <w:jc w:val="both"/>
              <w:rPr/>
            </w:pPr>
            <w:hyperlink w:anchor="ea022100501ex99-2_agrify.htm">
              <w:r>
                <w:rPr>
                  <w:rStyle w:val="InternetLink"/>
                  <w:sz w:val="20"/>
                </w:rPr>
                <w:t xml:space="preserve">Purchase Agreement, dated November 5, 2024 – Filed Herewith. </w:t>
              </w:r>
            </w:hyperlink>
          </w:p>
        </w:tc>
      </w:tr>
      <w:tr>
        <w:trPr/>
        <w:tc>
          <w:tcPr>
            <w:tcW w:w="782" w:type="dxa"/>
            <w:tcBorders/>
            <w:shd w:fill="CCEEFF" w:val="clear"/>
            <w:tcMar>
              <w:bottom w:w="0" w:type="dxa"/>
            </w:tcMar>
            <w:vAlign w:val="center"/>
          </w:tcPr>
          <w:p>
            <w:pPr>
              <w:pStyle w:val="TableContents"/>
              <w:bidi w:val="0"/>
              <w:spacing w:before="0" w:after="283"/>
              <w:jc w:val="left"/>
              <w:rPr>
                <w:sz w:val="20"/>
              </w:rPr>
            </w:pPr>
            <w:r>
              <w:rPr>
                <w:sz w:val="20"/>
              </w:rPr>
              <w:t>99.3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3" w:type="dxa"/>
            <w:tcBorders/>
            <w:shd w:fill="CCEEFF" w:val="clear"/>
            <w:tcMar>
              <w:bottom w:w="0" w:type="dxa"/>
            </w:tcMar>
            <w:vAlign w:val="center"/>
          </w:tcPr>
          <w:p>
            <w:pPr>
              <w:pStyle w:val="TableContents"/>
              <w:bidi w:val="0"/>
              <w:spacing w:before="0" w:after="283"/>
              <w:jc w:val="both"/>
              <w:rPr/>
            </w:pPr>
            <w:hyperlink r:id="rId2">
              <w:r>
                <w:rPr>
                  <w:rStyle w:val="InternetLink"/>
                  <w:sz w:val="20"/>
                </w:rPr>
                <w:t>Secured Amended, Restated and Consolidated Convertible Note - Incorporated by reference to Exhibit 4.1 attached to the Company’s Current Report on Form 8-K dated November 5, 2024, as filed with the Securities and Exchange Commission on November 5, 2024.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05" w:type="dxa"/>
        <w:jc w:val="left"/>
        <w:tblInd w:w="-15" w:type="dxa"/>
        <w:tblLayout w:type="fixed"/>
        <w:tblCellMar>
          <w:top w:w="40" w:type="dxa"/>
          <w:left w:w="108" w:type="dxa"/>
          <w:bottom w:w="40" w:type="dxa"/>
          <w:right w:w="108" w:type="dxa"/>
        </w:tblCellMar>
      </w:tblPr>
      <w:tblGrid>
        <w:gridCol w:w="1985"/>
        <w:gridCol w:w="365"/>
        <w:gridCol w:w="1655"/>
      </w:tblGrid>
      <w:tr>
        <w:trPr/>
        <w:tc>
          <w:tcPr>
            <w:tcW w:w="19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sz w:val="20"/>
              </w:rPr>
            </w:pPr>
            <w:r>
              <w:rPr>
                <w:sz w:val="20"/>
              </w:rPr>
              <w:t>CUSIP NO. 00853E 305</w:t>
            </w:r>
          </w:p>
        </w:tc>
        <w:tc>
          <w:tcPr>
            <w:tcW w:w="36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13D</w:t>
            </w:r>
          </w:p>
        </w:tc>
        <w:tc>
          <w:tcPr>
            <w:tcW w:w="165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sz w:val="20"/>
              </w:rPr>
            </w:pPr>
            <w:r>
              <w:rPr>
                <w:sz w:val="20"/>
              </w:rPr>
              <w:t>Page 12 of 12 Pages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our knowledge and belief, we certify that the information set forth in this statement is true, complete and correct.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13, 2024</w:t>
      </w:r>
    </w:p>
    <w:p>
      <w:pPr>
        <w:pStyle w:val="TextBody"/>
        <w:bidi w:val="0"/>
        <w:spacing w:before="0" w:after="0"/>
        <w:ind w:left="0" w:right="0" w:hanging="0"/>
        <w:jc w:val="both"/>
        <w:rPr>
          <w:caps w:val="false"/>
          <w:smallCaps w:val="false"/>
        </w:rPr>
      </w:pPr>
      <w:r>
        <w:rPr>
          <w:caps w:val="false"/>
          <w:smallCaps w:val="false"/>
        </w:rPr>
        <w:t> </w:t>
      </w:r>
    </w:p>
    <w:tbl>
      <w:tblPr>
        <w:tblW w:w="8804" w:type="dxa"/>
        <w:jc w:val="left"/>
        <w:tblInd w:w="0" w:type="dxa"/>
        <w:tblLayout w:type="fixed"/>
        <w:tblCellMar>
          <w:top w:w="0" w:type="dxa"/>
          <w:left w:w="0" w:type="dxa"/>
          <w:bottom w:w="0" w:type="dxa"/>
          <w:right w:w="0" w:type="dxa"/>
        </w:tblCellMar>
      </w:tblPr>
      <w:tblGrid>
        <w:gridCol w:w="605"/>
        <w:gridCol w:w="3740"/>
        <w:gridCol w:w="60"/>
        <w:gridCol w:w="682"/>
        <w:gridCol w:w="3717"/>
      </w:tblGrid>
      <w:tr>
        <w:trPr/>
        <w:tc>
          <w:tcPr>
            <w:tcW w:w="43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RSLGH, LLC</w:t>
            </w:r>
          </w:p>
        </w:tc>
        <w:tc>
          <w:tcPr>
            <w:tcW w:w="60" w:type="dxa"/>
            <w:tcBorders/>
            <w:vAlign w:val="center"/>
          </w:tcPr>
          <w:p>
            <w:pPr>
              <w:pStyle w:val="TableContents"/>
              <w:bidi w:val="0"/>
              <w:spacing w:before="0" w:after="283"/>
              <w:jc w:val="left"/>
              <w:rPr/>
            </w:pPr>
            <w:r>
              <w:rPr/>
              <w:t> </w:t>
            </w:r>
          </w:p>
        </w:tc>
        <w:tc>
          <w:tcPr>
            <w:tcW w:w="439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CORE GROWTH, LLC</w:t>
            </w:r>
          </w:p>
        </w:tc>
      </w:tr>
      <w:tr>
        <w:trPr/>
        <w:tc>
          <w:tcPr>
            <w:tcW w:w="60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3717"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40" w:type="dxa"/>
            <w:tcBorders>
              <w:bottom w:val="single" w:sz="12" w:space="0" w:color="000000"/>
            </w:tcBorders>
            <w:tcMar>
              <w:bottom w:w="28" w:type="dxa"/>
            </w:tcMar>
            <w:vAlign w:val="center"/>
          </w:tcPr>
          <w:p>
            <w:pPr>
              <w:pStyle w:val="TableContents"/>
              <w:bidi w:val="0"/>
              <w:spacing w:before="0" w:after="283"/>
              <w:jc w:val="left"/>
              <w:rPr/>
            </w:pPr>
            <w:r>
              <w:rPr/>
              <w:t>/s/ Bret Kravitz</w:t>
            </w:r>
          </w:p>
        </w:tc>
        <w:tc>
          <w:tcPr>
            <w:tcW w:w="6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17"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Benjamin Kovler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Bret Kravitz</w:t>
            </w:r>
          </w:p>
        </w:tc>
        <w:tc>
          <w:tcPr>
            <w:tcW w:w="6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717" w:type="dxa"/>
            <w:tcBorders/>
            <w:vAlign w:val="center"/>
          </w:tcPr>
          <w:p>
            <w:pPr>
              <w:pStyle w:val="TableContents"/>
              <w:bidi w:val="0"/>
              <w:spacing w:before="0" w:after="283"/>
              <w:jc w:val="left"/>
              <w:rPr>
                <w:sz w:val="20"/>
              </w:rPr>
            </w:pPr>
            <w:r>
              <w:rPr>
                <w:sz w:val="20"/>
              </w:rPr>
              <w:t>Benjamin Kovler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7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Corporate Secretary </w:t>
            </w:r>
          </w:p>
        </w:tc>
        <w:tc>
          <w:tcPr>
            <w:tcW w:w="6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717" w:type="dxa"/>
            <w:tcBorders/>
            <w:vAlign w:val="center"/>
          </w:tcPr>
          <w:p>
            <w:pPr>
              <w:pStyle w:val="TableContents"/>
              <w:bidi w:val="0"/>
              <w:spacing w:before="0" w:after="283"/>
              <w:jc w:val="left"/>
              <w:rPr/>
            </w:pPr>
            <w:r>
              <w:rPr/>
              <w:t>Authorized Signatory</w:t>
            </w:r>
          </w:p>
        </w:tc>
      </w:tr>
      <w:tr>
        <w:trPr/>
        <w:tc>
          <w:tcPr>
            <w:tcW w:w="60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3717" w:type="dxa"/>
            <w:tcBorders/>
            <w:vAlign w:val="center"/>
          </w:tcPr>
          <w:p>
            <w:pPr>
              <w:pStyle w:val="TableContents"/>
              <w:bidi w:val="0"/>
              <w:spacing w:before="0" w:after="283"/>
              <w:jc w:val="left"/>
              <w:rPr/>
            </w:pPr>
            <w:r>
              <w:rPr/>
              <w:t> </w:t>
            </w:r>
          </w:p>
        </w:tc>
      </w:tr>
      <w:tr>
        <w:trPr/>
        <w:tc>
          <w:tcPr>
            <w:tcW w:w="434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Wellness Mgmt, LLC</w:t>
            </w:r>
          </w:p>
        </w:tc>
        <w:tc>
          <w:tcPr>
            <w:tcW w:w="60" w:type="dxa"/>
            <w:tcBorders/>
            <w:vAlign w:val="center"/>
          </w:tcPr>
          <w:p>
            <w:pPr>
              <w:pStyle w:val="TableContents"/>
              <w:bidi w:val="0"/>
              <w:spacing w:before="0" w:after="283"/>
              <w:jc w:val="left"/>
              <w:rPr/>
            </w:pPr>
            <w:r>
              <w:rPr/>
              <w:t> </w:t>
            </w:r>
          </w:p>
        </w:tc>
        <w:tc>
          <w:tcPr>
            <w:tcW w:w="439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FOR SUCCESS HOLDINGS COMPANY</w:t>
            </w:r>
          </w:p>
        </w:tc>
      </w:tr>
      <w:tr>
        <w:trPr/>
        <w:tc>
          <w:tcPr>
            <w:tcW w:w="60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3717"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40" w:type="dxa"/>
            <w:tcBorders>
              <w:bottom w:val="single" w:sz="12"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rPr>
              <w:t>Benjamin Kovler </w:t>
            </w:r>
          </w:p>
        </w:tc>
        <w:tc>
          <w:tcPr>
            <w:tcW w:w="6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17"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Benjamin Kovler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7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Benjamin Kovler </w:t>
            </w:r>
          </w:p>
        </w:tc>
        <w:tc>
          <w:tcPr>
            <w:tcW w:w="6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7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Benjamin Kovler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7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Authorized Signatory</w:t>
            </w:r>
          </w:p>
        </w:tc>
        <w:tc>
          <w:tcPr>
            <w:tcW w:w="6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7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CEO &amp; President </w:t>
            </w:r>
          </w:p>
        </w:tc>
      </w:tr>
      <w:tr>
        <w:trPr/>
        <w:tc>
          <w:tcPr>
            <w:tcW w:w="60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3717" w:type="dxa"/>
            <w:tcBorders/>
            <w:vAlign w:val="center"/>
          </w:tcPr>
          <w:p>
            <w:pPr>
              <w:pStyle w:val="TableContents"/>
              <w:bidi w:val="0"/>
              <w:spacing w:before="0" w:after="283"/>
              <w:jc w:val="left"/>
              <w:rPr/>
            </w:pPr>
            <w:r>
              <w:rPr/>
              <w:t> </w:t>
            </w:r>
          </w:p>
        </w:tc>
      </w:tr>
      <w:tr>
        <w:trPr/>
        <w:tc>
          <w:tcPr>
            <w:tcW w:w="43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VCP23, LLC</w:t>
            </w:r>
          </w:p>
        </w:tc>
        <w:tc>
          <w:tcPr>
            <w:tcW w:w="60" w:type="dxa"/>
            <w:tcBorders/>
            <w:vAlign w:val="center"/>
          </w:tcPr>
          <w:p>
            <w:pPr>
              <w:pStyle w:val="TableContents"/>
              <w:bidi w:val="0"/>
              <w:spacing w:before="0" w:after="283"/>
              <w:jc w:val="left"/>
              <w:rPr/>
            </w:pPr>
            <w:r>
              <w:rPr/>
              <w:t> </w:t>
            </w:r>
          </w:p>
        </w:tc>
        <w:tc>
          <w:tcPr>
            <w:tcW w:w="439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GTI23, INC.</w:t>
            </w:r>
          </w:p>
        </w:tc>
      </w:tr>
      <w:tr>
        <w:trPr/>
        <w:tc>
          <w:tcPr>
            <w:tcW w:w="60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sz w:val="4"/>
                <w:szCs w:val="4"/>
              </w:rPr>
            </w:pPr>
            <w:r>
              <w:rPr>
                <w:sz w:val="4"/>
                <w:szCs w:val="4"/>
              </w:rPr>
            </w:r>
          </w:p>
        </w:tc>
        <w:tc>
          <w:tcPr>
            <w:tcW w:w="3717"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Benjamin Kovler </w:t>
            </w:r>
          </w:p>
        </w:tc>
        <w:tc>
          <w:tcPr>
            <w:tcW w:w="6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17"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Benjamin Kovler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740" w:type="dxa"/>
            <w:tcBorders/>
            <w:vAlign w:val="center"/>
          </w:tcPr>
          <w:p>
            <w:pPr>
              <w:pStyle w:val="TableContents"/>
              <w:bidi w:val="0"/>
              <w:spacing w:before="0" w:after="283"/>
              <w:jc w:val="left"/>
              <w:rPr/>
            </w:pPr>
            <w:r>
              <w:rPr/>
              <w:t>Benjamin Kovler</w:t>
            </w:r>
          </w:p>
        </w:tc>
        <w:tc>
          <w:tcPr>
            <w:tcW w:w="6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7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Benjamin Kovler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7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Manager</w:t>
            </w:r>
          </w:p>
        </w:tc>
        <w:tc>
          <w:tcPr>
            <w:tcW w:w="6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7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 &amp; Authorized Signatory </w:t>
            </w:r>
          </w:p>
        </w:tc>
      </w:tr>
      <w:tr>
        <w:trPr/>
        <w:tc>
          <w:tcPr>
            <w:tcW w:w="60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3717" w:type="dxa"/>
            <w:tcBorders/>
            <w:vAlign w:val="center"/>
          </w:tcPr>
          <w:p>
            <w:pPr>
              <w:pStyle w:val="TableContents"/>
              <w:bidi w:val="0"/>
              <w:spacing w:before="0" w:after="283"/>
              <w:jc w:val="left"/>
              <w:rPr/>
            </w:pPr>
            <w:r>
              <w:rPr/>
              <w:t> </w:t>
            </w:r>
          </w:p>
        </w:tc>
      </w:tr>
      <w:tr>
        <w:trPr/>
        <w:tc>
          <w:tcPr>
            <w:tcW w:w="434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Green Thumb Industries Inc.</w:t>
            </w:r>
          </w:p>
        </w:tc>
        <w:tc>
          <w:tcPr>
            <w:tcW w:w="6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3717"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3717"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Benjamin Kovler </w:t>
            </w:r>
          </w:p>
        </w:tc>
        <w:tc>
          <w:tcPr>
            <w:tcW w:w="6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3717"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7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Benjamin Kovler </w:t>
            </w:r>
          </w:p>
        </w:tc>
        <w:tc>
          <w:tcPr>
            <w:tcW w:w="6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3717"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7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Chairman and Chief Executive Officer </w:t>
            </w:r>
          </w:p>
        </w:tc>
        <w:tc>
          <w:tcPr>
            <w:tcW w:w="6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371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5040" w:right="0" w:hanging="504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Directors and Executive Officers of Green Thumb Industries Inc.</w:t>
      </w:r>
    </w:p>
    <w:p>
      <w:pPr>
        <w:pStyle w:val="TextBody"/>
        <w:bidi w:val="0"/>
        <w:spacing w:before="0" w:after="0"/>
        <w:jc w:val="center"/>
        <w:rPr>
          <w:caps w:val="false"/>
          <w:smallCaps w:val="false"/>
          <w:strike w:val="false"/>
          <w:dstrike w:val="false"/>
          <w:u w:val="none"/>
          <w:effect w:val="none"/>
        </w:rPr>
      </w:pPr>
      <w:r>
        <w:rPr>
          <w:caps w:val="false"/>
          <w:smallCaps w:val="false"/>
          <w:strike w:val="false"/>
          <w:dstrike w:val="false"/>
          <w:u w:val="none"/>
          <w:effect w:val="none"/>
        </w:rPr>
        <w:t> </w:t>
      </w:r>
    </w:p>
    <w:tbl>
      <w:tblPr>
        <w:tblW w:w="10205" w:type="dxa"/>
        <w:jc w:val="left"/>
        <w:tblInd w:w="0" w:type="dxa"/>
        <w:tblLayout w:type="fixed"/>
        <w:tblCellMar>
          <w:top w:w="0" w:type="dxa"/>
          <w:left w:w="0" w:type="dxa"/>
          <w:bottom w:w="28" w:type="dxa"/>
          <w:right w:w="0" w:type="dxa"/>
        </w:tblCellMar>
      </w:tblPr>
      <w:tblGrid>
        <w:gridCol w:w="1565"/>
        <w:gridCol w:w="60"/>
        <w:gridCol w:w="6206"/>
        <w:gridCol w:w="60"/>
        <w:gridCol w:w="1298"/>
        <w:gridCol w:w="60"/>
        <w:gridCol w:w="956"/>
      </w:tblGrid>
      <w:tr>
        <w:trPr/>
        <w:tc>
          <w:tcPr>
            <w:tcW w:w="1565" w:type="dxa"/>
            <w:tcBorders>
              <w:bottom w:val="single" w:sz="12" w:space="0" w:color="000000"/>
            </w:tcBorders>
            <w:shd w:fill="FFFFFF" w:val="clear"/>
            <w:vAlign w:val="center"/>
          </w:tcPr>
          <w:p>
            <w:pPr>
              <w:pStyle w:val="TableContents"/>
              <w:bidi w:val="0"/>
              <w:spacing w:before="0" w:after="283"/>
              <w:ind w:left="0" w:right="0" w:hanging="180"/>
              <w:jc w:val="left"/>
              <w:rPr>
                <w:strike w:val="false"/>
                <w:dstrike w:val="false"/>
                <w:u w:val="none"/>
                <w:effect w:val="none"/>
              </w:rPr>
            </w:pPr>
            <w:r>
              <w:rPr>
                <w:strike w:val="false"/>
                <w:dstrike w:val="false"/>
                <w:u w:val="none"/>
                <w:effect w:val="none"/>
              </w:rPr>
              <w:t>Name and Position</w:t>
            </w:r>
          </w:p>
        </w:tc>
        <w:tc>
          <w:tcPr>
            <w:tcW w:w="60" w:type="dxa"/>
            <w:tcBorders/>
            <w:shd w:fill="FFFFFF" w:val="clear"/>
            <w:tcMar>
              <w:bottom w:w="0" w:type="dxa"/>
            </w:tcMar>
            <w:vAlign w:val="center"/>
          </w:tcPr>
          <w:p>
            <w:pPr>
              <w:pStyle w:val="TableContents"/>
              <w:bidi w:val="0"/>
              <w:spacing w:before="0" w:after="283"/>
              <w:ind w:left="0" w:right="0" w:hanging="0"/>
              <w:jc w:val="center"/>
              <w:rPr>
                <w:strike w:val="false"/>
                <w:dstrike w:val="false"/>
                <w:u w:val="none"/>
                <w:effect w:val="none"/>
              </w:rPr>
            </w:pPr>
            <w:r>
              <w:rPr>
                <w:strike w:val="false"/>
                <w:dstrike w:val="false"/>
                <w:u w:val="none"/>
                <w:effect w:val="none"/>
              </w:rPr>
              <w:t> </w:t>
            </w:r>
          </w:p>
        </w:tc>
        <w:tc>
          <w:tcPr>
            <w:tcW w:w="6206" w:type="dxa"/>
            <w:tcBorders>
              <w:bottom w:val="single" w:sz="12" w:space="0" w:color="000000"/>
            </w:tcBorders>
            <w:shd w:fill="FFFFFF" w:val="clear"/>
            <w:vAlign w:val="center"/>
          </w:tcPr>
          <w:p>
            <w:pPr>
              <w:pStyle w:val="TableContents"/>
              <w:bidi w:val="0"/>
              <w:spacing w:before="0" w:after="283"/>
              <w:jc w:val="center"/>
              <w:rPr>
                <w:strike w:val="false"/>
                <w:dstrike w:val="false"/>
                <w:u w:val="none"/>
                <w:effect w:val="none"/>
              </w:rPr>
            </w:pPr>
            <w:r>
              <w:rPr>
                <w:strike w:val="false"/>
                <w:dstrike w:val="false"/>
                <w:u w:val="none"/>
                <w:effect w:val="none"/>
              </w:rPr>
              <w:t>Present Principal Occupation</w:t>
            </w:r>
          </w:p>
        </w:tc>
        <w:tc>
          <w:tcPr>
            <w:tcW w:w="60" w:type="dxa"/>
            <w:tcBorders/>
            <w:shd w:fill="FFFFFF" w:val="clear"/>
            <w:tcMar>
              <w:bottom w:w="0" w:type="dxa"/>
            </w:tcMar>
            <w:vAlign w:val="center"/>
          </w:tcPr>
          <w:p>
            <w:pPr>
              <w:pStyle w:val="TableContents"/>
              <w:bidi w:val="0"/>
              <w:spacing w:before="0" w:after="283"/>
              <w:ind w:left="0" w:right="0" w:hanging="0"/>
              <w:jc w:val="center"/>
              <w:rPr>
                <w:strike w:val="false"/>
                <w:dstrike w:val="false"/>
                <w:u w:val="none"/>
                <w:effect w:val="none"/>
              </w:rPr>
            </w:pPr>
            <w:r>
              <w:rPr>
                <w:strike w:val="false"/>
                <w:dstrike w:val="false"/>
                <w:u w:val="none"/>
                <w:effect w:val="none"/>
              </w:rPr>
              <w:t> </w:t>
            </w:r>
          </w:p>
        </w:tc>
        <w:tc>
          <w:tcPr>
            <w:tcW w:w="1298" w:type="dxa"/>
            <w:tcBorders>
              <w:bottom w:val="single" w:sz="12" w:space="0" w:color="000000"/>
            </w:tcBorders>
            <w:shd w:fill="FFFFFF" w:val="clear"/>
            <w:vAlign w:val="center"/>
          </w:tcPr>
          <w:p>
            <w:pPr>
              <w:pStyle w:val="TableContents"/>
              <w:bidi w:val="0"/>
              <w:spacing w:before="0" w:after="283"/>
              <w:jc w:val="center"/>
              <w:rPr>
                <w:strike w:val="false"/>
                <w:dstrike w:val="false"/>
                <w:u w:val="none"/>
                <w:effect w:val="none"/>
              </w:rPr>
            </w:pPr>
            <w:r>
              <w:rPr>
                <w:strike w:val="false"/>
                <w:dstrike w:val="false"/>
                <w:u w:val="none"/>
                <w:effect w:val="none"/>
              </w:rPr>
              <w:t>Business Address</w:t>
            </w:r>
          </w:p>
        </w:tc>
        <w:tc>
          <w:tcPr>
            <w:tcW w:w="60" w:type="dxa"/>
            <w:tcBorders/>
            <w:shd w:fill="FFFFFF" w:val="clear"/>
            <w:tcMar>
              <w:bottom w:w="0" w:type="dxa"/>
            </w:tcMar>
            <w:vAlign w:val="center"/>
          </w:tcPr>
          <w:p>
            <w:pPr>
              <w:pStyle w:val="TableContents"/>
              <w:bidi w:val="0"/>
              <w:spacing w:before="0" w:after="283"/>
              <w:ind w:left="0" w:right="0" w:hanging="0"/>
              <w:jc w:val="center"/>
              <w:rPr>
                <w:strike w:val="false"/>
                <w:dstrike w:val="false"/>
                <w:u w:val="none"/>
                <w:effect w:val="none"/>
              </w:rPr>
            </w:pPr>
            <w:r>
              <w:rPr>
                <w:strike w:val="false"/>
                <w:dstrike w:val="false"/>
                <w:u w:val="none"/>
                <w:effect w:val="none"/>
              </w:rPr>
              <w:t> </w:t>
            </w:r>
          </w:p>
        </w:tc>
        <w:tc>
          <w:tcPr>
            <w:tcW w:w="956" w:type="dxa"/>
            <w:tcBorders>
              <w:bottom w:val="single" w:sz="12" w:space="0" w:color="000000"/>
            </w:tcBorders>
            <w:shd w:fill="FFFFFF" w:val="clear"/>
            <w:vAlign w:val="center"/>
          </w:tcPr>
          <w:p>
            <w:pPr>
              <w:pStyle w:val="TableContents"/>
              <w:bidi w:val="0"/>
              <w:spacing w:before="0" w:after="283"/>
              <w:ind w:left="0" w:right="0" w:hanging="180"/>
              <w:jc w:val="center"/>
              <w:rPr>
                <w:strike w:val="false"/>
                <w:dstrike w:val="false"/>
                <w:u w:val="none"/>
                <w:effect w:val="none"/>
              </w:rPr>
            </w:pPr>
            <w:r>
              <w:rPr>
                <w:strike w:val="false"/>
                <w:dstrike w:val="false"/>
                <w:u w:val="none"/>
                <w:effect w:val="none"/>
              </w:rPr>
              <w:t>Citizenship</w:t>
            </w:r>
          </w:p>
        </w:tc>
      </w:tr>
      <w:tr>
        <w:trPr/>
        <w:tc>
          <w:tcPr>
            <w:tcW w:w="15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2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56" w:type="dxa"/>
            <w:tcBorders/>
            <w:tcMar>
              <w:bottom w:w="0" w:type="dxa"/>
            </w:tcMar>
            <w:vAlign w:val="center"/>
          </w:tcPr>
          <w:p>
            <w:pPr>
              <w:pStyle w:val="TableContents"/>
              <w:bidi w:val="0"/>
              <w:spacing w:before="0" w:after="283"/>
              <w:ind w:left="0" w:right="0" w:hanging="180"/>
              <w:jc w:val="center"/>
              <w:rPr/>
            </w:pPr>
            <w:r>
              <w:rPr/>
              <w:t> </w:t>
            </w:r>
          </w:p>
        </w:tc>
      </w:tr>
      <w:tr>
        <w:trPr/>
        <w:tc>
          <w:tcPr>
            <w:tcW w:w="1565" w:type="dxa"/>
            <w:tcBorders/>
            <w:shd w:fill="FFFFFF" w:val="clear"/>
            <w:tcMar>
              <w:bottom w:w="0" w:type="dxa"/>
            </w:tcMar>
            <w:vAlign w:val="center"/>
          </w:tcPr>
          <w:p>
            <w:pPr>
              <w:pStyle w:val="TableContents"/>
              <w:bidi w:val="0"/>
              <w:spacing w:before="0" w:after="283"/>
              <w:jc w:val="left"/>
              <w:rPr/>
            </w:pPr>
            <w:r>
              <w:rPr/>
              <w:t>Dawn Wilson Barnes Director</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6" w:type="dxa"/>
            <w:tcBorders/>
            <w:shd w:fill="FFFFFF" w:val="clear"/>
            <w:tcMar>
              <w:bottom w:w="0" w:type="dxa"/>
            </w:tcMar>
            <w:vAlign w:val="center"/>
          </w:tcPr>
          <w:p>
            <w:pPr>
              <w:pStyle w:val="TableContents"/>
              <w:bidi w:val="0"/>
              <w:spacing w:before="0" w:after="283"/>
              <w:jc w:val="left"/>
              <w:rPr/>
            </w:pPr>
            <w:r>
              <w:rPr/>
              <w:t>Since April 2004, Ms. Barnes has served as the President and Founder of Aurora Bay Capital, an Atlanta-based financial services firm that provides institutional marketing and consulting services to firms seeking growth capital.</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98" w:type="dxa"/>
            <w:tcBorders/>
            <w:shd w:fill="FFFFFF" w:val="clear"/>
            <w:tcMar>
              <w:bottom w:w="0" w:type="dxa"/>
            </w:tcMar>
            <w:vAlign w:val="center"/>
          </w:tcPr>
          <w:p>
            <w:pPr>
              <w:pStyle w:val="TableContents"/>
              <w:bidi w:val="0"/>
              <w:spacing w:before="0" w:after="283"/>
              <w:jc w:val="left"/>
              <w:rPr/>
            </w:pPr>
            <w:r>
              <w:rPr/>
              <w:t>325 West Huron Street, Suite 700, Chicago, Illinois 60654</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56" w:type="dxa"/>
            <w:tcBorders/>
            <w:shd w:fill="FFFFFF" w:val="clear"/>
            <w:tcMar>
              <w:bottom w:w="0" w:type="dxa"/>
            </w:tcMar>
            <w:vAlign w:val="center"/>
          </w:tcPr>
          <w:p>
            <w:pPr>
              <w:pStyle w:val="TableContents"/>
              <w:bidi w:val="0"/>
              <w:spacing w:before="0" w:after="283"/>
              <w:ind w:left="0" w:right="0" w:hanging="180"/>
              <w:jc w:val="center"/>
              <w:rPr/>
            </w:pPr>
            <w:r>
              <w:rPr/>
              <w:t>United States</w:t>
            </w:r>
          </w:p>
        </w:tc>
      </w:tr>
      <w:tr>
        <w:trPr/>
        <w:tc>
          <w:tcPr>
            <w:tcW w:w="15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2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56" w:type="dxa"/>
            <w:tcBorders/>
            <w:tcMar>
              <w:bottom w:w="0" w:type="dxa"/>
            </w:tcMar>
            <w:vAlign w:val="center"/>
          </w:tcPr>
          <w:p>
            <w:pPr>
              <w:pStyle w:val="TableContents"/>
              <w:bidi w:val="0"/>
              <w:spacing w:before="0" w:after="283"/>
              <w:ind w:left="0" w:right="0" w:hanging="180"/>
              <w:jc w:val="center"/>
              <w:rPr/>
            </w:pPr>
            <w:r>
              <w:rPr/>
              <w:t> </w:t>
            </w:r>
          </w:p>
        </w:tc>
      </w:tr>
      <w:tr>
        <w:trPr/>
        <w:tc>
          <w:tcPr>
            <w:tcW w:w="1565" w:type="dxa"/>
            <w:tcBorders/>
            <w:shd w:fill="FFFFFF" w:val="clear"/>
            <w:tcMar>
              <w:bottom w:w="0" w:type="dxa"/>
            </w:tcMar>
            <w:vAlign w:val="center"/>
          </w:tcPr>
          <w:p>
            <w:pPr>
              <w:pStyle w:val="TableContents"/>
              <w:bidi w:val="0"/>
              <w:spacing w:before="0" w:after="283"/>
              <w:jc w:val="left"/>
              <w:rPr/>
            </w:pPr>
            <w:r>
              <w:rPr/>
              <w:t xml:space="preserve">Anthony Georgiadis </w:t>
              <w:br/>
              <w:t>President and Director</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6" w:type="dxa"/>
            <w:tcBorders/>
            <w:shd w:fill="FFFFFF" w:val="clear"/>
            <w:tcMar>
              <w:bottom w:w="0" w:type="dxa"/>
            </w:tcMar>
            <w:vAlign w:val="center"/>
          </w:tcPr>
          <w:p>
            <w:pPr>
              <w:pStyle w:val="TableContents"/>
              <w:bidi w:val="0"/>
              <w:spacing w:before="0" w:after="283"/>
              <w:jc w:val="left"/>
              <w:rPr/>
            </w:pPr>
            <w:r>
              <w:rPr/>
              <w:t>Mr. Georgiadis assumed the role of President as of January 1, 2023, after joining the company in May 2015 as a managing partner and then holding the role of Chief Financial Officer from January 2017 until becoming President.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98" w:type="dxa"/>
            <w:tcBorders/>
            <w:shd w:fill="FFFFFF" w:val="clear"/>
            <w:tcMar>
              <w:bottom w:w="0" w:type="dxa"/>
            </w:tcMar>
            <w:vAlign w:val="center"/>
          </w:tcPr>
          <w:p>
            <w:pPr>
              <w:pStyle w:val="TableContents"/>
              <w:bidi w:val="0"/>
              <w:spacing w:before="0" w:after="283"/>
              <w:jc w:val="left"/>
              <w:rPr/>
            </w:pPr>
            <w:r>
              <w:rPr/>
              <w:t>325 West Huron Street, Suite 700, Chicago, Illinois 60654</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56" w:type="dxa"/>
            <w:tcBorders/>
            <w:shd w:fill="FFFFFF" w:val="clear"/>
            <w:tcMar>
              <w:bottom w:w="0" w:type="dxa"/>
            </w:tcMar>
            <w:vAlign w:val="center"/>
          </w:tcPr>
          <w:p>
            <w:pPr>
              <w:pStyle w:val="TableContents"/>
              <w:bidi w:val="0"/>
              <w:spacing w:before="0" w:after="283"/>
              <w:ind w:left="0" w:right="0" w:hanging="180"/>
              <w:jc w:val="center"/>
              <w:rPr/>
            </w:pPr>
            <w:r>
              <w:rPr/>
              <w:t>United States</w:t>
            </w:r>
          </w:p>
        </w:tc>
      </w:tr>
      <w:tr>
        <w:trPr/>
        <w:tc>
          <w:tcPr>
            <w:tcW w:w="15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2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56" w:type="dxa"/>
            <w:tcBorders/>
            <w:tcMar>
              <w:bottom w:w="0" w:type="dxa"/>
            </w:tcMar>
            <w:vAlign w:val="center"/>
          </w:tcPr>
          <w:p>
            <w:pPr>
              <w:pStyle w:val="TableContents"/>
              <w:bidi w:val="0"/>
              <w:spacing w:before="0" w:after="283"/>
              <w:ind w:left="0" w:right="0" w:hanging="180"/>
              <w:jc w:val="center"/>
              <w:rPr/>
            </w:pPr>
            <w:r>
              <w:rPr/>
              <w:t> </w:t>
            </w:r>
          </w:p>
        </w:tc>
      </w:tr>
      <w:tr>
        <w:trPr/>
        <w:tc>
          <w:tcPr>
            <w:tcW w:w="1565" w:type="dxa"/>
            <w:tcBorders/>
            <w:shd w:fill="FFFFFF" w:val="clear"/>
            <w:tcMar>
              <w:bottom w:w="0" w:type="dxa"/>
            </w:tcMar>
            <w:vAlign w:val="center"/>
          </w:tcPr>
          <w:p>
            <w:pPr>
              <w:pStyle w:val="TableContents"/>
              <w:bidi w:val="0"/>
              <w:spacing w:before="0" w:after="283"/>
              <w:jc w:val="left"/>
              <w:rPr/>
            </w:pPr>
            <w:r>
              <w:rPr/>
              <w:t>Jeffrey Goldman</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6" w:type="dxa"/>
            <w:tcBorders/>
            <w:shd w:fill="FFFFFF" w:val="clear"/>
            <w:tcMar>
              <w:bottom w:w="0" w:type="dxa"/>
            </w:tcMar>
            <w:vAlign w:val="center"/>
          </w:tcPr>
          <w:p>
            <w:pPr>
              <w:pStyle w:val="TableContents"/>
              <w:bidi w:val="0"/>
              <w:spacing w:before="0" w:after="283"/>
              <w:jc w:val="left"/>
              <w:rPr/>
            </w:pPr>
            <w:r>
              <w:rPr/>
              <w:t>Since October 1998, Mr. Goldman has served as Vice President of Carol’s Cookies, Inc., a family-owned business founded in 1979 by his mother.</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98" w:type="dxa"/>
            <w:tcBorders/>
            <w:shd w:fill="FFFFFF" w:val="clear"/>
            <w:tcMar>
              <w:bottom w:w="0" w:type="dxa"/>
            </w:tcMar>
            <w:vAlign w:val="center"/>
          </w:tcPr>
          <w:p>
            <w:pPr>
              <w:pStyle w:val="TableContents"/>
              <w:bidi w:val="0"/>
              <w:spacing w:before="0" w:after="283"/>
              <w:jc w:val="left"/>
              <w:rPr/>
            </w:pPr>
            <w:r>
              <w:rPr/>
              <w:t>325 West Huron Street, Suite 700, Chicago, Illinois 60654</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56" w:type="dxa"/>
            <w:tcBorders/>
            <w:shd w:fill="FFFFFF" w:val="clear"/>
            <w:tcMar>
              <w:bottom w:w="0" w:type="dxa"/>
            </w:tcMar>
            <w:vAlign w:val="center"/>
          </w:tcPr>
          <w:p>
            <w:pPr>
              <w:pStyle w:val="TableContents"/>
              <w:bidi w:val="0"/>
              <w:spacing w:before="0" w:after="283"/>
              <w:ind w:left="0" w:right="0" w:hanging="180"/>
              <w:jc w:val="center"/>
              <w:rPr/>
            </w:pPr>
            <w:r>
              <w:rPr/>
              <w:t>United States</w:t>
            </w:r>
          </w:p>
        </w:tc>
      </w:tr>
      <w:tr>
        <w:trPr/>
        <w:tc>
          <w:tcPr>
            <w:tcW w:w="15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2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56" w:type="dxa"/>
            <w:tcBorders/>
            <w:tcMar>
              <w:bottom w:w="0" w:type="dxa"/>
            </w:tcMar>
            <w:vAlign w:val="center"/>
          </w:tcPr>
          <w:p>
            <w:pPr>
              <w:pStyle w:val="TableContents"/>
              <w:bidi w:val="0"/>
              <w:spacing w:before="0" w:after="283"/>
              <w:ind w:left="0" w:right="0" w:hanging="180"/>
              <w:jc w:val="center"/>
              <w:rPr/>
            </w:pPr>
            <w:r>
              <w:rPr/>
              <w:t> </w:t>
            </w:r>
          </w:p>
        </w:tc>
      </w:tr>
      <w:tr>
        <w:trPr/>
        <w:tc>
          <w:tcPr>
            <w:tcW w:w="1565" w:type="dxa"/>
            <w:tcBorders/>
            <w:shd w:fill="FFFFFF" w:val="clear"/>
            <w:tcMar>
              <w:bottom w:w="0" w:type="dxa"/>
            </w:tcMar>
            <w:vAlign w:val="center"/>
          </w:tcPr>
          <w:p>
            <w:pPr>
              <w:pStyle w:val="TableContents"/>
              <w:bidi w:val="0"/>
              <w:spacing w:before="0" w:after="283"/>
              <w:jc w:val="left"/>
              <w:rPr/>
            </w:pPr>
            <w:r>
              <w:rPr/>
              <w:t xml:space="preserve">Benjamin Kovler </w:t>
              <w:br/>
              <w:t>Founder, Chairman of the Board and Chief Executive Officer</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6" w:type="dxa"/>
            <w:tcBorders/>
            <w:shd w:fill="FFFFFF" w:val="clear"/>
            <w:tcMar>
              <w:bottom w:w="0" w:type="dxa"/>
            </w:tcMar>
            <w:vAlign w:val="center"/>
          </w:tcPr>
          <w:p>
            <w:pPr>
              <w:pStyle w:val="TableContents"/>
              <w:bidi w:val="0"/>
              <w:spacing w:before="0" w:after="283"/>
              <w:jc w:val="left"/>
              <w:rPr/>
            </w:pPr>
            <w:r>
              <w:rPr/>
              <w:t>Benjamin Kovler founded Green Thumb Industries Inc. in 2014. He has been Chairman since 2014 and Chief Executive Officer from 2014 through year-end 2017 and since August 2018.</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98" w:type="dxa"/>
            <w:tcBorders/>
            <w:shd w:fill="FFFFFF" w:val="clear"/>
            <w:tcMar>
              <w:bottom w:w="0" w:type="dxa"/>
            </w:tcMar>
            <w:vAlign w:val="center"/>
          </w:tcPr>
          <w:p>
            <w:pPr>
              <w:pStyle w:val="TableContents"/>
              <w:bidi w:val="0"/>
              <w:spacing w:before="0" w:after="283"/>
              <w:jc w:val="left"/>
              <w:rPr/>
            </w:pPr>
            <w:r>
              <w:rPr/>
              <w:t xml:space="preserve">325 West Huron Street, Suite 700, Chicago, Illinois 60654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56" w:type="dxa"/>
            <w:tcBorders/>
            <w:shd w:fill="FFFFFF" w:val="clear"/>
            <w:tcMar>
              <w:bottom w:w="0" w:type="dxa"/>
            </w:tcMar>
            <w:vAlign w:val="center"/>
          </w:tcPr>
          <w:p>
            <w:pPr>
              <w:pStyle w:val="TableContents"/>
              <w:bidi w:val="0"/>
              <w:spacing w:before="0" w:after="283"/>
              <w:ind w:left="0" w:right="0" w:hanging="180"/>
              <w:jc w:val="center"/>
              <w:rPr/>
            </w:pPr>
            <w:r>
              <w:rPr/>
              <w:t>United States</w:t>
            </w:r>
          </w:p>
        </w:tc>
      </w:tr>
      <w:tr>
        <w:trPr/>
        <w:tc>
          <w:tcPr>
            <w:tcW w:w="15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2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56" w:type="dxa"/>
            <w:tcBorders/>
            <w:tcMar>
              <w:bottom w:w="0" w:type="dxa"/>
            </w:tcMar>
            <w:vAlign w:val="center"/>
          </w:tcPr>
          <w:p>
            <w:pPr>
              <w:pStyle w:val="TableContents"/>
              <w:bidi w:val="0"/>
              <w:spacing w:before="0" w:after="283"/>
              <w:ind w:left="0" w:right="0" w:hanging="180"/>
              <w:jc w:val="center"/>
              <w:rPr/>
            </w:pPr>
            <w:r>
              <w:rPr/>
              <w:t> </w:t>
            </w:r>
          </w:p>
        </w:tc>
      </w:tr>
      <w:tr>
        <w:trPr/>
        <w:tc>
          <w:tcPr>
            <w:tcW w:w="1565" w:type="dxa"/>
            <w:tcBorders/>
            <w:shd w:fill="FFFFFF" w:val="clear"/>
            <w:tcMar>
              <w:bottom w:w="0" w:type="dxa"/>
            </w:tcMar>
            <w:vAlign w:val="center"/>
          </w:tcPr>
          <w:p>
            <w:pPr>
              <w:pStyle w:val="TableContents"/>
              <w:bidi w:val="0"/>
              <w:spacing w:before="0" w:after="283"/>
              <w:jc w:val="left"/>
              <w:rPr/>
            </w:pPr>
            <w:r>
              <w:rPr/>
              <w:t>Ethan Nadelmann</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6" w:type="dxa"/>
            <w:tcBorders/>
            <w:shd w:fill="FFFFFF" w:val="clear"/>
            <w:tcMar>
              <w:bottom w:w="0" w:type="dxa"/>
            </w:tcMar>
            <w:vAlign w:val="center"/>
          </w:tcPr>
          <w:p>
            <w:pPr>
              <w:pStyle w:val="TableContents"/>
              <w:bidi w:val="0"/>
              <w:spacing w:before="0" w:after="283"/>
              <w:jc w:val="left"/>
              <w:rPr/>
            </w:pPr>
            <w:r>
              <w:rPr/>
              <w:t xml:space="preserve">Mr. Nadelmann has been deeply involved in cannabis policy and cannabis policy reform advocacy for over 35 years. He is the founder, host and executive producer of PSYCHOACTIVE, a podcast addressing cannabis and other drug issues. He is the founder of both the Drug Policy Alliance, a nonprofit organization where he was executive director from 2000 until 2017, and, prior to that, The Lindesmith Center, an Open Society Institute project that he directed from 1994 to 2000.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98" w:type="dxa"/>
            <w:tcBorders/>
            <w:shd w:fill="FFFFFF" w:val="clear"/>
            <w:tcMar>
              <w:bottom w:w="0" w:type="dxa"/>
            </w:tcMar>
            <w:vAlign w:val="center"/>
          </w:tcPr>
          <w:p>
            <w:pPr>
              <w:pStyle w:val="TableContents"/>
              <w:bidi w:val="0"/>
              <w:spacing w:before="0" w:after="283"/>
              <w:jc w:val="left"/>
              <w:rPr/>
            </w:pPr>
            <w:r>
              <w:rPr/>
              <w:t>325 West Huron Street, Suite 700, Chicago, Illinois 60654</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56" w:type="dxa"/>
            <w:tcBorders/>
            <w:shd w:fill="FFFFFF" w:val="clear"/>
            <w:tcMar>
              <w:bottom w:w="0" w:type="dxa"/>
            </w:tcMar>
            <w:vAlign w:val="center"/>
          </w:tcPr>
          <w:p>
            <w:pPr>
              <w:pStyle w:val="TableContents"/>
              <w:bidi w:val="0"/>
              <w:spacing w:before="0" w:after="283"/>
              <w:ind w:left="0" w:right="0" w:hanging="180"/>
              <w:jc w:val="center"/>
              <w:rPr/>
            </w:pPr>
            <w:r>
              <w:rPr/>
              <w:t>United States</w:t>
            </w:r>
          </w:p>
        </w:tc>
      </w:tr>
      <w:tr>
        <w:trPr/>
        <w:tc>
          <w:tcPr>
            <w:tcW w:w="15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2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56" w:type="dxa"/>
            <w:tcBorders/>
            <w:tcMar>
              <w:bottom w:w="0" w:type="dxa"/>
            </w:tcMar>
            <w:vAlign w:val="center"/>
          </w:tcPr>
          <w:p>
            <w:pPr>
              <w:pStyle w:val="TableContents"/>
              <w:bidi w:val="0"/>
              <w:spacing w:before="0" w:after="283"/>
              <w:ind w:left="0" w:right="0" w:hanging="180"/>
              <w:jc w:val="center"/>
              <w:rPr/>
            </w:pPr>
            <w:r>
              <w:rPr/>
              <w:t> </w:t>
            </w:r>
          </w:p>
        </w:tc>
      </w:tr>
      <w:tr>
        <w:trPr/>
        <w:tc>
          <w:tcPr>
            <w:tcW w:w="1565" w:type="dxa"/>
            <w:tcBorders/>
            <w:shd w:fill="FFFFFF" w:val="clear"/>
            <w:tcMar>
              <w:bottom w:w="0" w:type="dxa"/>
            </w:tcMar>
            <w:vAlign w:val="center"/>
          </w:tcPr>
          <w:p>
            <w:pPr>
              <w:pStyle w:val="TableContents"/>
              <w:bidi w:val="0"/>
              <w:spacing w:before="0" w:after="283"/>
              <w:jc w:val="left"/>
              <w:rPr/>
            </w:pPr>
            <w:r>
              <w:rPr/>
              <w:t>Richard Reisin</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6" w:type="dxa"/>
            <w:tcBorders/>
            <w:shd w:fill="FFFFFF" w:val="clear"/>
            <w:tcMar>
              <w:bottom w:w="0" w:type="dxa"/>
            </w:tcMar>
            <w:vAlign w:val="center"/>
          </w:tcPr>
          <w:p>
            <w:pPr>
              <w:pStyle w:val="TableContents"/>
              <w:bidi w:val="0"/>
              <w:spacing w:before="0" w:after="283"/>
              <w:jc w:val="left"/>
              <w:rPr/>
            </w:pPr>
            <w:r>
              <w:rPr/>
              <w:t xml:space="preserve">From July 2015 to November 2020, Mr. Reisin served as Executive Vice President and Director at Carylon Corporation, a national organization of industry-leading, regional operating companies that offer a wide range of specialized services including sewer maintenance, industrial services, and water management for municipalities, utilities, and industrial companies.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98" w:type="dxa"/>
            <w:tcBorders/>
            <w:shd w:fill="FFFFFF" w:val="clear"/>
            <w:tcMar>
              <w:bottom w:w="0" w:type="dxa"/>
            </w:tcMar>
            <w:vAlign w:val="center"/>
          </w:tcPr>
          <w:p>
            <w:pPr>
              <w:pStyle w:val="TableContents"/>
              <w:bidi w:val="0"/>
              <w:spacing w:before="0" w:after="283"/>
              <w:jc w:val="left"/>
              <w:rPr/>
            </w:pPr>
            <w:r>
              <w:rPr/>
              <w:t>325 West Huron Street, Suite 700, Chicago, Illinois 60654</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56" w:type="dxa"/>
            <w:tcBorders/>
            <w:shd w:fill="FFFFFF" w:val="clear"/>
            <w:tcMar>
              <w:bottom w:w="0" w:type="dxa"/>
            </w:tcMar>
            <w:vAlign w:val="center"/>
          </w:tcPr>
          <w:p>
            <w:pPr>
              <w:pStyle w:val="TableContents"/>
              <w:bidi w:val="0"/>
              <w:spacing w:before="0" w:after="283"/>
              <w:ind w:left="0" w:right="0" w:hanging="180"/>
              <w:jc w:val="center"/>
              <w:rPr/>
            </w:pPr>
            <w:r>
              <w:rPr/>
              <w:t>United States</w:t>
            </w:r>
          </w:p>
        </w:tc>
      </w:tr>
      <w:tr>
        <w:trPr/>
        <w:tc>
          <w:tcPr>
            <w:tcW w:w="15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2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56" w:type="dxa"/>
            <w:tcBorders/>
            <w:tcMar>
              <w:bottom w:w="0" w:type="dxa"/>
            </w:tcMar>
            <w:vAlign w:val="center"/>
          </w:tcPr>
          <w:p>
            <w:pPr>
              <w:pStyle w:val="TableContents"/>
              <w:bidi w:val="0"/>
              <w:spacing w:before="0" w:after="283"/>
              <w:ind w:left="0" w:right="0" w:hanging="180"/>
              <w:jc w:val="center"/>
              <w:rPr/>
            </w:pPr>
            <w:r>
              <w:rPr/>
              <w:t> </w:t>
            </w:r>
          </w:p>
        </w:tc>
      </w:tr>
      <w:tr>
        <w:trPr/>
        <w:tc>
          <w:tcPr>
            <w:tcW w:w="1565" w:type="dxa"/>
            <w:tcBorders/>
            <w:shd w:fill="FFFFFF" w:val="clear"/>
            <w:tcMar>
              <w:bottom w:w="0" w:type="dxa"/>
            </w:tcMar>
            <w:vAlign w:val="center"/>
          </w:tcPr>
          <w:p>
            <w:pPr>
              <w:pStyle w:val="TableContents"/>
              <w:bidi w:val="0"/>
              <w:spacing w:before="0" w:after="283"/>
              <w:jc w:val="left"/>
              <w:rPr/>
            </w:pPr>
            <w:r>
              <w:rPr/>
              <w:t>Hannah (Buchan) Ross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6" w:type="dxa"/>
            <w:tcBorders/>
            <w:shd w:fill="FFFFFF" w:val="clear"/>
            <w:tcMar>
              <w:bottom w:w="0" w:type="dxa"/>
            </w:tcMar>
            <w:vAlign w:val="center"/>
          </w:tcPr>
          <w:p>
            <w:pPr>
              <w:pStyle w:val="TableContents"/>
              <w:bidi w:val="0"/>
              <w:spacing w:before="0" w:after="283"/>
              <w:jc w:val="left"/>
              <w:rPr/>
            </w:pPr>
            <w:r>
              <w:rPr/>
              <w:t xml:space="preserve">Ms. Ross has served as the Chief Operating Officer of Edie Parker, a lifestyle brand merging the worlds of fashion and cannabis since 2022- spearheading that company’s growth. Since December 2017, Ms. Ross has also been a Partner at Beehouse LLC, an investment firm focused on the U.S. legal cannabis industry. From September 2020 to February 2021, she served as the interim Chief Executive Officer for Lowell Herb Co.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98" w:type="dxa"/>
            <w:tcBorders/>
            <w:shd w:fill="FFFFFF" w:val="clear"/>
            <w:tcMar>
              <w:bottom w:w="0" w:type="dxa"/>
            </w:tcMar>
            <w:vAlign w:val="center"/>
          </w:tcPr>
          <w:p>
            <w:pPr>
              <w:pStyle w:val="TableContents"/>
              <w:bidi w:val="0"/>
              <w:spacing w:before="0" w:after="283"/>
              <w:jc w:val="left"/>
              <w:rPr/>
            </w:pPr>
            <w:r>
              <w:rPr/>
              <w:t>325 West Huron Street, Suite 700, Chicago, Illinois 60654</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56" w:type="dxa"/>
            <w:tcBorders/>
            <w:shd w:fill="FFFFFF" w:val="clear"/>
            <w:tcMar>
              <w:bottom w:w="0" w:type="dxa"/>
            </w:tcMar>
            <w:vAlign w:val="center"/>
          </w:tcPr>
          <w:p>
            <w:pPr>
              <w:pStyle w:val="TableContents"/>
              <w:bidi w:val="0"/>
              <w:spacing w:before="0" w:after="283"/>
              <w:ind w:left="0" w:right="0" w:hanging="180"/>
              <w:jc w:val="center"/>
              <w:rPr/>
            </w:pPr>
            <w:r>
              <w:rPr/>
              <w:t>United States</w:t>
            </w:r>
          </w:p>
        </w:tc>
      </w:tr>
      <w:tr>
        <w:trPr/>
        <w:tc>
          <w:tcPr>
            <w:tcW w:w="15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2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56" w:type="dxa"/>
            <w:tcBorders/>
            <w:tcMar>
              <w:bottom w:w="0" w:type="dxa"/>
            </w:tcMar>
            <w:vAlign w:val="center"/>
          </w:tcPr>
          <w:p>
            <w:pPr>
              <w:pStyle w:val="TableContents"/>
              <w:bidi w:val="0"/>
              <w:spacing w:before="0" w:after="283"/>
              <w:ind w:left="0" w:right="0" w:hanging="180"/>
              <w:jc w:val="center"/>
              <w:rPr/>
            </w:pPr>
            <w:r>
              <w:rPr/>
              <w:t> </w:t>
            </w:r>
          </w:p>
        </w:tc>
      </w:tr>
      <w:tr>
        <w:trPr/>
        <w:tc>
          <w:tcPr>
            <w:tcW w:w="1565" w:type="dxa"/>
            <w:tcBorders/>
            <w:shd w:fill="FFFFFF" w:val="clear"/>
            <w:tcMar>
              <w:bottom w:w="0" w:type="dxa"/>
            </w:tcMar>
            <w:vAlign w:val="center"/>
          </w:tcPr>
          <w:p>
            <w:pPr>
              <w:pStyle w:val="TableContents"/>
              <w:bidi w:val="0"/>
              <w:spacing w:before="0" w:after="283"/>
              <w:jc w:val="left"/>
              <w:rPr/>
            </w:pPr>
            <w:r>
              <w:rPr/>
              <w:t xml:space="preserve">Mathew Faulkner </w:t>
              <w:br/>
              <w:t>Chief Financial Officer</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6" w:type="dxa"/>
            <w:tcBorders/>
            <w:shd w:fill="FFFFFF" w:val="clear"/>
            <w:tcMar>
              <w:bottom w:w="0" w:type="dxa"/>
            </w:tcMar>
            <w:vAlign w:val="center"/>
          </w:tcPr>
          <w:p>
            <w:pPr>
              <w:pStyle w:val="TableContents"/>
              <w:bidi w:val="0"/>
              <w:spacing w:before="0" w:after="283"/>
              <w:jc w:val="left"/>
              <w:rPr/>
            </w:pPr>
            <w:r>
              <w:rPr/>
              <w:t>Mr. Faulkner was appointed as the Company’s first Chief Accounting Officer in August 2020 and, in January 2023, became Chief Financial Officer. Mr. Faulkner has been with the Company since May 7, 2018, having previously served as the Company’s Senior Vice President of Accounting.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98" w:type="dxa"/>
            <w:tcBorders/>
            <w:shd w:fill="FFFFFF" w:val="clear"/>
            <w:tcMar>
              <w:bottom w:w="0" w:type="dxa"/>
            </w:tcMar>
            <w:vAlign w:val="center"/>
          </w:tcPr>
          <w:p>
            <w:pPr>
              <w:pStyle w:val="TableContents"/>
              <w:bidi w:val="0"/>
              <w:spacing w:before="0" w:after="283"/>
              <w:jc w:val="left"/>
              <w:rPr/>
            </w:pPr>
            <w:r>
              <w:rPr/>
              <w:t>325 West Huron Street, Suite 700, Chicago, Illinois 60654</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56" w:type="dxa"/>
            <w:tcBorders/>
            <w:shd w:fill="FFFFFF" w:val="clear"/>
            <w:tcMar>
              <w:bottom w:w="0" w:type="dxa"/>
            </w:tcMar>
            <w:vAlign w:val="center"/>
          </w:tcPr>
          <w:p>
            <w:pPr>
              <w:pStyle w:val="TableContents"/>
              <w:bidi w:val="0"/>
              <w:spacing w:before="0" w:after="283"/>
              <w:ind w:left="0" w:right="0" w:hanging="180"/>
              <w:jc w:val="center"/>
              <w:rPr/>
            </w:pPr>
            <w:r>
              <w:rPr/>
              <w:t>United States</w:t>
            </w:r>
          </w:p>
        </w:tc>
      </w:tr>
      <w:tr>
        <w:trPr/>
        <w:tc>
          <w:tcPr>
            <w:tcW w:w="15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2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56" w:type="dxa"/>
            <w:tcBorders/>
            <w:tcMar>
              <w:bottom w:w="0" w:type="dxa"/>
            </w:tcMar>
            <w:vAlign w:val="center"/>
          </w:tcPr>
          <w:p>
            <w:pPr>
              <w:pStyle w:val="TableContents"/>
              <w:bidi w:val="0"/>
              <w:spacing w:before="0" w:after="283"/>
              <w:ind w:left="0" w:right="0" w:hanging="180"/>
              <w:jc w:val="center"/>
              <w:rPr/>
            </w:pPr>
            <w:r>
              <w:rPr/>
              <w:t> </w:t>
            </w:r>
          </w:p>
        </w:tc>
      </w:tr>
      <w:tr>
        <w:trPr/>
        <w:tc>
          <w:tcPr>
            <w:tcW w:w="1565" w:type="dxa"/>
            <w:tcBorders/>
            <w:tcMar>
              <w:bottom w:w="0" w:type="dxa"/>
            </w:tcMar>
            <w:vAlign w:val="center"/>
          </w:tcPr>
          <w:p>
            <w:pPr>
              <w:pStyle w:val="TableContents"/>
              <w:bidi w:val="0"/>
              <w:spacing w:before="0" w:after="283"/>
              <w:jc w:val="left"/>
              <w:rPr/>
            </w:pPr>
            <w:r>
              <w:rPr/>
              <w:t xml:space="preserve">Bret Kravitz </w:t>
              <w:br/>
              <w:t>General Counsel and Secretary</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206" w:type="dxa"/>
            <w:tcBorders/>
            <w:tcMar>
              <w:bottom w:w="0" w:type="dxa"/>
            </w:tcMar>
            <w:vAlign w:val="center"/>
          </w:tcPr>
          <w:p>
            <w:pPr>
              <w:pStyle w:val="TableContents"/>
              <w:bidi w:val="0"/>
              <w:spacing w:before="0" w:after="283"/>
              <w:jc w:val="left"/>
              <w:rPr/>
            </w:pPr>
            <w:r>
              <w:rPr/>
              <w:t>Mr. Kravitz became the company’s General Counsel on January 1, 2023, having previously served as the Company’s Chief Corporate Counsel since 2017.</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98" w:type="dxa"/>
            <w:tcBorders/>
            <w:tcMar>
              <w:bottom w:w="0" w:type="dxa"/>
            </w:tcMar>
            <w:vAlign w:val="center"/>
          </w:tcPr>
          <w:p>
            <w:pPr>
              <w:pStyle w:val="TableContents"/>
              <w:bidi w:val="0"/>
              <w:spacing w:before="0" w:after="283"/>
              <w:jc w:val="left"/>
              <w:rPr/>
            </w:pPr>
            <w:r>
              <w:rPr/>
              <w:t>325 West Huron Street, Suite 700, Chicago, Illinois 60654</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56" w:type="dxa"/>
            <w:tcBorders/>
            <w:tcMar>
              <w:bottom w:w="0" w:type="dxa"/>
            </w:tcMar>
            <w:vAlign w:val="center"/>
          </w:tcPr>
          <w:p>
            <w:pPr>
              <w:pStyle w:val="TableContents"/>
              <w:bidi w:val="0"/>
              <w:spacing w:before="0" w:after="283"/>
              <w:jc w:val="center"/>
              <w:rPr/>
            </w:pPr>
            <w:r>
              <w:rPr/>
              <w:t>United States</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Directors and Executive Officers of For Success Holdings Company</w:t>
      </w:r>
    </w:p>
    <w:p>
      <w:pPr>
        <w:pStyle w:val="TextBody"/>
        <w:bidi w:val="0"/>
        <w:spacing w:before="0" w:after="0"/>
        <w:ind w:left="5040" w:right="0" w:hanging="5040"/>
        <w:jc w:val="center"/>
        <w:rPr>
          <w:caps w:val="false"/>
          <w:smallCaps w:val="false"/>
          <w:strike w:val="false"/>
          <w:dstrike w:val="false"/>
          <w:u w:val="none"/>
          <w:effect w:val="none"/>
        </w:rPr>
      </w:pPr>
      <w:r>
        <w:rPr>
          <w:caps w:val="false"/>
          <w:smallCaps w:val="false"/>
          <w:strike w:val="false"/>
          <w:dstrike w:val="false"/>
          <w:u w:val="none"/>
          <w:effect w:val="none"/>
        </w:rPr>
        <w:t> </w:t>
      </w:r>
    </w:p>
    <w:tbl>
      <w:tblPr>
        <w:tblW w:w="10205" w:type="dxa"/>
        <w:jc w:val="left"/>
        <w:tblInd w:w="0" w:type="dxa"/>
        <w:tblLayout w:type="fixed"/>
        <w:tblCellMar>
          <w:top w:w="0" w:type="dxa"/>
          <w:left w:w="0" w:type="dxa"/>
          <w:bottom w:w="28" w:type="dxa"/>
          <w:right w:w="0" w:type="dxa"/>
        </w:tblCellMar>
      </w:tblPr>
      <w:tblGrid>
        <w:gridCol w:w="1660"/>
        <w:gridCol w:w="60"/>
        <w:gridCol w:w="5709"/>
        <w:gridCol w:w="60"/>
        <w:gridCol w:w="1670"/>
        <w:gridCol w:w="60"/>
        <w:gridCol w:w="986"/>
      </w:tblGrid>
      <w:tr>
        <w:trPr/>
        <w:tc>
          <w:tcPr>
            <w:tcW w:w="1660" w:type="dxa"/>
            <w:tcBorders>
              <w:bottom w:val="single" w:sz="12" w:space="0" w:color="000000"/>
            </w:tcBorders>
            <w:shd w:fill="FFFFFF" w:val="clear"/>
            <w:vAlign w:val="center"/>
          </w:tcPr>
          <w:p>
            <w:pPr>
              <w:pStyle w:val="TableContents"/>
              <w:bidi w:val="0"/>
              <w:spacing w:before="0" w:after="283"/>
              <w:ind w:left="0" w:right="0" w:hanging="180"/>
              <w:jc w:val="left"/>
              <w:rPr>
                <w:strike w:val="false"/>
                <w:dstrike w:val="false"/>
                <w:u w:val="none"/>
                <w:effect w:val="none"/>
              </w:rPr>
            </w:pPr>
            <w:r>
              <w:rPr>
                <w:strike w:val="false"/>
                <w:dstrike w:val="false"/>
                <w:u w:val="none"/>
                <w:effect w:val="none"/>
              </w:rPr>
              <w:t>Name and Position</w:t>
            </w:r>
          </w:p>
        </w:tc>
        <w:tc>
          <w:tcPr>
            <w:tcW w:w="60" w:type="dxa"/>
            <w:tcBorders/>
            <w:shd w:fill="FFFFFF" w:val="clear"/>
            <w:tcMar>
              <w:bottom w:w="0" w:type="dxa"/>
            </w:tcMar>
            <w:vAlign w:val="center"/>
          </w:tcPr>
          <w:p>
            <w:pPr>
              <w:pStyle w:val="TableContents"/>
              <w:bidi w:val="0"/>
              <w:spacing w:before="0" w:after="283"/>
              <w:jc w:val="center"/>
              <w:rPr>
                <w:strike w:val="false"/>
                <w:dstrike w:val="false"/>
                <w:u w:val="none"/>
                <w:effect w:val="none"/>
              </w:rPr>
            </w:pPr>
            <w:r>
              <w:rPr>
                <w:strike w:val="false"/>
                <w:dstrike w:val="false"/>
                <w:u w:val="none"/>
                <w:effect w:val="none"/>
              </w:rPr>
              <w:t> </w:t>
            </w:r>
          </w:p>
        </w:tc>
        <w:tc>
          <w:tcPr>
            <w:tcW w:w="5709" w:type="dxa"/>
            <w:tcBorders>
              <w:bottom w:val="single" w:sz="12" w:space="0" w:color="000000"/>
            </w:tcBorders>
            <w:shd w:fill="FFFFFF" w:val="clear"/>
            <w:vAlign w:val="center"/>
          </w:tcPr>
          <w:p>
            <w:pPr>
              <w:pStyle w:val="TableContents"/>
              <w:bidi w:val="0"/>
              <w:spacing w:before="0" w:after="283"/>
              <w:jc w:val="center"/>
              <w:rPr>
                <w:strike w:val="false"/>
                <w:dstrike w:val="false"/>
                <w:u w:val="none"/>
                <w:effect w:val="none"/>
              </w:rPr>
            </w:pPr>
            <w:r>
              <w:rPr>
                <w:strike w:val="false"/>
                <w:dstrike w:val="false"/>
                <w:u w:val="none"/>
                <w:effect w:val="none"/>
              </w:rPr>
              <w:t>Present Principal Occupation</w:t>
            </w:r>
          </w:p>
        </w:tc>
        <w:tc>
          <w:tcPr>
            <w:tcW w:w="60" w:type="dxa"/>
            <w:tcBorders/>
            <w:shd w:fill="FFFFFF" w:val="clear"/>
            <w:tcMar>
              <w:bottom w:w="0" w:type="dxa"/>
            </w:tcMar>
            <w:vAlign w:val="center"/>
          </w:tcPr>
          <w:p>
            <w:pPr>
              <w:pStyle w:val="TableContents"/>
              <w:bidi w:val="0"/>
              <w:spacing w:before="0" w:after="283"/>
              <w:jc w:val="center"/>
              <w:rPr>
                <w:strike w:val="false"/>
                <w:dstrike w:val="false"/>
                <w:u w:val="none"/>
                <w:effect w:val="none"/>
              </w:rPr>
            </w:pPr>
            <w:r>
              <w:rPr>
                <w:strike w:val="false"/>
                <w:dstrike w:val="false"/>
                <w:u w:val="none"/>
                <w:effect w:val="none"/>
              </w:rPr>
              <w:t> </w:t>
            </w:r>
          </w:p>
        </w:tc>
        <w:tc>
          <w:tcPr>
            <w:tcW w:w="1670" w:type="dxa"/>
            <w:tcBorders>
              <w:bottom w:val="single" w:sz="12" w:space="0" w:color="000000"/>
            </w:tcBorders>
            <w:shd w:fill="FFFFFF" w:val="clear"/>
            <w:vAlign w:val="center"/>
          </w:tcPr>
          <w:p>
            <w:pPr>
              <w:pStyle w:val="TableContents"/>
              <w:bidi w:val="0"/>
              <w:spacing w:before="0" w:after="283"/>
              <w:jc w:val="center"/>
              <w:rPr>
                <w:strike w:val="false"/>
                <w:dstrike w:val="false"/>
                <w:u w:val="none"/>
                <w:effect w:val="none"/>
              </w:rPr>
            </w:pPr>
            <w:r>
              <w:rPr>
                <w:strike w:val="false"/>
                <w:dstrike w:val="false"/>
                <w:u w:val="none"/>
                <w:effect w:val="none"/>
              </w:rPr>
              <w:t>Business Address</w:t>
            </w:r>
          </w:p>
        </w:tc>
        <w:tc>
          <w:tcPr>
            <w:tcW w:w="60" w:type="dxa"/>
            <w:tcBorders/>
            <w:shd w:fill="FFFFFF" w:val="clear"/>
            <w:tcMar>
              <w:bottom w:w="0" w:type="dxa"/>
            </w:tcMar>
            <w:vAlign w:val="center"/>
          </w:tcPr>
          <w:p>
            <w:pPr>
              <w:pStyle w:val="TableContents"/>
              <w:bidi w:val="0"/>
              <w:spacing w:before="0" w:after="283"/>
              <w:jc w:val="center"/>
              <w:rPr>
                <w:strike w:val="false"/>
                <w:dstrike w:val="false"/>
                <w:u w:val="none"/>
                <w:effect w:val="none"/>
              </w:rPr>
            </w:pPr>
            <w:r>
              <w:rPr>
                <w:strike w:val="false"/>
                <w:dstrike w:val="false"/>
                <w:u w:val="none"/>
                <w:effect w:val="none"/>
              </w:rPr>
              <w:t> </w:t>
            </w:r>
          </w:p>
        </w:tc>
        <w:tc>
          <w:tcPr>
            <w:tcW w:w="986" w:type="dxa"/>
            <w:tcBorders>
              <w:bottom w:val="single" w:sz="12" w:space="0" w:color="000000"/>
            </w:tcBorders>
            <w:shd w:fill="FFFFFF" w:val="clear"/>
            <w:vAlign w:val="center"/>
          </w:tcPr>
          <w:p>
            <w:pPr>
              <w:pStyle w:val="TableContents"/>
              <w:bidi w:val="0"/>
              <w:spacing w:before="0" w:after="283"/>
              <w:ind w:left="0" w:right="0" w:hanging="180"/>
              <w:jc w:val="center"/>
              <w:rPr>
                <w:strike w:val="false"/>
                <w:dstrike w:val="false"/>
                <w:u w:val="none"/>
                <w:effect w:val="none"/>
              </w:rPr>
            </w:pPr>
            <w:r>
              <w:rPr>
                <w:strike w:val="false"/>
                <w:dstrike w:val="false"/>
                <w:u w:val="none"/>
                <w:effect w:val="none"/>
              </w:rPr>
              <w:t>Citizenship</w:t>
            </w:r>
          </w:p>
        </w:tc>
      </w:tr>
      <w:tr>
        <w:trPr/>
        <w:tc>
          <w:tcPr>
            <w:tcW w:w="1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7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6" w:type="dxa"/>
            <w:tcBorders/>
            <w:tcMar>
              <w:bottom w:w="0" w:type="dxa"/>
            </w:tcMar>
            <w:vAlign w:val="center"/>
          </w:tcPr>
          <w:p>
            <w:pPr>
              <w:pStyle w:val="TableContents"/>
              <w:bidi w:val="0"/>
              <w:spacing w:before="0" w:after="283"/>
              <w:ind w:left="0" w:right="0" w:hanging="180"/>
              <w:jc w:val="center"/>
              <w:rPr/>
            </w:pPr>
            <w:r>
              <w:rPr/>
              <w:t> </w:t>
            </w:r>
          </w:p>
        </w:tc>
      </w:tr>
      <w:tr>
        <w:trPr/>
        <w:tc>
          <w:tcPr>
            <w:tcW w:w="1660" w:type="dxa"/>
            <w:tcBorders/>
            <w:shd w:fill="FFFFFF" w:val="clear"/>
            <w:tcMar>
              <w:bottom w:w="0" w:type="dxa"/>
            </w:tcMar>
            <w:vAlign w:val="center"/>
          </w:tcPr>
          <w:p>
            <w:pPr>
              <w:pStyle w:val="TableContents"/>
              <w:bidi w:val="0"/>
              <w:spacing w:before="0" w:after="283"/>
              <w:jc w:val="left"/>
              <w:rPr/>
            </w:pPr>
            <w:r>
              <w:rPr/>
              <w:t xml:space="preserve">Anthony Georgiadis </w:t>
              <w:br/>
              <w:t>President and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09" w:type="dxa"/>
            <w:tcBorders/>
            <w:shd w:fill="FFFFFF" w:val="clear"/>
            <w:tcMar>
              <w:bottom w:w="0" w:type="dxa"/>
            </w:tcMar>
            <w:vAlign w:val="center"/>
          </w:tcPr>
          <w:p>
            <w:pPr>
              <w:pStyle w:val="TableContents"/>
              <w:bidi w:val="0"/>
              <w:spacing w:before="0" w:after="283"/>
              <w:jc w:val="left"/>
              <w:rPr/>
            </w:pPr>
            <w:r>
              <w:rPr/>
              <w:t>Mr. Georgiadis assumed the role of President of GTI as of January 1, 2023, after joining GTI in May 2015 as a managing partner and then holding the role of Chief Financial Officer of GTI from January 2017 until becoming President of GTI.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283"/>
              <w:jc w:val="left"/>
              <w:rPr/>
            </w:pPr>
            <w:r>
              <w:rPr/>
              <w:t>325 West Huron Street, Suite 700, Chicago, Illinois 60654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6" w:type="dxa"/>
            <w:tcBorders/>
            <w:shd w:fill="FFFFFF" w:val="clear"/>
            <w:tcMar>
              <w:bottom w:w="0" w:type="dxa"/>
            </w:tcMar>
            <w:vAlign w:val="center"/>
          </w:tcPr>
          <w:p>
            <w:pPr>
              <w:pStyle w:val="TableContents"/>
              <w:bidi w:val="0"/>
              <w:spacing w:before="0" w:after="283"/>
              <w:ind w:left="0" w:right="0" w:hanging="180"/>
              <w:jc w:val="center"/>
              <w:rPr/>
            </w:pPr>
            <w:r>
              <w:rPr/>
              <w:t>United States</w:t>
            </w:r>
          </w:p>
        </w:tc>
      </w:tr>
      <w:tr>
        <w:trPr/>
        <w:tc>
          <w:tcPr>
            <w:tcW w:w="1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7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6" w:type="dxa"/>
            <w:tcBorders/>
            <w:tcMar>
              <w:bottom w:w="0" w:type="dxa"/>
            </w:tcMar>
            <w:vAlign w:val="center"/>
          </w:tcPr>
          <w:p>
            <w:pPr>
              <w:pStyle w:val="TableContents"/>
              <w:bidi w:val="0"/>
              <w:spacing w:before="0" w:after="283"/>
              <w:ind w:left="0" w:right="0" w:hanging="180"/>
              <w:jc w:val="center"/>
              <w:rPr/>
            </w:pPr>
            <w:r>
              <w:rPr/>
              <w:t> </w:t>
            </w:r>
          </w:p>
        </w:tc>
      </w:tr>
      <w:tr>
        <w:trPr/>
        <w:tc>
          <w:tcPr>
            <w:tcW w:w="1660" w:type="dxa"/>
            <w:tcBorders/>
            <w:shd w:fill="FFFFFF" w:val="clear"/>
            <w:tcMar>
              <w:bottom w:w="0" w:type="dxa"/>
            </w:tcMar>
            <w:vAlign w:val="center"/>
          </w:tcPr>
          <w:p>
            <w:pPr>
              <w:pStyle w:val="TableContents"/>
              <w:bidi w:val="0"/>
              <w:spacing w:before="0" w:after="283"/>
              <w:jc w:val="left"/>
              <w:rPr/>
            </w:pPr>
            <w:r>
              <w:rPr/>
              <w:t xml:space="preserve">Benjamin Kovler </w:t>
              <w:br/>
              <w:t>Chief Executive Officer, President and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09" w:type="dxa"/>
            <w:tcBorders/>
            <w:shd w:fill="FFFFFF" w:val="clear"/>
            <w:tcMar>
              <w:bottom w:w="0" w:type="dxa"/>
            </w:tcMar>
            <w:vAlign w:val="center"/>
          </w:tcPr>
          <w:p>
            <w:pPr>
              <w:pStyle w:val="TableContents"/>
              <w:bidi w:val="0"/>
              <w:spacing w:before="0" w:after="283"/>
              <w:jc w:val="left"/>
              <w:rPr/>
            </w:pPr>
            <w:r>
              <w:rPr/>
              <w:t>Benjamin Kovler founded Green Thumb Industries Inc. in 2014. He has been Chairman of GTI since 2014 and Chief Executive Officer from 2014 through year-end 2017 and since August 2018.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283"/>
              <w:jc w:val="left"/>
              <w:rPr/>
            </w:pPr>
            <w:r>
              <w:rPr/>
              <w:t xml:space="preserve">325 West Huron Street, Suite 700, Chicago, Illinois 60654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6" w:type="dxa"/>
            <w:tcBorders/>
            <w:shd w:fill="FFFFFF" w:val="clear"/>
            <w:tcMar>
              <w:bottom w:w="0" w:type="dxa"/>
            </w:tcMar>
            <w:vAlign w:val="center"/>
          </w:tcPr>
          <w:p>
            <w:pPr>
              <w:pStyle w:val="TableContents"/>
              <w:bidi w:val="0"/>
              <w:spacing w:before="0" w:after="283"/>
              <w:ind w:left="0" w:right="0" w:hanging="180"/>
              <w:jc w:val="center"/>
              <w:rPr/>
            </w:pPr>
            <w:r>
              <w:rPr/>
              <w:t>United States</w:t>
            </w:r>
          </w:p>
        </w:tc>
      </w:tr>
      <w:tr>
        <w:trPr/>
        <w:tc>
          <w:tcPr>
            <w:tcW w:w="1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7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6" w:type="dxa"/>
            <w:tcBorders/>
            <w:tcMar>
              <w:bottom w:w="0" w:type="dxa"/>
            </w:tcMar>
            <w:vAlign w:val="center"/>
          </w:tcPr>
          <w:p>
            <w:pPr>
              <w:pStyle w:val="TableContents"/>
              <w:bidi w:val="0"/>
              <w:spacing w:before="0" w:after="283"/>
              <w:ind w:left="0" w:right="0" w:hanging="180"/>
              <w:jc w:val="center"/>
              <w:rPr/>
            </w:pPr>
            <w:r>
              <w:rPr/>
              <w:t> </w:t>
            </w:r>
          </w:p>
        </w:tc>
      </w:tr>
      <w:tr>
        <w:trPr/>
        <w:tc>
          <w:tcPr>
            <w:tcW w:w="1660" w:type="dxa"/>
            <w:tcBorders/>
            <w:shd w:fill="FFFFFF" w:val="clear"/>
            <w:tcMar>
              <w:bottom w:w="0" w:type="dxa"/>
            </w:tcMar>
            <w:vAlign w:val="center"/>
          </w:tcPr>
          <w:p>
            <w:pPr>
              <w:pStyle w:val="TableContents"/>
              <w:bidi w:val="0"/>
              <w:spacing w:before="0" w:after="283"/>
              <w:jc w:val="left"/>
              <w:rPr/>
            </w:pPr>
            <w:r>
              <w:rPr/>
              <w:t xml:space="preserve">Andrew Grossman </w:t>
              <w:b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09" w:type="dxa"/>
            <w:tcBorders/>
            <w:shd w:fill="FFFFFF" w:val="clear"/>
            <w:tcMar>
              <w:bottom w:w="0" w:type="dxa"/>
            </w:tcMar>
            <w:vAlign w:val="center"/>
          </w:tcPr>
          <w:p>
            <w:pPr>
              <w:pStyle w:val="TableContents"/>
              <w:bidi w:val="0"/>
              <w:spacing w:before="0" w:after="283"/>
              <w:jc w:val="left"/>
              <w:rPr/>
            </w:pPr>
            <w:r>
              <w:rPr/>
              <w:t xml:space="preserve">Mr. Grossman joined GTI as an investor in 2015, and as an employee in 2016. He is currently the Executive Vice President of Capital Markets and Investor Relations of GTI.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283"/>
              <w:jc w:val="left"/>
              <w:rPr/>
            </w:pPr>
            <w:r>
              <w:rPr/>
              <w:t>325 West Huron Street, Suite 700, Chicago, Illinois 60654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6" w:type="dxa"/>
            <w:tcBorders/>
            <w:shd w:fill="FFFFFF" w:val="clear"/>
            <w:tcMar>
              <w:bottom w:w="0" w:type="dxa"/>
            </w:tcMar>
            <w:vAlign w:val="center"/>
          </w:tcPr>
          <w:p>
            <w:pPr>
              <w:pStyle w:val="TableContents"/>
              <w:bidi w:val="0"/>
              <w:spacing w:before="0" w:after="283"/>
              <w:jc w:val="center"/>
              <w:rPr/>
            </w:pPr>
            <w:r>
              <w:rPr/>
              <w:t>United States</w:t>
            </w:r>
          </w:p>
        </w:tc>
      </w:tr>
    </w:tbl>
    <w:p>
      <w:pPr>
        <w:pStyle w:val="TextBody"/>
        <w:bidi w:val="0"/>
        <w:spacing w:before="0" w:after="0"/>
        <w:ind w:left="5040" w:right="0" w:hanging="50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Directors of GTI23, Inc. (There are no Currently Named Executive Officers)</w:t>
      </w:r>
    </w:p>
    <w:p>
      <w:pPr>
        <w:pStyle w:val="TextBody"/>
        <w:bidi w:val="0"/>
        <w:spacing w:before="0" w:after="0"/>
        <w:ind w:left="5040" w:right="0" w:hanging="5040"/>
        <w:jc w:val="center"/>
        <w:rPr>
          <w:caps w:val="false"/>
          <w:smallCaps w:val="false"/>
          <w:strike w:val="false"/>
          <w:dstrike w:val="false"/>
          <w:u w:val="none"/>
          <w:effect w:val="none"/>
        </w:rPr>
      </w:pPr>
      <w:r>
        <w:rPr>
          <w:caps w:val="false"/>
          <w:smallCaps w:val="false"/>
          <w:strike w:val="false"/>
          <w:dstrike w:val="false"/>
          <w:u w:val="none"/>
          <w:effect w:val="none"/>
        </w:rPr>
        <w:t> </w:t>
      </w:r>
    </w:p>
    <w:tbl>
      <w:tblPr>
        <w:tblW w:w="10205" w:type="dxa"/>
        <w:jc w:val="left"/>
        <w:tblInd w:w="0" w:type="dxa"/>
        <w:tblLayout w:type="fixed"/>
        <w:tblCellMar>
          <w:top w:w="0" w:type="dxa"/>
          <w:left w:w="0" w:type="dxa"/>
          <w:bottom w:w="28" w:type="dxa"/>
          <w:right w:w="0" w:type="dxa"/>
        </w:tblCellMar>
      </w:tblPr>
      <w:tblGrid>
        <w:gridCol w:w="1248"/>
        <w:gridCol w:w="60"/>
        <w:gridCol w:w="6039"/>
        <w:gridCol w:w="60"/>
        <w:gridCol w:w="1746"/>
        <w:gridCol w:w="60"/>
        <w:gridCol w:w="992"/>
      </w:tblGrid>
      <w:tr>
        <w:trPr/>
        <w:tc>
          <w:tcPr>
            <w:tcW w:w="1248" w:type="dxa"/>
            <w:tcBorders>
              <w:bottom w:val="single" w:sz="12" w:space="0" w:color="000000"/>
            </w:tcBorders>
            <w:shd w:fill="FFFFFF" w:val="clear"/>
            <w:vAlign w:val="center"/>
          </w:tcPr>
          <w:p>
            <w:pPr>
              <w:pStyle w:val="TableContents"/>
              <w:bidi w:val="0"/>
              <w:spacing w:before="0" w:after="283"/>
              <w:ind w:left="0" w:right="0" w:hanging="180"/>
              <w:jc w:val="left"/>
              <w:rPr>
                <w:strike w:val="false"/>
                <w:dstrike w:val="false"/>
                <w:u w:val="none"/>
                <w:effect w:val="none"/>
              </w:rPr>
            </w:pPr>
            <w:r>
              <w:rPr>
                <w:strike w:val="false"/>
                <w:dstrike w:val="false"/>
                <w:u w:val="none"/>
                <w:effect w:val="none"/>
              </w:rPr>
              <w:t>Name and Position</w:t>
            </w:r>
          </w:p>
        </w:tc>
        <w:tc>
          <w:tcPr>
            <w:tcW w:w="60" w:type="dxa"/>
            <w:tcBorders/>
            <w:shd w:fill="FFFFFF" w:val="clear"/>
            <w:tcMar>
              <w:bottom w:w="0" w:type="dxa"/>
            </w:tcMar>
            <w:vAlign w:val="center"/>
          </w:tcPr>
          <w:p>
            <w:pPr>
              <w:pStyle w:val="TableContents"/>
              <w:bidi w:val="0"/>
              <w:spacing w:before="0" w:after="283"/>
              <w:jc w:val="center"/>
              <w:rPr>
                <w:strike w:val="false"/>
                <w:dstrike w:val="false"/>
                <w:u w:val="none"/>
                <w:effect w:val="none"/>
              </w:rPr>
            </w:pPr>
            <w:r>
              <w:rPr>
                <w:strike w:val="false"/>
                <w:dstrike w:val="false"/>
                <w:u w:val="none"/>
                <w:effect w:val="none"/>
              </w:rPr>
              <w:t> </w:t>
            </w:r>
          </w:p>
        </w:tc>
        <w:tc>
          <w:tcPr>
            <w:tcW w:w="6039" w:type="dxa"/>
            <w:tcBorders>
              <w:bottom w:val="single" w:sz="12" w:space="0" w:color="000000"/>
            </w:tcBorders>
            <w:shd w:fill="FFFFFF" w:val="clear"/>
            <w:vAlign w:val="center"/>
          </w:tcPr>
          <w:p>
            <w:pPr>
              <w:pStyle w:val="TableContents"/>
              <w:bidi w:val="0"/>
              <w:spacing w:before="0" w:after="283"/>
              <w:jc w:val="center"/>
              <w:rPr>
                <w:strike w:val="false"/>
                <w:dstrike w:val="false"/>
                <w:u w:val="none"/>
                <w:effect w:val="none"/>
              </w:rPr>
            </w:pPr>
            <w:r>
              <w:rPr>
                <w:strike w:val="false"/>
                <w:dstrike w:val="false"/>
                <w:u w:val="none"/>
                <w:effect w:val="none"/>
              </w:rPr>
              <w:t>Present Principal Occupation</w:t>
            </w:r>
          </w:p>
        </w:tc>
        <w:tc>
          <w:tcPr>
            <w:tcW w:w="60" w:type="dxa"/>
            <w:tcBorders/>
            <w:shd w:fill="FFFFFF" w:val="clear"/>
            <w:tcMar>
              <w:bottom w:w="0" w:type="dxa"/>
            </w:tcMar>
            <w:vAlign w:val="center"/>
          </w:tcPr>
          <w:p>
            <w:pPr>
              <w:pStyle w:val="TableContents"/>
              <w:bidi w:val="0"/>
              <w:spacing w:before="0" w:after="283"/>
              <w:jc w:val="center"/>
              <w:rPr>
                <w:strike w:val="false"/>
                <w:dstrike w:val="false"/>
                <w:u w:val="none"/>
                <w:effect w:val="none"/>
              </w:rPr>
            </w:pPr>
            <w:r>
              <w:rPr>
                <w:strike w:val="false"/>
                <w:dstrike w:val="false"/>
                <w:u w:val="none"/>
                <w:effect w:val="none"/>
              </w:rPr>
              <w:t> </w:t>
            </w:r>
          </w:p>
        </w:tc>
        <w:tc>
          <w:tcPr>
            <w:tcW w:w="1746" w:type="dxa"/>
            <w:tcBorders>
              <w:bottom w:val="single" w:sz="12" w:space="0" w:color="000000"/>
            </w:tcBorders>
            <w:shd w:fill="FFFFFF" w:val="clear"/>
            <w:vAlign w:val="center"/>
          </w:tcPr>
          <w:p>
            <w:pPr>
              <w:pStyle w:val="TableContents"/>
              <w:bidi w:val="0"/>
              <w:spacing w:before="0" w:after="283"/>
              <w:jc w:val="center"/>
              <w:rPr>
                <w:strike w:val="false"/>
                <w:dstrike w:val="false"/>
                <w:u w:val="none"/>
                <w:effect w:val="none"/>
              </w:rPr>
            </w:pPr>
            <w:r>
              <w:rPr>
                <w:strike w:val="false"/>
                <w:dstrike w:val="false"/>
                <w:u w:val="none"/>
                <w:effect w:val="none"/>
              </w:rPr>
              <w:t>Business Address</w:t>
            </w:r>
          </w:p>
        </w:tc>
        <w:tc>
          <w:tcPr>
            <w:tcW w:w="60" w:type="dxa"/>
            <w:tcBorders/>
            <w:shd w:fill="FFFFFF" w:val="clear"/>
            <w:tcMar>
              <w:bottom w:w="0" w:type="dxa"/>
            </w:tcMar>
            <w:vAlign w:val="center"/>
          </w:tcPr>
          <w:p>
            <w:pPr>
              <w:pStyle w:val="TableContents"/>
              <w:bidi w:val="0"/>
              <w:spacing w:before="0" w:after="283"/>
              <w:jc w:val="center"/>
              <w:rPr>
                <w:strike w:val="false"/>
                <w:dstrike w:val="false"/>
                <w:u w:val="none"/>
                <w:effect w:val="none"/>
              </w:rPr>
            </w:pPr>
            <w:r>
              <w:rPr>
                <w:strike w:val="false"/>
                <w:dstrike w:val="false"/>
                <w:u w:val="none"/>
                <w:effect w:val="none"/>
              </w:rPr>
              <w:t> </w:t>
            </w:r>
          </w:p>
        </w:tc>
        <w:tc>
          <w:tcPr>
            <w:tcW w:w="992" w:type="dxa"/>
            <w:tcBorders>
              <w:bottom w:val="single" w:sz="12" w:space="0" w:color="000000"/>
            </w:tcBorders>
            <w:shd w:fill="FFFFFF" w:val="clear"/>
            <w:vAlign w:val="center"/>
          </w:tcPr>
          <w:p>
            <w:pPr>
              <w:pStyle w:val="TableContents"/>
              <w:bidi w:val="0"/>
              <w:spacing w:before="0" w:after="283"/>
              <w:ind w:left="0" w:right="0" w:hanging="180"/>
              <w:jc w:val="center"/>
              <w:rPr>
                <w:strike w:val="false"/>
                <w:dstrike w:val="false"/>
                <w:u w:val="none"/>
                <w:effect w:val="none"/>
              </w:rPr>
            </w:pPr>
            <w:r>
              <w:rPr>
                <w:strike w:val="false"/>
                <w:dstrike w:val="false"/>
                <w:u w:val="none"/>
                <w:effect w:val="none"/>
              </w:rPr>
              <w:t>Citizenship</w:t>
            </w:r>
          </w:p>
        </w:tc>
      </w:tr>
      <w:tr>
        <w:trPr/>
        <w:tc>
          <w:tcPr>
            <w:tcW w:w="124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2" w:type="dxa"/>
            <w:tcBorders/>
            <w:tcMar>
              <w:bottom w:w="0" w:type="dxa"/>
            </w:tcMar>
            <w:vAlign w:val="center"/>
          </w:tcPr>
          <w:p>
            <w:pPr>
              <w:pStyle w:val="TableContents"/>
              <w:bidi w:val="0"/>
              <w:spacing w:before="0" w:after="283"/>
              <w:ind w:left="0" w:right="0" w:hanging="180"/>
              <w:jc w:val="center"/>
              <w:rPr/>
            </w:pPr>
            <w:r>
              <w:rPr/>
              <w:t> </w:t>
            </w:r>
          </w:p>
        </w:tc>
      </w:tr>
      <w:tr>
        <w:trPr/>
        <w:tc>
          <w:tcPr>
            <w:tcW w:w="1248" w:type="dxa"/>
            <w:tcBorders/>
            <w:shd w:fill="FFFFFF" w:val="clear"/>
            <w:tcMar>
              <w:bottom w:w="0" w:type="dxa"/>
            </w:tcMar>
            <w:vAlign w:val="center"/>
          </w:tcPr>
          <w:p>
            <w:pPr>
              <w:pStyle w:val="TableContents"/>
              <w:bidi w:val="0"/>
              <w:spacing w:before="0" w:after="283"/>
              <w:jc w:val="left"/>
              <w:rPr/>
            </w:pPr>
            <w:r>
              <w:rPr/>
              <w:t xml:space="preserve">Anthony Georgiadis </w:t>
              <w:b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39" w:type="dxa"/>
            <w:tcBorders/>
            <w:shd w:fill="FFFFFF" w:val="clear"/>
            <w:tcMar>
              <w:bottom w:w="0" w:type="dxa"/>
            </w:tcMar>
            <w:vAlign w:val="center"/>
          </w:tcPr>
          <w:p>
            <w:pPr>
              <w:pStyle w:val="TableContents"/>
              <w:bidi w:val="0"/>
              <w:spacing w:before="0" w:after="283"/>
              <w:jc w:val="left"/>
              <w:rPr/>
            </w:pPr>
            <w:r>
              <w:rPr/>
              <w:t>Mr. Georgiadis assumed the role of President of GTI as of January 1, 2023, after joining GTI in May 2015 as a managing partner and then holding the role of Chief Financial Officer of GTI from January 2017 until becoming President of GTI.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6" w:type="dxa"/>
            <w:tcBorders/>
            <w:shd w:fill="FFFFFF" w:val="clear"/>
            <w:tcMar>
              <w:bottom w:w="0" w:type="dxa"/>
            </w:tcMar>
            <w:vAlign w:val="center"/>
          </w:tcPr>
          <w:p>
            <w:pPr>
              <w:pStyle w:val="TableContents"/>
              <w:bidi w:val="0"/>
              <w:spacing w:before="0" w:after="283"/>
              <w:jc w:val="left"/>
              <w:rPr/>
            </w:pPr>
            <w:r>
              <w:rPr/>
              <w:t>325 West Huron Street, Suite 700, Chicago, Illinois 60654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ind w:left="0" w:right="0" w:hanging="180"/>
              <w:jc w:val="center"/>
              <w:rPr/>
            </w:pPr>
            <w:r>
              <w:rPr/>
              <w:t>United States</w:t>
            </w:r>
          </w:p>
        </w:tc>
      </w:tr>
      <w:tr>
        <w:trPr/>
        <w:tc>
          <w:tcPr>
            <w:tcW w:w="124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2" w:type="dxa"/>
            <w:tcBorders/>
            <w:tcMar>
              <w:bottom w:w="0" w:type="dxa"/>
            </w:tcMar>
            <w:vAlign w:val="center"/>
          </w:tcPr>
          <w:p>
            <w:pPr>
              <w:pStyle w:val="TableContents"/>
              <w:bidi w:val="0"/>
              <w:spacing w:before="0" w:after="283"/>
              <w:ind w:left="0" w:right="0" w:hanging="180"/>
              <w:jc w:val="center"/>
              <w:rPr/>
            </w:pPr>
            <w:r>
              <w:rPr/>
              <w:t> </w:t>
            </w:r>
          </w:p>
        </w:tc>
      </w:tr>
      <w:tr>
        <w:trPr/>
        <w:tc>
          <w:tcPr>
            <w:tcW w:w="1248" w:type="dxa"/>
            <w:tcBorders/>
            <w:shd w:fill="FFFFFF" w:val="clear"/>
            <w:tcMar>
              <w:bottom w:w="0" w:type="dxa"/>
            </w:tcMar>
            <w:vAlign w:val="center"/>
          </w:tcPr>
          <w:p>
            <w:pPr>
              <w:pStyle w:val="TableContents"/>
              <w:bidi w:val="0"/>
              <w:spacing w:before="0" w:after="283"/>
              <w:jc w:val="left"/>
              <w:rPr/>
            </w:pPr>
            <w:r>
              <w:rPr/>
              <w:t xml:space="preserve">Benjamin Kovler </w:t>
              <w:b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39" w:type="dxa"/>
            <w:tcBorders/>
            <w:shd w:fill="FFFFFF" w:val="clear"/>
            <w:tcMar>
              <w:bottom w:w="0" w:type="dxa"/>
            </w:tcMar>
            <w:vAlign w:val="center"/>
          </w:tcPr>
          <w:p>
            <w:pPr>
              <w:pStyle w:val="TableContents"/>
              <w:bidi w:val="0"/>
              <w:spacing w:before="0" w:after="283"/>
              <w:jc w:val="left"/>
              <w:rPr/>
            </w:pPr>
            <w:r>
              <w:rPr/>
              <w:t>Benjamin Kovler founded Green Thumb Industries Inc. in 2014. He has been Chairman of GTI since 2014 and Chief Executive Officer from 2014 through year-end 2017 and since August 2018.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6" w:type="dxa"/>
            <w:tcBorders/>
            <w:shd w:fill="FFFFFF" w:val="clear"/>
            <w:tcMar>
              <w:bottom w:w="0" w:type="dxa"/>
            </w:tcMar>
            <w:vAlign w:val="center"/>
          </w:tcPr>
          <w:p>
            <w:pPr>
              <w:pStyle w:val="TableContents"/>
              <w:bidi w:val="0"/>
              <w:spacing w:before="0" w:after="283"/>
              <w:jc w:val="left"/>
              <w:rPr/>
            </w:pPr>
            <w:r>
              <w:rPr/>
              <w:t xml:space="preserve">325 West Huron Street, Suite 700, Chicago, Illinois 60654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ind w:left="0" w:right="0" w:hanging="180"/>
              <w:jc w:val="center"/>
              <w:rPr/>
            </w:pPr>
            <w:r>
              <w:rPr/>
              <w:t>United States</w:t>
            </w:r>
          </w:p>
        </w:tc>
      </w:tr>
      <w:tr>
        <w:trPr/>
        <w:tc>
          <w:tcPr>
            <w:tcW w:w="124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2" w:type="dxa"/>
            <w:tcBorders/>
            <w:tcMar>
              <w:bottom w:w="0" w:type="dxa"/>
            </w:tcMar>
            <w:vAlign w:val="center"/>
          </w:tcPr>
          <w:p>
            <w:pPr>
              <w:pStyle w:val="TableContents"/>
              <w:bidi w:val="0"/>
              <w:spacing w:before="0" w:after="283"/>
              <w:ind w:left="0" w:right="0" w:hanging="180"/>
              <w:jc w:val="center"/>
              <w:rPr/>
            </w:pPr>
            <w:r>
              <w:rPr/>
              <w:t> </w:t>
            </w:r>
          </w:p>
        </w:tc>
      </w:tr>
      <w:tr>
        <w:trPr/>
        <w:tc>
          <w:tcPr>
            <w:tcW w:w="1248" w:type="dxa"/>
            <w:tcBorders/>
            <w:shd w:fill="FFFFFF" w:val="clear"/>
            <w:tcMar>
              <w:bottom w:w="0" w:type="dxa"/>
            </w:tcMar>
            <w:vAlign w:val="center"/>
          </w:tcPr>
          <w:p>
            <w:pPr>
              <w:pStyle w:val="TableContents"/>
              <w:bidi w:val="0"/>
              <w:spacing w:before="0" w:after="283"/>
              <w:jc w:val="left"/>
              <w:rPr/>
            </w:pPr>
            <w:r>
              <w:rPr/>
              <w:t xml:space="preserve">Andrew Grossman </w:t>
              <w:b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39" w:type="dxa"/>
            <w:tcBorders/>
            <w:shd w:fill="FFFFFF" w:val="clear"/>
            <w:tcMar>
              <w:bottom w:w="0" w:type="dxa"/>
            </w:tcMar>
            <w:vAlign w:val="center"/>
          </w:tcPr>
          <w:p>
            <w:pPr>
              <w:pStyle w:val="TableContents"/>
              <w:bidi w:val="0"/>
              <w:spacing w:before="0" w:after="283"/>
              <w:jc w:val="left"/>
              <w:rPr/>
            </w:pPr>
            <w:r>
              <w:rPr/>
              <w:t xml:space="preserve">Mr. Grossman joined GTI as an investor in 2015, and as an employee in 2016. He is currently the Executive Vice President of Capital Markets and Investor Relations of GTI.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6" w:type="dxa"/>
            <w:tcBorders/>
            <w:shd w:fill="FFFFFF" w:val="clear"/>
            <w:tcMar>
              <w:bottom w:w="0" w:type="dxa"/>
            </w:tcMar>
            <w:vAlign w:val="center"/>
          </w:tcPr>
          <w:p>
            <w:pPr>
              <w:pStyle w:val="TableContents"/>
              <w:bidi w:val="0"/>
              <w:spacing w:before="0" w:after="283"/>
              <w:jc w:val="left"/>
              <w:rPr/>
            </w:pPr>
            <w:r>
              <w:rPr/>
              <w:t>325 West Huron Street, Suite 700, Chicago, Illinois 60654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jc w:val="center"/>
              <w:rPr/>
            </w:pPr>
            <w:r>
              <w:rPr/>
              <w:t>United States</w:t>
            </w:r>
          </w:p>
        </w:tc>
      </w:tr>
    </w:tbl>
    <w:p>
      <w:pPr>
        <w:pStyle w:val="TextBody"/>
        <w:bidi w:val="0"/>
        <w:spacing w:before="0" w:after="0"/>
        <w:ind w:left="5040" w:right="0" w:hanging="504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trike w:val="false"/>
          <w:dstrike w:val="false"/>
          <w:u w:val="none"/>
          <w:effect w:val="none"/>
        </w:rPr>
      </w:pPr>
      <w:bookmarkStart w:id="2" w:name="ea022100501ex99-1_agrify.htm"/>
      <w:bookmarkStart w:id="3" w:name="ksea022100501ex991_agrify"/>
      <w:bookmarkEnd w:id="2"/>
      <w:bookmarkEnd w:id="3"/>
      <w:r>
        <w:rPr>
          <w:b/>
          <w:strike w:val="false"/>
          <w:dstrike w:val="false"/>
          <w:u w:val="none"/>
          <w:effect w:val="none"/>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under the Securities Exchange Act of 1934, as amended, the undersigned agree to the joint filing on behalf of each of them of a Schedule 13D (including any and all amendments thereto) with respect to the common stock, $0.001 par value per share, of Agrify Corporation and further agree that this Joint Filing Agreement shall be included as an Exhibit to such joint filing(s).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further agree that each party hereto is responsible for the timely filing of such Schedule 13D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Agreement may be signed in counterparts with the same effect as if the signature on each counterpart were upon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have executed this Joint Filing Agreement as of November 13, 2024.</w:t>
      </w:r>
    </w:p>
    <w:p>
      <w:pPr>
        <w:pStyle w:val="TextBody"/>
        <w:bidi w:val="0"/>
        <w:spacing w:before="0" w:after="0"/>
        <w:ind w:left="0" w:right="0" w:firstLine="720"/>
        <w:jc w:val="both"/>
        <w:rPr>
          <w:caps w:val="false"/>
          <w:smallCaps w:val="false"/>
        </w:rPr>
      </w:pPr>
      <w:r>
        <w:rPr>
          <w:caps w:val="false"/>
          <w:smallCaps w:val="false"/>
        </w:rPr>
        <w:t> </w:t>
      </w:r>
    </w:p>
    <w:tbl>
      <w:tblPr>
        <w:tblW w:w="5894" w:type="dxa"/>
        <w:jc w:val="left"/>
        <w:tblInd w:w="0" w:type="dxa"/>
        <w:tblLayout w:type="fixed"/>
        <w:tblCellMar>
          <w:top w:w="0" w:type="dxa"/>
          <w:left w:w="0" w:type="dxa"/>
          <w:bottom w:w="0" w:type="dxa"/>
          <w:right w:w="0" w:type="dxa"/>
        </w:tblCellMar>
      </w:tblPr>
      <w:tblGrid>
        <w:gridCol w:w="605"/>
        <w:gridCol w:w="1775"/>
        <w:gridCol w:w="60"/>
        <w:gridCol w:w="856"/>
        <w:gridCol w:w="2598"/>
      </w:tblGrid>
      <w:tr>
        <w:trPr/>
        <w:tc>
          <w:tcPr>
            <w:tcW w:w="23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RSLGH, LLC</w:t>
            </w:r>
          </w:p>
        </w:tc>
        <w:tc>
          <w:tcPr>
            <w:tcW w:w="60"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CORE GROWTH, LLC</w:t>
            </w:r>
          </w:p>
        </w:tc>
      </w:tr>
      <w:tr>
        <w:trPr/>
        <w:tc>
          <w:tcPr>
            <w:tcW w:w="23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7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Bret Kravitz</w:t>
            </w:r>
          </w:p>
        </w:tc>
        <w:tc>
          <w:tcPr>
            <w:tcW w:w="60"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98"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Benjamin Kovler</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775" w:type="dxa"/>
            <w:tcBorders/>
            <w:vAlign w:val="center"/>
          </w:tcPr>
          <w:p>
            <w:pPr>
              <w:pStyle w:val="TableContents"/>
              <w:bidi w:val="0"/>
              <w:spacing w:before="0" w:after="283"/>
              <w:jc w:val="left"/>
              <w:rPr>
                <w:sz w:val="20"/>
              </w:rPr>
            </w:pPr>
            <w:r>
              <w:rPr>
                <w:sz w:val="20"/>
              </w:rPr>
              <w:t>Bret Kravitz</w:t>
            </w:r>
          </w:p>
        </w:tc>
        <w:tc>
          <w:tcPr>
            <w:tcW w:w="60"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5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Benjamin Kovler</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Secretary</w:t>
            </w:r>
          </w:p>
        </w:tc>
        <w:tc>
          <w:tcPr>
            <w:tcW w:w="60"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5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r>
        <w:trPr/>
        <w:tc>
          <w:tcPr>
            <w:tcW w:w="23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pPr>
            <w:r>
              <w:rPr/>
              <w:t> </w:t>
            </w:r>
          </w:p>
        </w:tc>
      </w:tr>
      <w:tr>
        <w:trPr/>
        <w:tc>
          <w:tcPr>
            <w:tcW w:w="238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Wellness Mgmt, LLC</w:t>
            </w:r>
          </w:p>
        </w:tc>
        <w:tc>
          <w:tcPr>
            <w:tcW w:w="60"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For Success Holdings Company</w:t>
            </w:r>
          </w:p>
        </w:tc>
      </w:tr>
      <w:tr>
        <w:trPr/>
        <w:tc>
          <w:tcPr>
            <w:tcW w:w="23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75" w:type="dxa"/>
            <w:tcBorders>
              <w:bottom w:val="single" w:sz="12" w:space="0" w:color="000000"/>
            </w:tcBorders>
            <w:tcMar>
              <w:bottom w:w="28" w:type="dxa"/>
            </w:tcMar>
            <w:vAlign w:val="center"/>
          </w:tcPr>
          <w:p>
            <w:pPr>
              <w:pStyle w:val="TableContents"/>
              <w:bidi w:val="0"/>
              <w:spacing w:before="0" w:after="283"/>
              <w:jc w:val="left"/>
              <w:rPr>
                <w:sz w:val="20"/>
              </w:rPr>
            </w:pPr>
            <w:r>
              <w:rPr>
                <w:sz w:val="20"/>
              </w:rPr>
              <w:t xml:space="preserve">/s/ </w:t>
            </w:r>
            <w:r>
              <w:rPr>
                <w:rFonts w:ascii="Times New Roman;Times;Serif" w:hAnsi="Times New Roman;Times;Serif"/>
                <w:sz w:val="20"/>
              </w:rPr>
              <w:t>Benjamin Kovler</w:t>
            </w:r>
          </w:p>
        </w:tc>
        <w:tc>
          <w:tcPr>
            <w:tcW w:w="60"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98" w:type="dxa"/>
            <w:tcBorders>
              <w:bottom w:val="single" w:sz="12" w:space="0" w:color="000000"/>
            </w:tcBorders>
            <w:tcMar>
              <w:bottom w:w="28" w:type="dxa"/>
            </w:tcMar>
            <w:vAlign w:val="center"/>
          </w:tcPr>
          <w:p>
            <w:pPr>
              <w:pStyle w:val="TableContents"/>
              <w:bidi w:val="0"/>
              <w:spacing w:before="0" w:after="283"/>
              <w:jc w:val="left"/>
              <w:rPr>
                <w:sz w:val="20"/>
              </w:rPr>
            </w:pPr>
            <w:r>
              <w:rPr>
                <w:sz w:val="20"/>
              </w:rPr>
              <w:t xml:space="preserve">/s/ </w:t>
            </w:r>
            <w:r>
              <w:rPr>
                <w:rFonts w:ascii="Times New Roman;Times;Serif" w:hAnsi="Times New Roman;Times;Serif"/>
                <w:sz w:val="20"/>
              </w:rPr>
              <w:t>Benjamin Kovler</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Benjamin Kovler</w:t>
            </w:r>
          </w:p>
        </w:tc>
        <w:tc>
          <w:tcPr>
            <w:tcW w:w="60"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5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Benjamin Kovler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c>
          <w:tcPr>
            <w:tcW w:w="60"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5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 &amp; President</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CUSIP No. 55352P102</w:t>
      </w:r>
    </w:p>
    <w:p>
      <w:pPr>
        <w:pStyle w:val="TextBody"/>
        <w:bidi w:val="0"/>
        <w:spacing w:before="0" w:after="283"/>
        <w:jc w:val="left"/>
        <w:rPr/>
      </w:pPr>
      <w:r>
        <w:rPr/>
        <w:t> </w:t>
      </w:r>
    </w:p>
    <w:tbl>
      <w:tblPr>
        <w:tblW w:w="7160" w:type="dxa"/>
        <w:jc w:val="left"/>
        <w:tblInd w:w="0" w:type="dxa"/>
        <w:tblLayout w:type="fixed"/>
        <w:tblCellMar>
          <w:top w:w="0" w:type="dxa"/>
          <w:left w:w="0" w:type="dxa"/>
          <w:bottom w:w="0" w:type="dxa"/>
          <w:right w:w="0" w:type="dxa"/>
        </w:tblCellMar>
      </w:tblPr>
      <w:tblGrid>
        <w:gridCol w:w="650"/>
        <w:gridCol w:w="3125"/>
        <w:gridCol w:w="60"/>
        <w:gridCol w:w="635"/>
        <w:gridCol w:w="2690"/>
      </w:tblGrid>
      <w:tr>
        <w:trPr/>
        <w:tc>
          <w:tcPr>
            <w:tcW w:w="37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VCP23, LLC</w:t>
            </w:r>
          </w:p>
        </w:tc>
        <w:tc>
          <w:tcPr>
            <w:tcW w:w="60"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GTI23, Inc.</w:t>
            </w:r>
          </w:p>
        </w:tc>
      </w:tr>
      <w:tr>
        <w:trPr/>
        <w:tc>
          <w:tcPr>
            <w:tcW w:w="37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25" w:type="dxa"/>
            <w:tcBorders>
              <w:bottom w:val="single" w:sz="12" w:space="0" w:color="000000"/>
            </w:tcBorders>
            <w:tcMar>
              <w:bottom w:w="28" w:type="dxa"/>
            </w:tcMar>
            <w:vAlign w:val="center"/>
          </w:tcPr>
          <w:p>
            <w:pPr>
              <w:pStyle w:val="TableContents"/>
              <w:bidi w:val="0"/>
              <w:spacing w:before="0" w:after="283"/>
              <w:jc w:val="left"/>
              <w:rPr>
                <w:sz w:val="20"/>
              </w:rPr>
            </w:pPr>
            <w:r>
              <w:rPr>
                <w:sz w:val="20"/>
              </w:rPr>
              <w:t xml:space="preserve">/s/ </w:t>
            </w:r>
            <w:r>
              <w:rPr>
                <w:rFonts w:ascii="Times New Roman;Times;Serif" w:hAnsi="Times New Roman;Times;Serif"/>
                <w:sz w:val="20"/>
              </w:rPr>
              <w:t>Benjamin Kovler</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90" w:type="dxa"/>
            <w:tcBorders>
              <w:bottom w:val="single" w:sz="12" w:space="0" w:color="000000"/>
            </w:tcBorders>
            <w:tcMar>
              <w:bottom w:w="28" w:type="dxa"/>
            </w:tcMar>
            <w:vAlign w:val="center"/>
          </w:tcPr>
          <w:p>
            <w:pPr>
              <w:pStyle w:val="TableContents"/>
              <w:bidi w:val="0"/>
              <w:spacing w:before="0" w:after="283"/>
              <w:jc w:val="left"/>
              <w:rPr>
                <w:sz w:val="20"/>
              </w:rPr>
            </w:pPr>
            <w:r>
              <w:rPr>
                <w:sz w:val="20"/>
              </w:rPr>
              <w:t xml:space="preserve">/s/ </w:t>
            </w:r>
            <w:r>
              <w:rPr>
                <w:rFonts w:ascii="Times New Roman;Times;Serif" w:hAnsi="Times New Roman;Times;Serif"/>
                <w:sz w:val="20"/>
              </w:rPr>
              <w:t>Benjamin Kovler</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Benjamin Kovler</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Benjamin Kovler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&amp; Authorized Signatory</w:t>
            </w:r>
          </w:p>
        </w:tc>
      </w:tr>
      <w:tr>
        <w:trPr/>
        <w:tc>
          <w:tcPr>
            <w:tcW w:w="37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pPr>
            <w:r>
              <w:rPr/>
              <w:t> </w:t>
            </w:r>
          </w:p>
        </w:tc>
      </w:tr>
      <w:tr>
        <w:trPr/>
        <w:tc>
          <w:tcPr>
            <w:tcW w:w="37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Green Thumb Industries Inc.</w:t>
            </w:r>
          </w:p>
        </w:tc>
        <w:tc>
          <w:tcPr>
            <w:tcW w:w="60"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pPr>
            <w:r>
              <w:rPr/>
              <w:t> </w:t>
            </w:r>
          </w:p>
        </w:tc>
      </w:tr>
      <w:tr>
        <w:trPr/>
        <w:tc>
          <w:tcPr>
            <w:tcW w:w="37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25" w:type="dxa"/>
            <w:tcBorders>
              <w:bottom w:val="single" w:sz="12" w:space="0" w:color="000000"/>
            </w:tcBorders>
            <w:tcMar>
              <w:bottom w:w="28" w:type="dxa"/>
            </w:tcMar>
            <w:vAlign w:val="center"/>
          </w:tcPr>
          <w:p>
            <w:pPr>
              <w:pStyle w:val="TableContents"/>
              <w:bidi w:val="0"/>
              <w:spacing w:before="0" w:after="283"/>
              <w:jc w:val="left"/>
              <w:rPr>
                <w:sz w:val="20"/>
              </w:rPr>
            </w:pPr>
            <w:r>
              <w:rPr>
                <w:sz w:val="20"/>
              </w:rPr>
              <w:t xml:space="preserve">/s/ </w:t>
            </w:r>
            <w:r>
              <w:rPr>
                <w:rFonts w:ascii="Times New Roman;Times;Serif" w:hAnsi="Times New Roman;Times;Serif"/>
                <w:sz w:val="20"/>
              </w:rPr>
              <w:t>Benjamin Kovler</w:t>
            </w:r>
          </w:p>
        </w:tc>
        <w:tc>
          <w:tcPr>
            <w:tcW w:w="60"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Benjamin Kovler</w:t>
            </w:r>
          </w:p>
        </w:tc>
        <w:tc>
          <w:tcPr>
            <w:tcW w:w="60"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c>
          <w:tcPr>
            <w:tcW w:w="60"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4" w:name="ea022100501ex99-2_agrify.htm"/>
      <w:bookmarkStart w:id="5" w:name="ksea022100501ex992_agrify"/>
      <w:bookmarkEnd w:id="4"/>
      <w:bookmarkEnd w:id="5"/>
      <w:r>
        <w:rPr>
          <w:b/>
        </w:rPr>
        <w:t>Exhibit 99.2</w:t>
      </w:r>
      <w:r>
        <w:br w:type="page"/>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November 5, 2024, is by and between CP Acquisitions, LLC (“</w:t>
      </w:r>
      <w:r>
        <w:rPr>
          <w:rFonts w:ascii="Times New Roman;Times;Serif" w:hAnsi="Times New Roman;Times;Serif"/>
          <w:b w:val="false"/>
          <w:i w:val="false"/>
          <w:caps w:val="false"/>
          <w:smallCaps w:val="false"/>
          <w:sz w:val="20"/>
          <w:u w:val="single"/>
        </w:rPr>
        <w:t>CP Acquisitions</w:t>
      </w:r>
      <w:r>
        <w:rPr>
          <w:rFonts w:ascii="Times New Roman;Times;Serif" w:hAnsi="Times New Roman;Times;Serif"/>
          <w:b w:val="false"/>
          <w:i w:val="false"/>
          <w:caps w:val="false"/>
          <w:smallCaps w:val="false"/>
          <w:sz w:val="20"/>
        </w:rPr>
        <w:t>”), GIC Acquisition LLC (“</w:t>
      </w:r>
      <w:r>
        <w:rPr>
          <w:rFonts w:ascii="Times New Roman;Times;Serif" w:hAnsi="Times New Roman;Times;Serif"/>
          <w:b w:val="false"/>
          <w:i w:val="false"/>
          <w:caps w:val="false"/>
          <w:smallCaps w:val="false"/>
          <w:sz w:val="20"/>
          <w:u w:val="single"/>
        </w:rPr>
        <w:t>GIC Acquisition</w:t>
      </w:r>
      <w:r>
        <w:rPr>
          <w:rFonts w:ascii="Times New Roman;Times;Serif" w:hAnsi="Times New Roman;Times;Serif"/>
          <w:b w:val="false"/>
          <w:i w:val="false"/>
          <w:caps w:val="false"/>
          <w:smallCaps w:val="false"/>
          <w:sz w:val="20"/>
        </w:rPr>
        <w:t>”), M Cannan Capital, LLC, M Olivet Capital, LLC, M Zion Capital, LLC, RTC3 2020 Irrevocable Trust, Chinwei Wang, Raymond N. Chang (“</w:t>
      </w:r>
      <w:r>
        <w:rPr>
          <w:rFonts w:ascii="Times New Roman;Times;Serif" w:hAnsi="Times New Roman;Times;Serif"/>
          <w:b w:val="false"/>
          <w:i w:val="false"/>
          <w:caps w:val="false"/>
          <w:smallCaps w:val="false"/>
          <w:sz w:val="20"/>
          <w:u w:val="single"/>
        </w:rPr>
        <w:t>Mr. Chang</w:t>
      </w:r>
      <w:r>
        <w:rPr>
          <w:rFonts w:ascii="Times New Roman;Times;Serif" w:hAnsi="Times New Roman;Times;Serif"/>
          <w:b w:val="false"/>
          <w:i w:val="false"/>
          <w:caps w:val="false"/>
          <w:smallCaps w:val="false"/>
          <w:sz w:val="20"/>
        </w:rPr>
        <w:t>”) and I-Tseng Jenny Chan (“</w:t>
      </w:r>
      <w:r>
        <w:rPr>
          <w:rFonts w:ascii="Times New Roman;Times;Serif" w:hAnsi="Times New Roman;Times;Serif"/>
          <w:b w:val="false"/>
          <w:i w:val="false"/>
          <w:caps w:val="false"/>
          <w:smallCaps w:val="false"/>
          <w:sz w:val="20"/>
          <w:u w:val="single"/>
        </w:rPr>
        <w:t>Ms. Chan</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Sellers</w:t>
      </w:r>
      <w:r>
        <w:rPr>
          <w:rFonts w:ascii="Times New Roman;Times;Serif" w:hAnsi="Times New Roman;Times;Serif"/>
          <w:b w:val="false"/>
          <w:i w:val="false"/>
          <w:caps w:val="false"/>
          <w:smallCaps w:val="false"/>
          <w:sz w:val="20"/>
        </w:rPr>
        <w:t>”), RSLGH, LLC a Delaware limited liability company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and Mr. Chang, as Seller Representative (“</w:t>
      </w:r>
      <w:r>
        <w:rPr>
          <w:rFonts w:ascii="Times New Roman;Times;Serif" w:hAnsi="Times New Roman;Times;Serif"/>
          <w:b w:val="false"/>
          <w:i w:val="false"/>
          <w:caps w:val="false"/>
          <w:smallCaps w:val="false"/>
          <w:sz w:val="20"/>
          <w:u w:val="single"/>
        </w:rPr>
        <w:t>Representative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Sellers hold and possess certain warrants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and common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and collectively with the Warrants, the “</w:t>
      </w:r>
      <w:r>
        <w:rPr>
          <w:rFonts w:ascii="Times New Roman;Times;Serif" w:hAnsi="Times New Roman;Times;Serif"/>
          <w:b w:val="false"/>
          <w:i w:val="false"/>
          <w:caps w:val="false"/>
          <w:smallCaps w:val="false"/>
          <w:sz w:val="20"/>
          <w:u w:val="single"/>
        </w:rPr>
        <w:t>Sellers Equity</w:t>
      </w:r>
      <w:r>
        <w:rPr>
          <w:rFonts w:ascii="Times New Roman;Times;Serif" w:hAnsi="Times New Roman;Times;Serif"/>
          <w:b w:val="false"/>
          <w:i w:val="false"/>
          <w:caps w:val="false"/>
          <w:smallCaps w:val="false"/>
          <w:sz w:val="20"/>
        </w:rPr>
        <w:t>”) in Agrify Corporation, a corporation organized under the laws of Nevada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Sellers wish to sell to Buyer, and Buyer wishes to purchase from Sellers, the Sellers Equity as set forth herein.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and in consideration of the premises and mutual covenants and agreements contained herein, and for other good and valuable consideration, the receipt and sufficiency of which are hereby acknowledged, the parties do hereby agree as follows:</w:t>
      </w:r>
    </w:p>
    <w:p>
      <w:pPr>
        <w:pStyle w:val="TextBody"/>
        <w:bidi w:val="0"/>
        <w:spacing w:before="0" w:after="0"/>
        <w:jc w:val="left"/>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17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1.</w:t>
            </w:r>
          </w:p>
        </w:tc>
        <w:tc>
          <w:tcPr>
            <w:tcW w:w="4520" w:type="dxa"/>
            <w:tcBorders/>
            <w:vAlign w:val="center"/>
          </w:tcPr>
          <w:p>
            <w:pPr>
              <w:pStyle w:val="TableContents"/>
              <w:bidi w:val="0"/>
              <w:spacing w:before="0" w:after="283"/>
              <w:jc w:val="left"/>
              <w:rPr/>
            </w:pPr>
            <w:r>
              <w:rPr/>
              <w:t>PURCHASE AND SALE OF THE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terms and subject to the conditions set forth in this Agreement, on the date in which the conditions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are met or waived, which the parties intend to be the date hereof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Sellers shall sell, transfer, assign and convey the Sellers Equity to Buyer utilizing all documentation to effectuate the transfer as Buyer shall reasonably request, and, in consideration thereof and as set forth below, Buyer shall pay to Sellers $18,280,000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which shall be comprised of $15,000,000 in cash (the “</w:t>
      </w:r>
      <w:r>
        <w:rPr>
          <w:rFonts w:ascii="Times New Roman;Times;Serif" w:hAnsi="Times New Roman;Times;Serif"/>
          <w:b w:val="false"/>
          <w:i w:val="false"/>
          <w:caps w:val="false"/>
          <w:smallCaps w:val="false"/>
          <w:sz w:val="20"/>
          <w:u w:val="single"/>
        </w:rPr>
        <w:t>Cash Consideration</w:t>
      </w:r>
      <w:r>
        <w:rPr>
          <w:rFonts w:ascii="Times New Roman;Times;Serif" w:hAnsi="Times New Roman;Times;Serif"/>
          <w:b w:val="false"/>
          <w:i w:val="false"/>
          <w:caps w:val="false"/>
          <w:smallCaps w:val="false"/>
          <w:sz w:val="20"/>
        </w:rPr>
        <w:t>”) and $3,280,000 in subordinate voting shares (the “</w:t>
      </w:r>
      <w:r>
        <w:rPr>
          <w:rFonts w:ascii="Times New Roman;Times;Serif" w:hAnsi="Times New Roman;Times;Serif"/>
          <w:b w:val="false"/>
          <w:i w:val="false"/>
          <w:caps w:val="false"/>
          <w:smallCaps w:val="false"/>
          <w:sz w:val="20"/>
          <w:u w:val="single"/>
        </w:rPr>
        <w:t>Parent Shares</w:t>
      </w:r>
      <w:r>
        <w:rPr>
          <w:rFonts w:ascii="Times New Roman;Times;Serif" w:hAnsi="Times New Roman;Times;Serif"/>
          <w:b w:val="false"/>
          <w:i w:val="false"/>
          <w:caps w:val="false"/>
          <w:smallCaps w:val="false"/>
          <w:sz w:val="20"/>
        </w:rPr>
        <w:t>”) of Green Thumb Industries Inc., a corporation incorporated under the laws of the Province of British Columbia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which are, as of the date of this Agreement publicly traded on the CSE (as defined below) under the ticker symbol GTII.CN (“</w:t>
      </w:r>
      <w:r>
        <w:rPr>
          <w:rFonts w:ascii="Times New Roman;Times;Serif" w:hAnsi="Times New Roman;Times;Serif"/>
          <w:b w:val="false"/>
          <w:i w:val="false"/>
          <w:caps w:val="false"/>
          <w:smallCaps w:val="false"/>
          <w:sz w:val="20"/>
          <w:u w:val="single"/>
        </w:rPr>
        <w:t>Share Consideration</w:t>
      </w:r>
      <w:r>
        <w:rPr>
          <w:rFonts w:ascii="Times New Roman;Times;Serif" w:hAnsi="Times New Roman;Times;Serif"/>
          <w:b w:val="false"/>
          <w:i w:val="false"/>
          <w:caps w:val="false"/>
          <w:smallCaps w:val="false"/>
          <w:sz w:val="20"/>
        </w:rPr>
        <w:t>”) as payment in full for the Sellers Equity.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Cash Consideration shall be paid in U.S. Dollars to Representative in immediately available funds to the bank account set forth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for further distribution by Representative to the Sellers in accordance with their agreements. Each Seller hereby confirms and agrees that upon Buyer or the Escrow Agent (as defined below) making any such payment of the Cash Consideration to Representative, Buyer shall have satisfied its obligation to make such payment to all Sellers and that no further action by Buyer shall be required in furtherance thereof, and that Buyer has no obligation to cause Representative to make, or confirm Representative has made, the further distribution of such Cash Consideration to the Sellers. At least five Business Days prior to the issuance of any of the Share Consideration, Representative shall deliver a direction letter, in form and substance reasonably satisfactory to Buyer, executed by each Seller, setting forth the allocation of such Share Consideration issuance as between the Sellers.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shall be paid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First Tranche</w:t>
      </w:r>
      <w:r>
        <w:rPr>
          <w:rFonts w:ascii="Times New Roman;Times;Serif" w:hAnsi="Times New Roman;Times;Serif"/>
          <w:b w:val="false"/>
          <w:i w:val="false"/>
          <w:caps w:val="false"/>
          <w:smallCaps w:val="false"/>
          <w:sz w:val="20"/>
        </w:rPr>
        <w:t>. On or before three days following the Closing Date, Buyer shall pay to Sellers $10,000,000 of the Cash Consideration (the “</w:t>
      </w:r>
      <w:r>
        <w:rPr>
          <w:rFonts w:ascii="Times New Roman;Times;Serif" w:hAnsi="Times New Roman;Times;Serif"/>
          <w:b w:val="false"/>
          <w:i w:val="false"/>
          <w:caps w:val="false"/>
          <w:smallCaps w:val="false"/>
          <w:sz w:val="20"/>
          <w:u w:val="single"/>
        </w:rPr>
        <w:t>First Tranche Cash 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575"/>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Second Tranche</w:t>
      </w:r>
      <w:r>
        <w:rPr>
          <w:rFonts w:ascii="Times New Roman;Times;Serif" w:hAnsi="Times New Roman;Times;Serif"/>
          <w:b w:val="false"/>
          <w:i w:val="false"/>
          <w:caps w:val="false"/>
          <w:smallCaps w:val="false"/>
          <w:sz w:val="20"/>
        </w:rPr>
        <w:t>. No later than five Business Days (meaning any day other than Saturday, Sunday or other day on which commercial banks in the City of Chicago, Illinois are authorized or required by law to remain closed) following the completion of the Cultivation Transfer and following receipt of a letter from Mack as to the Mack Payoff Amount in form reasonably satisfactory to Buyer (such date payment is due, the “</w:t>
      </w:r>
      <w:r>
        <w:rPr>
          <w:rFonts w:ascii="Times New Roman;Times;Serif" w:hAnsi="Times New Roman;Times;Serif"/>
          <w:b w:val="false"/>
          <w:i w:val="false"/>
          <w:caps w:val="false"/>
          <w:smallCaps w:val="false"/>
          <w:sz w:val="20"/>
          <w:u w:val="single"/>
        </w:rPr>
        <w:t>First Share Payment Date</w:t>
      </w:r>
      <w:r>
        <w:rPr>
          <w:rFonts w:ascii="Times New Roman;Times;Serif" w:hAnsi="Times New Roman;Times;Serif"/>
          <w:b w:val="false"/>
          <w:i w:val="false"/>
          <w:caps w:val="false"/>
          <w:smallCaps w:val="false"/>
          <w:sz w:val="20"/>
        </w:rPr>
        <w:t>”), subject to Section 6 below, the Buyer shall pay (i) to Mack Molding Company (“</w:t>
      </w:r>
      <w:r>
        <w:rPr>
          <w:rFonts w:ascii="Times New Roman;Times;Serif" w:hAnsi="Times New Roman;Times;Serif"/>
          <w:b w:val="false"/>
          <w:i w:val="false"/>
          <w:caps w:val="false"/>
          <w:smallCaps w:val="false"/>
          <w:sz w:val="20"/>
          <w:u w:val="single"/>
        </w:rPr>
        <w:t>Mack</w:t>
      </w:r>
      <w:r>
        <w:rPr>
          <w:rFonts w:ascii="Times New Roman;Times;Serif" w:hAnsi="Times New Roman;Times;Serif"/>
          <w:b w:val="false"/>
          <w:i w:val="false"/>
          <w:caps w:val="false"/>
          <w:smallCaps w:val="false"/>
          <w:sz w:val="20"/>
        </w:rPr>
        <w:t>”), an amount from the Cash Consideration equal to the amount necessary to pay off all amounts owed to Mack and to remove any and all liens held by Mack in any Company Party (as defined below) (the “</w:t>
      </w:r>
      <w:r>
        <w:rPr>
          <w:rFonts w:ascii="Times New Roman;Times;Serif" w:hAnsi="Times New Roman;Times;Serif"/>
          <w:b w:val="false"/>
          <w:i w:val="false"/>
          <w:caps w:val="false"/>
          <w:smallCaps w:val="false"/>
          <w:sz w:val="20"/>
          <w:u w:val="single"/>
        </w:rPr>
        <w:t>Mack Payoff Amount</w:t>
      </w:r>
      <w:r>
        <w:rPr>
          <w:rFonts w:ascii="Times New Roman;Times;Serif" w:hAnsi="Times New Roman;Times;Serif"/>
          <w:b w:val="false"/>
          <w:i w:val="false"/>
          <w:caps w:val="false"/>
          <w:smallCaps w:val="false"/>
          <w:sz w:val="20"/>
        </w:rPr>
        <w:t>”), (ii) to the Sellers, an amount of the Cash Consideration equal to $1,300,000 minus the amount that the Mack Payoff Amount is greater than $2,700,000 (the amount paid to the Sellers, the “</w:t>
      </w:r>
      <w:r>
        <w:rPr>
          <w:rFonts w:ascii="Times New Roman;Times;Serif" w:hAnsi="Times New Roman;Times;Serif"/>
          <w:b w:val="false"/>
          <w:i w:val="false"/>
          <w:caps w:val="false"/>
          <w:smallCaps w:val="false"/>
          <w:sz w:val="20"/>
          <w:u w:val="single"/>
        </w:rPr>
        <w:t>Second Tranche Cash Payment</w:t>
      </w:r>
      <w:r>
        <w:rPr>
          <w:rFonts w:ascii="Times New Roman;Times;Serif" w:hAnsi="Times New Roman;Times;Serif"/>
          <w:b w:val="false"/>
          <w:i w:val="false"/>
          <w:caps w:val="false"/>
          <w:smallCaps w:val="false"/>
          <w:sz w:val="20"/>
        </w:rPr>
        <w:t>”), and (iii) $650,000 of Parent Shares from the Share Consideration, with the number of Parent Shares calculated using a VWAP with the VWAP End Date being three trading days prior to the First Share Payment Date, rounded up or down to the nearest whole share number.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Third Tranche</w:t>
      </w:r>
      <w:r>
        <w:rPr>
          <w:rFonts w:ascii="Times New Roman;Times;Serif" w:hAnsi="Times New Roman;Times;Serif"/>
          <w:b w:val="false"/>
          <w:i w:val="false"/>
          <w:caps w:val="false"/>
          <w:smallCaps w:val="false"/>
          <w:sz w:val="20"/>
        </w:rPr>
        <w:t>. On December 31, 2025, subject to Section 6 below, (the “</w:t>
      </w:r>
      <w:r>
        <w:rPr>
          <w:rFonts w:ascii="Times New Roman;Times;Serif" w:hAnsi="Times New Roman;Times;Serif"/>
          <w:b w:val="false"/>
          <w:i w:val="false"/>
          <w:caps w:val="false"/>
          <w:smallCaps w:val="false"/>
          <w:sz w:val="20"/>
          <w:u w:val="single"/>
        </w:rPr>
        <w:t>Second Share Payment Date</w:t>
      </w:r>
      <w:r>
        <w:rPr>
          <w:rFonts w:ascii="Times New Roman;Times;Serif" w:hAnsi="Times New Roman;Times;Serif"/>
          <w:b w:val="false"/>
          <w:i w:val="false"/>
          <w:caps w:val="false"/>
          <w:smallCaps w:val="false"/>
          <w:sz w:val="20"/>
        </w:rPr>
        <w:t>”, and, the First Share Payment Date or Second Share Payment Date, as applicable, the “</w:t>
      </w:r>
      <w:r>
        <w:rPr>
          <w:rFonts w:ascii="Times New Roman;Times;Serif" w:hAnsi="Times New Roman;Times;Serif"/>
          <w:b w:val="false"/>
          <w:i w:val="false"/>
          <w:caps w:val="false"/>
          <w:smallCaps w:val="false"/>
          <w:sz w:val="20"/>
          <w:u w:val="single"/>
        </w:rPr>
        <w:t>Share Payment Date</w:t>
      </w:r>
      <w:r>
        <w:rPr>
          <w:rFonts w:ascii="Times New Roman;Times;Serif" w:hAnsi="Times New Roman;Times;Serif"/>
          <w:b w:val="false"/>
          <w:i w:val="false"/>
          <w:caps w:val="false"/>
          <w:smallCaps w:val="false"/>
          <w:sz w:val="20"/>
        </w:rPr>
        <w:t>”), the Buyer shall pay to the Sellers (i) the remaining Share Consideration, with the number of Parent Shares calculated using a VWAP with the VWAP End Date being three trading days prior to the Second Share Payment Date, rounded up or down to the nearest whole share number, and (ii) the remainder of the Cash Consideration (the “</w:t>
      </w:r>
      <w:r>
        <w:rPr>
          <w:rFonts w:ascii="Times New Roman;Times;Serif" w:hAnsi="Times New Roman;Times;Serif"/>
          <w:b w:val="false"/>
          <w:i w:val="false"/>
          <w:caps w:val="false"/>
          <w:smallCaps w:val="false"/>
          <w:sz w:val="20"/>
          <w:u w:val="single"/>
        </w:rPr>
        <w:t>Third Tranche Cash Payment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the volume weighted average of the sale price of the Parent Shares on the Canadian Securities Exchange (“</w:t>
      </w:r>
      <w:r>
        <w:rPr>
          <w:rFonts w:ascii="Times New Roman;Times;Serif" w:hAnsi="Times New Roman;Times;Serif"/>
          <w:b w:val="false"/>
          <w:i w:val="false"/>
          <w:caps w:val="false"/>
          <w:smallCaps w:val="false"/>
          <w:sz w:val="20"/>
          <w:u w:val="single"/>
        </w:rPr>
        <w:t>CSE</w:t>
      </w:r>
      <w:r>
        <w:rPr>
          <w:rFonts w:ascii="Times New Roman;Times;Serif" w:hAnsi="Times New Roman;Times;Serif"/>
          <w:b w:val="false"/>
          <w:i w:val="false"/>
          <w:caps w:val="false"/>
          <w:smallCaps w:val="false"/>
          <w:sz w:val="20"/>
        </w:rPr>
        <w:t>”) (or, if not then traded on the CSE, on the principal securities exchange on which the Parent Shares are at the time listed), as published by Bloomberg, averaged over twenty (20) consecutive trading days, ending on the VWAP End Date. The price per Parent Share shall be converted from Canadian Dollars to US Dollars pursuant to the exchange rate published by Bloomberg on the VWAP End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 End Date</w:t>
      </w:r>
      <w:r>
        <w:rPr>
          <w:rFonts w:ascii="Times New Roman;Times;Serif" w:hAnsi="Times New Roman;Times;Serif"/>
          <w:b w:val="false"/>
          <w:i w:val="false"/>
          <w:caps w:val="false"/>
          <w:smallCaps w:val="false"/>
          <w:sz w:val="20"/>
        </w:rPr>
        <w:t>” means the final trading day used to calculate any such VWAP.</w:t>
      </w:r>
    </w:p>
    <w:p>
      <w:pPr>
        <w:pStyle w:val="TextBody"/>
        <w:bidi w:val="0"/>
        <w:spacing w:before="0" w:after="0"/>
        <w:jc w:val="left"/>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17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2.</w:t>
            </w:r>
          </w:p>
        </w:tc>
        <w:tc>
          <w:tcPr>
            <w:tcW w:w="6050" w:type="dxa"/>
            <w:tcBorders/>
            <w:vAlign w:val="center"/>
          </w:tcPr>
          <w:p>
            <w:pPr>
              <w:pStyle w:val="TableContents"/>
              <w:bidi w:val="0"/>
              <w:spacing w:before="0" w:after="283"/>
              <w:jc w:val="left"/>
              <w:rPr/>
            </w:pPr>
            <w:r>
              <w:rPr/>
              <w:t>REPRESENTATIONS AND WARRANTIES OF SELLERS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 jointly and severally, represent and warrant to Buyer as of the date hereof and as of the Closing Date that: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Authority and Enforceability</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Seller has all necessary power and authority (and, for any Seller that is a natural person, the legal capacity) to execute, deliver and perform its obligations under this Agreement and each of the other documents to be executed or delivered in connection with this Agreement (the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and to consummate the transactions contemplated hereby and thereby. This Agreement and the Transaction Documents have been duly executed and delivered by each Seller and, assuming due authorization, execution and delivery by Buyer, constitute legally valid and binding obligations of each Seller, enforceable against such Seller in accordance with their respective terms, except that such enforceability may be limited by bankruptcy, insolvency, reorganization, moratorium or other similar laws affecting the rights of creditors generally or by general equitable principles.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is a corporation duly incorporated, validly existing, and in good standing under the laws of the State of Nevada, with full organizational power and authority to conduct its business as it is now being conducted, to own or use the properties and assets that it purports to own or use, and to perform all its obligations under the contracts to which it is party.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Violation</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2(b)</w:t>
      </w:r>
      <w:r>
        <w:rPr>
          <w:rFonts w:ascii="Times New Roman;Times;Serif" w:hAnsi="Times New Roman;Times;Serif"/>
          <w:b w:val="false"/>
          <w:i w:val="false"/>
          <w:caps w:val="false"/>
          <w:smallCaps w:val="false"/>
          <w:sz w:val="20"/>
        </w:rPr>
        <w:t>, the execution and delivery of this Agreement and the Transaction Documents by each Seller, and the performance by each Seller of its obligations hereunder and thereunder, and the consummation of the transactions contemplated hereby and thereby, will not (i) result in a breach or violation of any provision of any Seller’s or, to Sellers’ Knowledge, the Company’s organizational documents, (ii) violate or breach any statute, law, writ, order, rule or regulation (“</w:t>
      </w:r>
      <w:r>
        <w:rPr>
          <w:rFonts w:ascii="Times New Roman;Times;Serif" w:hAnsi="Times New Roman;Times;Serif"/>
          <w:b w:val="false"/>
          <w:i w:val="false"/>
          <w:caps w:val="false"/>
          <w:smallCaps w:val="false"/>
          <w:sz w:val="20"/>
          <w:u w:val="single"/>
        </w:rPr>
        <w:t>Laws</w:t>
      </w:r>
      <w:r>
        <w:rPr>
          <w:rFonts w:ascii="Times New Roman;Times;Serif" w:hAnsi="Times New Roman;Times;Serif"/>
          <w:b w:val="false"/>
          <w:i w:val="false"/>
          <w:caps w:val="false"/>
          <w:smallCaps w:val="false"/>
          <w:sz w:val="20"/>
        </w:rPr>
        <w:t>”) of any government, governmental agency, authority, court or other tribunal (collectively, “</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applicable to any Seller or, to Sellers’ Knowledge, the Company, (iii) breach or result in default of any judgment, injunction, decree or determination of any Governmental Authority applicable to any Seller or, to Sellers’ Knowledge, the Company; or (iv) breach, violate, require the consent of any third party under, or give any third party the right to modify, terminate, or accelerate any obligation under any material agreement to which any Seller or the Company is a party or by which any Seller or, to Sellers’ Knowledge, the Company may be bound.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Title to Shares; Capitalization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Seller has good, legal and valid title to their portion of the Sellers Equity, is the beneficial owner of their portion of the Sellers Equity, and has the full right to transfer their portion of the Sellers Equity. The Sellers Equity is owned by the Sellers free and clear of any lien, pledge, security interest, charge, hypothecation, security agreement, security arrangement or encumbrance or other adverse claim against title of any kind (collectively,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and the sale of the Sellers Equity will not result in the creation of any Lien. No Seller has previously sold, conveyed, transferred, assigned, participated, pledged or otherwise encumbered any of the Sellers Equity in whole or in part. Upon delivery of the Sellers Equity to Buyer on the Closing Date, against payment therefor as contemplated hereby, each Seller will transfer to Buyer good, legal and valid title to their portion of the Sellers Equity free and clear of any and all Liens. The Seller Held Debt (as defined below) represents all indebtedness held by any Seller in the Company and each subsidiary of the Company or any other Person in which the Company holds any type of ownership or equity interests (each, a “</w:t>
      </w:r>
      <w:r>
        <w:rPr>
          <w:rFonts w:ascii="Times New Roman;Times;Serif" w:hAnsi="Times New Roman;Times;Serif"/>
          <w:b w:val="false"/>
          <w:i w:val="false"/>
          <w:caps w:val="false"/>
          <w:smallCaps w:val="false"/>
          <w:sz w:val="20"/>
          <w:u w:val="single"/>
        </w:rPr>
        <w:t>Company Subsidiary</w:t>
      </w:r>
      <w:r>
        <w:rPr>
          <w:rFonts w:ascii="Times New Roman;Times;Serif" w:hAnsi="Times New Roman;Times;Serif"/>
          <w:b w:val="false"/>
          <w:i w:val="false"/>
          <w:caps w:val="false"/>
          <w:smallCaps w:val="false"/>
          <w:sz w:val="20"/>
        </w:rPr>
        <w:t>” and the Company Subsidiaries together with the Company, the “</w:t>
      </w:r>
      <w:r>
        <w:rPr>
          <w:rFonts w:ascii="Times New Roman;Times;Serif" w:hAnsi="Times New Roman;Times;Serif"/>
          <w:b w:val="false"/>
          <w:i w:val="false"/>
          <w:caps w:val="false"/>
          <w:smallCaps w:val="false"/>
          <w:sz w:val="20"/>
          <w:u w:val="single"/>
        </w:rPr>
        <w:t>Company Parties</w:t>
      </w:r>
      <w:r>
        <w:rPr>
          <w:rFonts w:ascii="Times New Roman;Times;Serif" w:hAnsi="Times New Roman;Times;Serif"/>
          <w:b w:val="false"/>
          <w:i w:val="false"/>
          <w:caps w:val="false"/>
          <w:smallCaps w:val="false"/>
          <w:sz w:val="20"/>
        </w:rPr>
        <w:t>”) and the amount of the Seller Held Debt is the Cultivation Purchase Price.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number of Shares, Warrants and the warrant shares represented by such Warrants held by each Seller are as set forth in </w:t>
      </w:r>
      <w:r>
        <w:rPr>
          <w:rFonts w:ascii="Times New Roman;Times;Serif" w:hAnsi="Times New Roman;Times;Serif"/>
          <w:b w:val="false"/>
          <w:i w:val="false"/>
          <w:caps w:val="false"/>
          <w:smallCaps w:val="false"/>
          <w:sz w:val="20"/>
          <w:u w:val="single"/>
        </w:rPr>
        <w:t>Schedule 2(c)(ii)(1)</w:t>
      </w:r>
      <w:r>
        <w:rPr>
          <w:rFonts w:ascii="Times New Roman;Times;Serif" w:hAnsi="Times New Roman;Times;Serif"/>
          <w:b w:val="false"/>
          <w:i w:val="false"/>
          <w:caps w:val="false"/>
          <w:smallCaps w:val="false"/>
          <w:sz w:val="20"/>
        </w:rPr>
        <w:t xml:space="preserve"> attached hereto. The Sellers Equity constitutes the entirety of any equity interests the Sellers, and any affiliates of any Seller, have in the Company. The allocation of the Purchase Price as amongst the Sellers is agreed to and, at each time any amount of the Purchase Price is paid or issued, it shall be agreed to by each Seller, and, for any Seller which is not a natural person, by the Persons holding any equity interest in such Seller. The fully diluted capitalization of the Company is as set forth on </w:t>
      </w:r>
      <w:r>
        <w:rPr>
          <w:rFonts w:ascii="Times New Roman;Times;Serif" w:hAnsi="Times New Roman;Times;Serif"/>
          <w:b w:val="false"/>
          <w:i w:val="false"/>
          <w:caps w:val="false"/>
          <w:smallCaps w:val="false"/>
          <w:sz w:val="20"/>
          <w:u w:val="single"/>
        </w:rPr>
        <w:t>Schedule 2(c)(ii)(2)</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Consents and Approvals</w:t>
      </w:r>
      <w:r>
        <w:rPr>
          <w:rFonts w:ascii="Times New Roman;Times;Serif" w:hAnsi="Times New Roman;Times;Serif"/>
          <w:b w:val="false"/>
          <w:i w:val="false"/>
          <w:caps w:val="false"/>
          <w:smallCaps w:val="false"/>
          <w:sz w:val="20"/>
        </w:rPr>
        <w:t>. Neither the execution and delivery by Sellers of this Agreement or any other Transaction Document, nor the performance by Sellers of their obligations under this Agreement or any other Transaction Document requires the consent, approval, order or authorization of, or registration with, or the giving notice to, any Governmental Authority or any individual, partnership, corporation, limited liability company, association, estate, trust, business trust, fund, investment account or other entity (each, including a Governmental Authority, a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except applicable insider filings and announcements required by Sellers, notifying any relevant Governmental Authority as it relates to the disclosure of the new directors, ownership, etc., any filings required of the Company and/or its affiliates under U.S. securities laws or to Nasdaq, Inc. or the Nasdaq Stock Market, LLC as a result of this Agreement and the transactions contemplated hereunder and any other such filing, notice or approval as have been obtained, made or given or are otherwise set forth in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Non-reliance</w:t>
      </w:r>
      <w:r>
        <w:rPr>
          <w:rFonts w:ascii="Times New Roman;Times;Serif" w:hAnsi="Times New Roman;Times;Serif"/>
          <w:b w:val="false"/>
          <w:i w:val="false"/>
          <w:caps w:val="false"/>
          <w:smallCaps w:val="false"/>
          <w:sz w:val="20"/>
        </w:rPr>
        <w:t>. Each Seller (i) is a sophisticated investor and has such knowledge and experience in financial and business matters as to be capable of evaluating independently the merits, risks and suitability of entering into this Agreement and the transactions contemplated hereby, (ii) has conducted its own analysis and due diligence and independently obtained such information as it deems necessary in order to make an informed investment decision with respect to selling the Sellers Equity and acquiring the Parent Shares, (iii) is able to bear the risks attendant to the transactions contemplated hereby and (iv) is dealing with Buyer on a professional arm’s-length basis, and neither Buyer nor any of its affiliates is acting as a fiduciary or advisor to any Seller with respect to this Agreement or any of the transactions contemplated hereby.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 Proceedings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set forth on </w:t>
      </w:r>
      <w:r>
        <w:rPr>
          <w:rFonts w:ascii="Times New Roman;Times;Serif" w:hAnsi="Times New Roman;Times;Serif"/>
          <w:b w:val="false"/>
          <w:i w:val="false"/>
          <w:caps w:val="false"/>
          <w:smallCaps w:val="false"/>
          <w:sz w:val="20"/>
          <w:u w:val="single"/>
        </w:rPr>
        <w:t>Schedule 2(f)</w:t>
      </w:r>
      <w:r>
        <w:rPr>
          <w:rFonts w:ascii="Times New Roman;Times;Serif" w:hAnsi="Times New Roman;Times;Serif"/>
          <w:b w:val="false"/>
          <w:i w:val="false"/>
          <w:caps w:val="false"/>
          <w:smallCaps w:val="false"/>
          <w:sz w:val="20"/>
        </w:rPr>
        <w:t>, there is no action, lawsuit, arbitration, claim, demand, proceeding, written inquiry, audit, notice of violation, litigation, citation, summons, subpoena or investigation of any nature proceeding, pending or threatened, against any Seller that, individually or in the aggregate, could reasonably be expected to adversely affect (i) the Sellers Equity, (ii) any action taken or to be taken by any Seller under this Agreement, or (iii) to Sellers’ Knowledge, any Company Party, or any Company Party’s properties, assets or the business (“</w:t>
      </w:r>
      <w:r>
        <w:rPr>
          <w:rFonts w:ascii="Times New Roman;Times;Serif" w:hAnsi="Times New Roman;Times;Serif"/>
          <w:b w:val="false"/>
          <w:i w:val="false"/>
          <w:caps w:val="false"/>
          <w:smallCaps w:val="false"/>
          <w:sz w:val="20"/>
          <w:u w:val="single"/>
        </w:rPr>
        <w:t>Company Litigation</w:t>
      </w:r>
      <w:r>
        <w:rPr>
          <w:rFonts w:ascii="Times New Roman;Times;Serif" w:hAnsi="Times New Roman;Times;Serif"/>
          <w:b w:val="false"/>
          <w:i w:val="false"/>
          <w:caps w:val="false"/>
          <w:smallCaps w:val="false"/>
          <w:sz w:val="20"/>
        </w:rPr>
        <w:t xml:space="preserve">”). For each Company Litigation, </w:t>
      </w:r>
      <w:r>
        <w:rPr>
          <w:rFonts w:ascii="Times New Roman;Times;Serif" w:hAnsi="Times New Roman;Times;Serif"/>
          <w:b w:val="false"/>
          <w:i w:val="false"/>
          <w:caps w:val="false"/>
          <w:smallCaps w:val="false"/>
          <w:sz w:val="20"/>
          <w:u w:val="single"/>
        </w:rPr>
        <w:t>Schedule 2(f)</w:t>
      </w:r>
      <w:r>
        <w:rPr>
          <w:rFonts w:ascii="Times New Roman;Times;Serif" w:hAnsi="Times New Roman;Times;Serif"/>
          <w:b w:val="false"/>
          <w:i w:val="false"/>
          <w:caps w:val="false"/>
          <w:smallCaps w:val="false"/>
          <w:sz w:val="20"/>
        </w:rPr>
        <w:t xml:space="preserve"> also sets forth, to Sellers’ Knowledge, the potential exposure to the Company Parties. For purposes of this Agreement, “Sellers’ Knowledge” or other similar knowledge qualifications, means solely the actual or constructive knowledge of Mr. Chang and Ms. Chan, after due inquiry.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Sellers’ Knowledge, there are no outstanding orders, writs, judgments, injunctions, decrees, stipulations, determinations, Liens or awards (“</w:t>
      </w:r>
      <w:r>
        <w:rPr>
          <w:rFonts w:ascii="Times New Roman;Times;Serif" w:hAnsi="Times New Roman;Times;Serif"/>
          <w:b w:val="false"/>
          <w:i w:val="false"/>
          <w:caps w:val="false"/>
          <w:smallCaps w:val="false"/>
          <w:sz w:val="20"/>
          <w:u w:val="single"/>
        </w:rPr>
        <w:t>Governmental Orders</w:t>
      </w:r>
      <w:r>
        <w:rPr>
          <w:rFonts w:ascii="Times New Roman;Times;Serif" w:hAnsi="Times New Roman;Times;Serif"/>
          <w:b w:val="false"/>
          <w:i w:val="false"/>
          <w:caps w:val="false"/>
          <w:smallCaps w:val="false"/>
          <w:sz w:val="20"/>
        </w:rPr>
        <w:t>”) entered by or with any Governmental Authority or unsatisfied judgments, penalties or awards against or affecting a Company Party or any of its respective properties or assets.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 Dividends</w:t>
      </w:r>
      <w:r>
        <w:rPr>
          <w:rFonts w:ascii="Times New Roman;Times;Serif" w:hAnsi="Times New Roman;Times;Serif"/>
          <w:b w:val="false"/>
          <w:i w:val="false"/>
          <w:caps w:val="false"/>
          <w:smallCaps w:val="false"/>
          <w:sz w:val="20"/>
        </w:rPr>
        <w:t>. No Seller has received, nor has become entitled to receive, any payments or other distribution, including, without limitation, dividends, with respect to the Shares (any of the foregoing,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Broker</w:t>
      </w:r>
      <w:r>
        <w:rPr>
          <w:rFonts w:ascii="Times New Roman;Times;Serif" w:hAnsi="Times New Roman;Times;Serif"/>
          <w:b w:val="false"/>
          <w:i w:val="false"/>
          <w:caps w:val="false"/>
          <w:smallCaps w:val="false"/>
          <w:sz w:val="20"/>
        </w:rPr>
        <w:t>. There is no investment banker, broker, finder, or other intermediary retained by or authorized to act on behalf of any Seller who might be entitled to any fee or commission from Buyer, the Company or any of their affiliates upon consummation of the transactions contemplated hereby.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Securities Laws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Seller acquired its portion of the Sellers Equity for its own account and not with a view to the distribution of such Shares or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transfer of the Shares and Warrants to Buyer is not being effected for or on behalf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Sellers Equity has not been offered through any form of “general solicitation” or “general advertising”, each as defined in Rule 502(c) of Regulation D under the U.S.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Immediately prior to making the offer of the Sellers Equity to Buyer, each Seller had reasonable grounds to believe, and did believe, that Buyer is an “accredited investor” as defined in Rule 501(a) under the Securities Act or a “qualified institutional buyer” as defined in Rule 144A under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Sellers Equity are “restricted securities” under applicable U.S. federal and state securities laws, which must be held indefinitely unless registered with the Securities and Exchange Commission and qualified by state authorities, or an exemption from such registration and qualification requirements is available.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Buyer and Parent are relying on an exemption from the requirement to provide the Sellers with a prospectus under Canadian securities laws with respect to the issuance of the Share Consideration and, as a consequence of acquiring the Share Consideration pursuant to such exemption, the Sellers acknowledge that the Share Consideration is subject to resale restrictions under National Instrument 45-102 Resale of Securities and may not be sold or otherwise disposed of in Canada for a period of four months from the date of distribution of the Share Consideration, unless a statutory exemption is available allowing the earlier resale thereof.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None of the Sellers is a resident of any jurisdiction in Canada or otherwise subject to the securities laws of Canada.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Company Liabilities</w:t>
      </w:r>
      <w:r>
        <w:rPr>
          <w:rFonts w:ascii="Times New Roman;Times;Serif" w:hAnsi="Times New Roman;Times;Serif"/>
          <w:b w:val="false"/>
          <w:i w:val="false"/>
          <w:caps w:val="false"/>
          <w:smallCaps w:val="false"/>
          <w:sz w:val="20"/>
        </w:rPr>
        <w:t xml:space="preserve">. To Sellers’ Knowledge, </w:t>
      </w:r>
      <w:r>
        <w:rPr>
          <w:rFonts w:ascii="Times New Roman;Times;Serif" w:hAnsi="Times New Roman;Times;Serif"/>
          <w:b w:val="false"/>
          <w:i w:val="false"/>
          <w:caps w:val="false"/>
          <w:smallCaps w:val="false"/>
          <w:sz w:val="20"/>
          <w:u w:val="single"/>
        </w:rPr>
        <w:t>Schedule 2(j)</w:t>
      </w:r>
      <w:r>
        <w:rPr>
          <w:rFonts w:ascii="Times New Roman;Times;Serif" w:hAnsi="Times New Roman;Times;Serif"/>
          <w:b w:val="false"/>
          <w:i w:val="false"/>
          <w:caps w:val="false"/>
          <w:smallCaps w:val="false"/>
          <w:sz w:val="20"/>
        </w:rPr>
        <w:t xml:space="preserve"> sets forth a complete and accurate list of all liabilities, obligations or commitments of any nature whatsoever, asserted or unasserted, recorded or unrecorded, known or unknown, absolute or contingent, accrued or unaccrued, matured or unmatured or otherwise (“</w:t>
      </w:r>
      <w:r>
        <w:rPr>
          <w:rFonts w:ascii="Times New Roman;Times;Serif" w:hAnsi="Times New Roman;Times;Serif"/>
          <w:b w:val="false"/>
          <w:i w:val="false"/>
          <w:caps w:val="false"/>
          <w:smallCaps w:val="false"/>
          <w:sz w:val="20"/>
          <w:u w:val="single"/>
        </w:rPr>
        <w:t>Liabilities</w:t>
      </w:r>
      <w:r>
        <w:rPr>
          <w:rFonts w:ascii="Times New Roman;Times;Serif" w:hAnsi="Times New Roman;Times;Serif"/>
          <w:b w:val="false"/>
          <w:i w:val="false"/>
          <w:caps w:val="false"/>
          <w:smallCaps w:val="false"/>
          <w:sz w:val="20"/>
        </w:rPr>
        <w:t xml:space="preserve">”) of each Company Party, existing as of the date hereof or that shall result from either (i) Buyer’s acquisition of the Sellers Equity or (ii) the Cultivation Transfer. To Sellers’ Knowledge, </w:t>
      </w:r>
      <w:r>
        <w:rPr>
          <w:rFonts w:ascii="Times New Roman;Times;Serif" w:hAnsi="Times New Roman;Times;Serif"/>
          <w:b w:val="false"/>
          <w:i w:val="false"/>
          <w:caps w:val="false"/>
          <w:smallCaps w:val="false"/>
          <w:sz w:val="20"/>
          <w:u w:val="single"/>
        </w:rPr>
        <w:t>Schedule 2(j)</w:t>
      </w:r>
      <w:r>
        <w:rPr>
          <w:rFonts w:ascii="Times New Roman;Times;Serif" w:hAnsi="Times New Roman;Times;Serif"/>
          <w:b w:val="false"/>
          <w:i w:val="false"/>
          <w:caps w:val="false"/>
          <w:smallCaps w:val="false"/>
          <w:sz w:val="20"/>
        </w:rPr>
        <w:t xml:space="preserve"> separately lists all Liabilities of the Company Parties (a) related to the Cultivation Business (as defined below) and (b) all other Liabilities of the Company Parties. To Sellers’ Knowledge, the Company Parties have no Liabilities other than as set forth on </w:t>
      </w:r>
      <w:r>
        <w:rPr>
          <w:rFonts w:ascii="Times New Roman;Times;Serif" w:hAnsi="Times New Roman;Times;Serif"/>
          <w:b w:val="false"/>
          <w:i w:val="false"/>
          <w:caps w:val="false"/>
          <w:smallCaps w:val="false"/>
          <w:sz w:val="20"/>
          <w:u w:val="single"/>
        </w:rPr>
        <w:t>Schedule 2(j)</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Absence of Fraud; Public Filings</w:t>
      </w:r>
      <w:r>
        <w:rPr>
          <w:rFonts w:ascii="Times New Roman;Times;Serif" w:hAnsi="Times New Roman;Times;Serif"/>
          <w:b w:val="false"/>
          <w:i w:val="false"/>
          <w:caps w:val="false"/>
          <w:smallCaps w:val="false"/>
          <w:sz w:val="20"/>
        </w:rPr>
        <w:t>. No Seller has committed, and to Sellers’ Knowledge no third party has committed, any fraud or willful misconduct with respect to the business and affairs of the Company. To Sellers’ Knowledge and other than as explicitly and publicly disclosed with respect certain of the Company’s financial statements set forth in the Company’s August 14, 2024 Quarterly Report, no periodic reports filed by the Company pursuant to the Securities Exchange Act of 1934 contain any untrue statements of material fact, or omit to state a material fact necessary to make the statements contained therein not misleading.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2(l)</w:t>
      </w:r>
      <w:r>
        <w:rPr>
          <w:rFonts w:ascii="Times New Roman;Times;Serif" w:hAnsi="Times New Roman;Times;Serif"/>
          <w:b w:val="false"/>
          <w:i w:val="false"/>
          <w:caps w:val="false"/>
          <w:smallCaps w:val="false"/>
          <w:sz w:val="20"/>
        </w:rPr>
        <w:t xml:space="preserve"> sets forth all agreements, contracts, transactions or other arrangements between a Company Party, on the one hand, and any Seller or affiliate of any Seller, including any family member of any Seller that is a natural Person, on the other.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To Sellers’ Knowledge, the Company Parties are now complying, and since January 1, 2020 have complied, in all material respects with all Laws and Governmental Orders applicable to the Company Parties and their properties, assets and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6063" w:type="dxa"/>
        <w:jc w:val="left"/>
        <w:tblInd w:w="0" w:type="dxa"/>
        <w:tblLayout w:type="fixed"/>
        <w:tblCellMar>
          <w:top w:w="0" w:type="dxa"/>
          <w:left w:w="0" w:type="dxa"/>
          <w:bottom w:w="0" w:type="dxa"/>
          <w:right w:w="0" w:type="dxa"/>
        </w:tblCellMar>
      </w:tblPr>
      <w:tblGrid>
        <w:gridCol w:w="38"/>
        <w:gridCol w:w="170"/>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3.</w:t>
            </w:r>
          </w:p>
        </w:tc>
        <w:tc>
          <w:tcPr>
            <w:tcW w:w="5855" w:type="dxa"/>
            <w:tcBorders/>
            <w:vAlign w:val="center"/>
          </w:tcPr>
          <w:p>
            <w:pPr>
              <w:pStyle w:val="TableContents"/>
              <w:bidi w:val="0"/>
              <w:spacing w:before="0" w:after="283"/>
              <w:jc w:val="left"/>
              <w:rPr/>
            </w:pPr>
            <w:r>
              <w:rPr/>
              <w:t>REPRESENTATIONS AND WARRANTIES OF BUYER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represents and warrants to Sellers as of the date hereof and as of the Closing Date that: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Buyer is an entity duly organized, validly existing and in good standing under the laws of the jurisdiction of its 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Authority and Enforceability</w:t>
      </w:r>
      <w:r>
        <w:rPr>
          <w:rFonts w:ascii="Times New Roman;Times;Serif" w:hAnsi="Times New Roman;Times;Serif"/>
          <w:b w:val="false"/>
          <w:i w:val="false"/>
          <w:caps w:val="false"/>
          <w:smallCaps w:val="false"/>
          <w:sz w:val="20"/>
        </w:rPr>
        <w:t>. Buyer has all necessary power and authority to execute, deliver, and perform its obligations under this Agreement and the Transaction Documents and to consummate the transactions contemplated hereby and thereby. This Agreement and the Transaction Documents have been duly executed and delivered by Buyer and, assuming due authorization, execution and delivery by Sellers, constitute legally valid and binding obligations of Buyer, enforceable against Buyer in accordance with their respective terms, except that such enforceability may be limited by bankruptcy, insolvency, reorganization, moratorium or other similar laws affecting the rights of creditors generally or by general equitable principles.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Broker</w:t>
      </w:r>
      <w:r>
        <w:rPr>
          <w:rFonts w:ascii="Times New Roman;Times;Serif" w:hAnsi="Times New Roman;Times;Serif"/>
          <w:b w:val="false"/>
          <w:i w:val="false"/>
          <w:caps w:val="false"/>
          <w:smallCaps w:val="false"/>
          <w:sz w:val="20"/>
        </w:rPr>
        <w:t>. There is no investment banker, broker, finder, or other intermediary retained by or authorized to act on behalf of Buyer who might be entitled to any fee or commission from Sellers or any of its affiliates upon consummation of the transactions contemplated hereby.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Buyer is an “accredited investor” within the meaning of Rule 501(a) of Regulation D under the Securities Act or a “qualified institutional buyer” as defined in Rule 144A under the Securities Act and is acquiring the Sellers Equity from Sellers for Buyer’s own account and for purposes of investment and not with a view toward, or for sale in connection with, any distribution thereof, except in compliance with applicable laws, including U.S. federal and state securities law.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Buyer has such knowledge and experience in financial and business matters so as to be capable of evaluating the merits and risks of its investment in the Shares and Warrants and is capable of bearing the economic risks of such investment, and Buyer has previously invested in securities similar to the Shares and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Restricted Securities; Restrictions on Transfer</w:t>
      </w:r>
      <w:r>
        <w:rPr>
          <w:rFonts w:ascii="Times New Roman;Times;Serif" w:hAnsi="Times New Roman;Times;Serif"/>
          <w:b w:val="false"/>
          <w:i w:val="false"/>
          <w:caps w:val="false"/>
          <w:smallCaps w:val="false"/>
          <w:sz w:val="20"/>
        </w:rPr>
        <w:t xml:space="preserve">. Buyer understands that the common shares underlying the Sellers Equity are “restricted securities” under applicable U.S. federal and state securities laws and that, pursuant to these laws, Buyer must hold such </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hares indefinitely unless they are registered with the Securities and Exchange Commission and qualified by state authorities, or an exemption from such registration and qualification requirements is available.</w:t>
      </w:r>
    </w:p>
    <w:p>
      <w:pPr>
        <w:pStyle w:val="TextBody"/>
        <w:bidi w:val="0"/>
        <w:spacing w:before="0" w:after="0"/>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17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4.</w:t>
            </w:r>
          </w:p>
        </w:tc>
        <w:tc>
          <w:tcPr>
            <w:tcW w:w="3035" w:type="dxa"/>
            <w:tcBorders/>
            <w:vAlign w:val="center"/>
          </w:tcPr>
          <w:p>
            <w:pPr>
              <w:pStyle w:val="TableContents"/>
              <w:bidi w:val="0"/>
              <w:spacing w:before="0" w:after="283"/>
              <w:jc w:val="left"/>
              <w:rPr/>
            </w:pPr>
            <w:r>
              <w:rPr/>
              <w:t>CONDITIONS OF CLOSING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Conditions to Sellers’ Obligation to Transfer</w:t>
      </w:r>
      <w:r>
        <w:rPr>
          <w:rFonts w:ascii="Times New Roman;Times;Serif" w:hAnsi="Times New Roman;Times;Serif"/>
          <w:b w:val="false"/>
          <w:i w:val="false"/>
          <w:caps w:val="false"/>
          <w:smallCaps w:val="false"/>
          <w:sz w:val="20"/>
        </w:rPr>
        <w:t>. The obligation of Sellers hereunder to transfer the Sellers Equity to Buyer on the Closing Date is subject to the satisfaction, on or before the Closing Date, of each of the following conditions (any of which may be waived by Sellers in whole or in part):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representations and warranties of Buyer shall be true and correct in all material respects as of the date when made and as of the Closing Date as though made at that time (except for representations and warranties that speak as of a specific date), and Buyer shall have performed, satisfied and complied with the covenants, agreements and conditions required by this Agreement to be performed, satisfied or complied with by Buyer at or prior to the Closing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(or its trustee, transfer agent, registrar or counsel, as the case may be) shall have confirmed in writing that it has received all documents, in acceptable form, that are necessary to effect the transfer of the Shares and Warrants from Sellers to Buyer, and that it is prepared to effect such transfer, or taken any such other steps as may be required to effect the transfer of the Shares and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Conditions to Buyer’s Obligation to Pay Purchase Price</w:t>
      </w:r>
      <w:r>
        <w:rPr>
          <w:rFonts w:ascii="Times New Roman;Times;Serif" w:hAnsi="Times New Roman;Times;Serif"/>
          <w:b w:val="false"/>
          <w:i w:val="false"/>
          <w:caps w:val="false"/>
          <w:smallCaps w:val="false"/>
          <w:sz w:val="20"/>
        </w:rPr>
        <w:t>. The obligation of Buyer hereunder to pay the First Tranche Cash Payment to the Sellers on the Closing Date is subject to the satisfaction, on or before the Closing Date, of each of the following conditions (any of which may be waived by Buyer in whole or in part):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representations and warranties of the Sellers shall be true and correct in all material respects as of the date when made and as of the Closing Date as though made at that time (except for representations and warranties that speak as of a specific date), and the Sellers shall have performed, satisfied and complied with the covenants, agreements and conditions required by this Agreement to be performed, satisfied or complied with by the Sellers at or prior to the Closing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(or its trustee, transfer agent, registrar or counsel, as the case may be) shall have confirmed in writing that it has received all documents, in acceptable form, that are necessary to effect the transfer of the Shares and Warrants from the Sellers to Buyers, and that it has effected such transfer.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board of Directors of the Company shall have approved incurring the Buyer Held Debt.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Immediately subsequent to the Closing, Mr. Chang and Ms. Chan shall have resigned from the board of directors of the Company, Mr. Chang shall have resigned as Chief Executive Officer (and as any other officer) of the Company, and the remaining directors will (i) appoint three Persons satisfactory to Buyer in its sole discretion to fill the board vacancies caused by such resignations and increased board size, and (ii) appoint a replacement Chief Executive Officer reasonably satisfactory to Buyer in its sole discretion.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Buyer shall have received a certificate from Representative certifying that, with respect to each Seller that is not a natural person, attached thereto are true and complete copies of (i) certified certificates of incorporation or organization, or the applicable equivalent for such Seller, (ii) bylaws, operating agreement or the applicable equivalent for such Seller, and (iii) all resolutions adopted by the applicable Board of Directors or Managers, Trustees or members of such Seller authorizing the execution, delivery and performance of this Agreement and the consummation of the transactions contemplated hereby; and that all such resolutions are in full force and effect and are all the resolutions adopted in connection with the transactions contemplated hereby.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and Maxim Group LLC (“</w:t>
      </w:r>
      <w:r>
        <w:rPr>
          <w:rFonts w:ascii="Times New Roman;Times;Serif" w:hAnsi="Times New Roman;Times;Serif"/>
          <w:b w:val="false"/>
          <w:i w:val="false"/>
          <w:caps w:val="false"/>
          <w:smallCaps w:val="false"/>
          <w:sz w:val="20"/>
          <w:u w:val="single"/>
        </w:rPr>
        <w:t>Maxim</w:t>
      </w:r>
      <w:r>
        <w:rPr>
          <w:rFonts w:ascii="Times New Roman;Times;Serif" w:hAnsi="Times New Roman;Times;Serif"/>
          <w:b w:val="false"/>
          <w:i w:val="false"/>
          <w:caps w:val="false"/>
          <w:smallCaps w:val="false"/>
          <w:sz w:val="20"/>
        </w:rPr>
        <w:t xml:space="preserve">”) shall have modified that engagement letter dated August 6, 2024, such that the Company shall have no obligation to Maxim for any amounts owed now or in the future except as otherwise disclosed on </w:t>
      </w:r>
      <w:r>
        <w:rPr>
          <w:rFonts w:ascii="Times New Roman;Times;Serif" w:hAnsi="Times New Roman;Times;Serif"/>
          <w:b w:val="false"/>
          <w:i w:val="false"/>
          <w:caps w:val="false"/>
          <w:smallCaps w:val="false"/>
          <w:sz w:val="20"/>
          <w:u w:val="single"/>
        </w:rPr>
        <w:t>Schedule 2(h)</w:t>
      </w:r>
      <w:r>
        <w:rPr>
          <w:rFonts w:ascii="Times New Roman;Times;Serif" w:hAnsi="Times New Roman;Times;Serif"/>
          <w:b w:val="false"/>
          <w:i w:val="false"/>
          <w:caps w:val="false"/>
          <w:smallCaps w:val="false"/>
          <w:sz w:val="20"/>
        </w:rPr>
        <w:t>, other than as specifically related to the Fairness Opinion, or other commitments that are reasonably satisfactory to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Sellers shall have provided to Buyer executed (i) stock powers, as to the transfer of the Shares from Sellers to Buyer, in form reasonably satisfactory to Buyer, and (ii) assignments of the Warrants, in the form as attached to the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38"/>
        <w:gridCol w:w="17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5.</w:t>
            </w:r>
          </w:p>
        </w:tc>
        <w:tc>
          <w:tcPr>
            <w:tcW w:w="3320" w:type="dxa"/>
            <w:tcBorders/>
            <w:vAlign w:val="center"/>
          </w:tcPr>
          <w:p>
            <w:pPr>
              <w:pStyle w:val="TableContents"/>
              <w:bidi w:val="0"/>
              <w:spacing w:before="0" w:after="283"/>
              <w:jc w:val="left"/>
              <w:rPr/>
            </w:pPr>
            <w:r>
              <w:rPr/>
              <w:t>POST CLOSING COVENANTS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Cultivation Transfer</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Buyer and Sellers acknowledge that the Company is preparing to sell and assign (the “</w:t>
      </w:r>
      <w:r>
        <w:rPr>
          <w:rFonts w:ascii="Times New Roman;Times;Serif" w:hAnsi="Times New Roman;Times;Serif"/>
          <w:b w:val="false"/>
          <w:i w:val="false"/>
          <w:caps w:val="false"/>
          <w:smallCaps w:val="false"/>
          <w:sz w:val="20"/>
          <w:u w:val="single"/>
        </w:rPr>
        <w:t>Cultivation Transfer</w:t>
      </w:r>
      <w:r>
        <w:rPr>
          <w:rFonts w:ascii="Times New Roman;Times;Serif" w:hAnsi="Times New Roman;Times;Serif"/>
          <w:b w:val="false"/>
          <w:i w:val="false"/>
          <w:caps w:val="false"/>
          <w:smallCaps w:val="false"/>
          <w:sz w:val="20"/>
        </w:rPr>
        <w:t>”) to CP Acquisitions or an affiliate of CP Acquisitions (such Person that acquires the Cultivation Business, the “</w:t>
      </w:r>
      <w:r>
        <w:rPr>
          <w:rFonts w:ascii="Times New Roman;Times;Serif" w:hAnsi="Times New Roman;Times;Serif"/>
          <w:b w:val="false"/>
          <w:i w:val="false"/>
          <w:caps w:val="false"/>
          <w:smallCaps w:val="false"/>
          <w:sz w:val="20"/>
          <w:u w:val="single"/>
        </w:rPr>
        <w:t>Cultivation Buyer</w:t>
      </w:r>
      <w:r>
        <w:rPr>
          <w:rFonts w:ascii="Times New Roman;Times;Serif" w:hAnsi="Times New Roman;Times;Serif"/>
          <w:b w:val="false"/>
          <w:i w:val="false"/>
          <w:caps w:val="false"/>
          <w:smallCaps w:val="false"/>
          <w:sz w:val="20"/>
        </w:rPr>
        <w:t xml:space="preserve">”) the assets and liabilities of the Company’s cultivation business, including those </w:t>
      </w:r>
      <w:r>
        <w:rPr>
          <w:rFonts w:ascii="Times New Roman;Times;Serif" w:hAnsi="Times New Roman;Times;Serif"/>
          <w:b w:val="false"/>
          <w:i w:val="false"/>
          <w:caps w:val="false"/>
          <w:smallCaps w:val="false"/>
          <w:sz w:val="20"/>
          <w:u w:val="single"/>
        </w:rPr>
        <w:t>set forth on Appendix 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Cultivation Business</w:t>
      </w:r>
      <w:r>
        <w:rPr>
          <w:rFonts w:ascii="Times New Roman;Times;Serif" w:hAnsi="Times New Roman;Times;Serif"/>
          <w:b w:val="false"/>
          <w:i w:val="false"/>
          <w:caps w:val="false"/>
          <w:smallCaps w:val="false"/>
          <w:sz w:val="20"/>
        </w:rPr>
        <w:t>”) in exchange for the transfer of all indebtedness of the Company Parties held by any of the Sellers (“</w:t>
      </w:r>
      <w:r>
        <w:rPr>
          <w:rFonts w:ascii="Times New Roman;Times;Serif" w:hAnsi="Times New Roman;Times;Serif"/>
          <w:b w:val="false"/>
          <w:i w:val="false"/>
          <w:caps w:val="false"/>
          <w:smallCaps w:val="false"/>
          <w:sz w:val="20"/>
          <w:u w:val="single"/>
        </w:rPr>
        <w:t>Seller Held Debt</w:t>
      </w:r>
      <w:r>
        <w:rPr>
          <w:rFonts w:ascii="Times New Roman;Times;Serif" w:hAnsi="Times New Roman;Times;Serif"/>
          <w:b w:val="false"/>
          <w:i w:val="false"/>
          <w:caps w:val="false"/>
          <w:smallCaps w:val="false"/>
          <w:sz w:val="20"/>
        </w:rPr>
        <w:t>”), which today is an amount equal to $6,922,431.12 (including any further accrued interest, fees, penalties or other obligations of any kind as of the closing of the Cultivation Transfer, the “</w:t>
      </w:r>
      <w:r>
        <w:rPr>
          <w:rFonts w:ascii="Times New Roman;Times;Serif" w:hAnsi="Times New Roman;Times;Serif"/>
          <w:b w:val="false"/>
          <w:i w:val="false"/>
          <w:caps w:val="false"/>
          <w:smallCaps w:val="false"/>
          <w:sz w:val="20"/>
          <w:u w:val="single"/>
        </w:rPr>
        <w:t>Cultivation Purchase Price</w:t>
      </w:r>
      <w:r>
        <w:rPr>
          <w:rFonts w:ascii="Times New Roman;Times;Serif" w:hAnsi="Times New Roman;Times;Serif"/>
          <w:b w:val="false"/>
          <w:i w:val="false"/>
          <w:caps w:val="false"/>
          <w:smallCaps w:val="false"/>
          <w:sz w:val="20"/>
        </w:rPr>
        <w:t>”) and that the Company is seeking a fairness opinion from an independent investment bank (the “</w:t>
      </w:r>
      <w:r>
        <w:rPr>
          <w:rFonts w:ascii="Times New Roman;Times;Serif" w:hAnsi="Times New Roman;Times;Serif"/>
          <w:b w:val="false"/>
          <w:i w:val="false"/>
          <w:caps w:val="false"/>
          <w:smallCaps w:val="false"/>
          <w:sz w:val="20"/>
          <w:u w:val="single"/>
        </w:rPr>
        <w:t>Bank</w:t>
      </w:r>
      <w:r>
        <w:rPr>
          <w:rFonts w:ascii="Times New Roman;Times;Serif" w:hAnsi="Times New Roman;Times;Serif"/>
          <w:b w:val="false"/>
          <w:i w:val="false"/>
          <w:caps w:val="false"/>
          <w:smallCaps w:val="false"/>
          <w:sz w:val="20"/>
        </w:rPr>
        <w:t>”) regarding the fairness of the Cultivation Transfer to the Company (the “</w:t>
      </w:r>
      <w:r>
        <w:rPr>
          <w:rFonts w:ascii="Times New Roman;Times;Serif" w:hAnsi="Times New Roman;Times;Serif"/>
          <w:b w:val="false"/>
          <w:i w:val="false"/>
          <w:caps w:val="false"/>
          <w:smallCaps w:val="false"/>
          <w:sz w:val="20"/>
          <w:u w:val="single"/>
        </w:rPr>
        <w:t>Fairness Opinion</w:t>
      </w:r>
      <w:r>
        <w:rPr>
          <w:rFonts w:ascii="Times New Roman;Times;Serif" w:hAnsi="Times New Roman;Times;Serif"/>
          <w:b w:val="false"/>
          <w:i w:val="false"/>
          <w:caps w:val="false"/>
          <w:smallCaps w:val="false"/>
          <w:sz w:val="20"/>
        </w:rPr>
        <w:t>”). CP Acquisitions shall, and the other Sellers shall cause CP Acquisitions to, complete or cause Cultivation Buyer to complete the Cultivation Transfer upon the receipt by CP Acquisitions of purchase and sale documents prepared by the Company and after the Fairness Opinion is obtained by the Company (the “</w:t>
      </w:r>
      <w:r>
        <w:rPr>
          <w:rFonts w:ascii="Times New Roman;Times;Serif" w:hAnsi="Times New Roman;Times;Serif"/>
          <w:b w:val="false"/>
          <w:i w:val="false"/>
          <w:caps w:val="false"/>
          <w:smallCaps w:val="false"/>
          <w:sz w:val="20"/>
          <w:u w:val="single"/>
        </w:rPr>
        <w:t>Cultivation Sale Prerequisites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CP Acquisitions further agrees that, in the event the board of directors of the Company determines that the Cultivation Transfer is not fair to the Company, Cultivation Buyer will agree to an increase in the Cultivation Purchase Price (such final price, the “</w:t>
      </w:r>
      <w:r>
        <w:rPr>
          <w:rFonts w:ascii="Times New Roman;Times;Serif" w:hAnsi="Times New Roman;Times;Serif"/>
          <w:b w:val="false"/>
          <w:i w:val="false"/>
          <w:caps w:val="false"/>
          <w:smallCaps w:val="false"/>
          <w:sz w:val="20"/>
          <w:u w:val="single"/>
        </w:rPr>
        <w:t>Final Cultivation Purchase Price</w:t>
      </w:r>
      <w:r>
        <w:rPr>
          <w:rFonts w:ascii="Times New Roman;Times;Serif" w:hAnsi="Times New Roman;Times;Serif"/>
          <w:b w:val="false"/>
          <w:i w:val="false"/>
          <w:caps w:val="false"/>
          <w:smallCaps w:val="false"/>
          <w:sz w:val="20"/>
        </w:rPr>
        <w:t>”, and the amount of such increase, the “</w:t>
      </w:r>
      <w:r>
        <w:rPr>
          <w:rFonts w:ascii="Times New Roman;Times;Serif" w:hAnsi="Times New Roman;Times;Serif"/>
          <w:b w:val="false"/>
          <w:i w:val="false"/>
          <w:caps w:val="false"/>
          <w:smallCaps w:val="false"/>
          <w:sz w:val="20"/>
          <w:u w:val="single"/>
        </w:rPr>
        <w:t>Additional Cultivation Purchase Price</w:t>
      </w:r>
      <w:r>
        <w:rPr>
          <w:rFonts w:ascii="Times New Roman;Times;Serif" w:hAnsi="Times New Roman;Times;Serif"/>
          <w:b w:val="false"/>
          <w:i w:val="false"/>
          <w:caps w:val="false"/>
          <w:smallCaps w:val="false"/>
          <w:sz w:val="20"/>
        </w:rPr>
        <w:t>”) such that a Fairness Opinion may be obtained (provided that, for the avoidance of doubt, the transfer of the Seller Held Debt shall remain part of the Cultivation Purchase Price). The Additional Cultivation Purchase Price shall be paid as equity in Cultivation Buyer to the Company, either as direct ownership equity or as exchangeable or other convertible equity, at Company’s option, with the value of Cultivation Buyer being equal to the Final Cultivation Purchase Price (as determined on a fully diluted basis without any control or other premium being considered). Cultivation Buyer shall negotiate terms of such investment, including the terms of Cultivation Buyer’s operating agreement, reasonably and in good faith with the Company (and the Sellers shall cause Cultivation Buyer to negotiate reasonably and in good faith), and Cultivation Buyer shall not, and the Sellers shall cause Cultivation Buyer not to, transfer any of the Cultivation Business to any other Person.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Sellers hereby agree that, upon the closing of the Cultivation Transfer, all Seller Held Debt shall be transferred to CP Acquisitions (or an affiliate of CP Acquisitions) as debtor and obligor and the Seller Held Debt shall be deemed repaid in full (including as it relates to any interest, penalties, fees or other obligations) by the Company. At such time, (a) no Company Party shall be liable for or in any way restricted or encumbered by any Seller Held Debt (including for any payments of interest, fees, penalties or any other obligation thereunder) or any Seller Held Lien (defined below), (b) the Seller Held Liens shall be terminated as it relates to the Company Parties, and (c) in no event shall any of the Seller Held Debt be convertible into any securities of the Company. In the event any Seller Held Debt remains at the Company following the Cultivation Transfer, or in the event the Cultivation Transfer does not occur within a reasonable amount of time (as determined by Buyer in good faith) following completion of the Cultivation Sale Prerequisites to Sellers, Buyer shall have the option of paying off the remaining Seller Held Debt (and the applicable Seller shall accept such payoff), and shall be entitled to Set- Off such amounts paid.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Prior to the completion of the Cultivation Transfer, Sellers shall not (a) convert any portion of the Seller Held Debt into equity of the Company, or (b) in any way impose restrictions or encumbrances on the Company Parties or their operations in any manner permitted under the Seller Held Debt. For the sake of clarity, any and all senior or junior liens held by the Sellers over Company assets in effect as of the date hereof (the “</w:t>
      </w:r>
      <w:r>
        <w:rPr>
          <w:rFonts w:ascii="Times New Roman;Times;Serif" w:hAnsi="Times New Roman;Times;Serif"/>
          <w:b w:val="false"/>
          <w:i w:val="false"/>
          <w:caps w:val="false"/>
          <w:smallCaps w:val="false"/>
          <w:sz w:val="20"/>
          <w:u w:val="single"/>
        </w:rPr>
        <w:t>Seller Held Liens</w:t>
      </w:r>
      <w:r>
        <w:rPr>
          <w:rFonts w:ascii="Times New Roman;Times;Serif" w:hAnsi="Times New Roman;Times;Serif"/>
          <w:b w:val="false"/>
          <w:i w:val="false"/>
          <w:caps w:val="false"/>
          <w:smallCaps w:val="false"/>
          <w:sz w:val="20"/>
        </w:rPr>
        <w:t>”) shall remain in full force and effect through the closing of the Cultivation Transfer.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Sellers acknowledge on or immediately after the Closing Date the Company shall issue to Buyer (or an affiliate of Buyer) a Convertible Secured Note (the “</w:t>
      </w:r>
      <w:r>
        <w:rPr>
          <w:rFonts w:ascii="Times New Roman;Times;Serif" w:hAnsi="Times New Roman;Times;Serif"/>
          <w:b w:val="false"/>
          <w:i w:val="false"/>
          <w:caps w:val="false"/>
          <w:smallCaps w:val="false"/>
          <w:sz w:val="20"/>
          <w:u w:val="single"/>
        </w:rPr>
        <w:t>Buyer Note</w:t>
      </w:r>
      <w:r>
        <w:rPr>
          <w:rFonts w:ascii="Times New Roman;Times;Serif" w:hAnsi="Times New Roman;Times;Serif"/>
          <w:b w:val="false"/>
          <w:i w:val="false"/>
          <w:caps w:val="false"/>
          <w:smallCaps w:val="false"/>
          <w:sz w:val="20"/>
        </w:rPr>
        <w:t>”) pursuant to which the Buyer may make loans to the Company (the amount loaned at any time, “</w:t>
      </w:r>
      <w:r>
        <w:rPr>
          <w:rFonts w:ascii="Times New Roman;Times;Serif" w:hAnsi="Times New Roman;Times;Serif"/>
          <w:b w:val="false"/>
          <w:i w:val="false"/>
          <w:caps w:val="false"/>
          <w:smallCaps w:val="false"/>
          <w:sz w:val="20"/>
          <w:u w:val="single"/>
        </w:rPr>
        <w:t>Buyer Held Debt</w:t>
      </w:r>
      <w:r>
        <w:rPr>
          <w:rFonts w:ascii="Times New Roman;Times;Serif" w:hAnsi="Times New Roman;Times;Serif"/>
          <w:b w:val="false"/>
          <w:i w:val="false"/>
          <w:caps w:val="false"/>
          <w:smallCaps w:val="false"/>
          <w:sz w:val="20"/>
        </w:rPr>
        <w:t>”). Each Seller hereby (i) consents to and approves the Buyer Held Debt and the Company entering into the Buyer Note, (ii) agrees that the Buyer Held Debt is subordinated to the secured Seller Held Debt in all respects, (iii) accepts that the Liens held by the Buyer over Company assets pursuant to the Buyer Held Debt (the “</w:t>
      </w:r>
      <w:r>
        <w:rPr>
          <w:rFonts w:ascii="Times New Roman;Times;Serif" w:hAnsi="Times New Roman;Times;Serif"/>
          <w:b w:val="false"/>
          <w:i w:val="false"/>
          <w:caps w:val="false"/>
          <w:smallCaps w:val="false"/>
          <w:sz w:val="20"/>
          <w:u w:val="single"/>
        </w:rPr>
        <w:t>Buyer Held Liens</w:t>
      </w:r>
      <w:r>
        <w:rPr>
          <w:rFonts w:ascii="Times New Roman;Times;Serif" w:hAnsi="Times New Roman;Times;Serif"/>
          <w:b w:val="false"/>
          <w:i w:val="false"/>
          <w:caps w:val="false"/>
          <w:smallCaps w:val="false"/>
          <w:sz w:val="20"/>
        </w:rPr>
        <w:t>”) shall be subordinated to the Seller Held Liens in all respects and circumstances, (iv) waives any conversion, default or other right or obligation triggered under the Seller Held Debt due to the Buyer Held Debt and Company entering into the Buyer Held Note or due to the transactions or actions contemplated by this Agreement, and (v) agrees to forbear any default or event of default existing under any agreement evidencing the Seller Held Debt. In the event of any distribution to creditors of the Company in (i) any liquidation or dissolution of the Company, (ii) any bankruptcy, reorganization, insolvency, receivership, or similar proceeding relating to the Company or its property, (iii) any assignment by the Company for the benefit of its creditors, or (iv) any marshalling of the Company’s assets and liabilities, the Sellers shall first be entitled to receive payment in full of all amounts due on or in respect of Seller Held Debt prior to any payment on the Buyer Held Debt.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Transition Plan</w:t>
      </w:r>
      <w:r>
        <w:rPr>
          <w:rFonts w:ascii="Times New Roman;Times;Serif" w:hAnsi="Times New Roman;Times;Serif"/>
          <w:b w:val="false"/>
          <w:i w:val="false"/>
          <w:caps w:val="false"/>
          <w:smallCaps w:val="false"/>
          <w:sz w:val="20"/>
        </w:rPr>
        <w:t xml:space="preserve">. Buyer, Representative and Sellers shall use commercially reasonable effort to carry out the terms of the Transition Plan as set forth on </w:t>
      </w:r>
      <w:r>
        <w:rPr>
          <w:rFonts w:ascii="Times New Roman;Times;Serif" w:hAnsi="Times New Roman;Times;Serif"/>
          <w:b w:val="false"/>
          <w:i w:val="false"/>
          <w:caps w:val="false"/>
          <w:smallCaps w:val="false"/>
          <w:sz w:val="20"/>
          <w:u w:val="single"/>
        </w:rPr>
        <w:t>Schedule 5(b)</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val="false"/>
          <w:i w:val="false"/>
          <w:caps w:val="false"/>
          <w:smallCaps w:val="false"/>
          <w:sz w:val="20"/>
          <w:u w:val="single"/>
        </w:rPr>
        <w:t>Transition Plan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Escrow</w:t>
      </w:r>
      <w:r>
        <w:rPr>
          <w:rFonts w:ascii="Times New Roman;Times;Serif" w:hAnsi="Times New Roman;Times;Serif"/>
          <w:b w:val="false"/>
          <w:i w:val="false"/>
          <w:caps w:val="false"/>
          <w:smallCaps w:val="false"/>
          <w:sz w:val="20"/>
        </w:rPr>
        <w:t>. Buyer and Representative shall use commercially reasonable efforts to enter into an Escrow Agreement (the “</w:t>
      </w:r>
      <w:r>
        <w:rPr>
          <w:rFonts w:ascii="Times New Roman;Times;Serif" w:hAnsi="Times New Roman;Times;Serif"/>
          <w:b w:val="false"/>
          <w:i w:val="false"/>
          <w:caps w:val="false"/>
          <w:smallCaps w:val="false"/>
          <w:sz w:val="20"/>
          <w:u w:val="single"/>
        </w:rPr>
        <w:t>Escrow Agreement</w:t>
      </w:r>
      <w:r>
        <w:rPr>
          <w:rFonts w:ascii="Times New Roman;Times;Serif" w:hAnsi="Times New Roman;Times;Serif"/>
          <w:b w:val="false"/>
          <w:i w:val="false"/>
          <w:caps w:val="false"/>
          <w:smallCaps w:val="false"/>
          <w:sz w:val="20"/>
        </w:rPr>
        <w:t>”) with a mutually agreed upon Escrow Agent (the “</w:t>
      </w:r>
      <w:r>
        <w:rPr>
          <w:rFonts w:ascii="Times New Roman;Times;Serif" w:hAnsi="Times New Roman;Times;Serif"/>
          <w:b w:val="false"/>
          <w:i w:val="false"/>
          <w:caps w:val="false"/>
          <w:smallCaps w:val="false"/>
          <w:sz w:val="20"/>
          <w:u w:val="single"/>
        </w:rPr>
        <w:t>Escrow Agent</w:t>
      </w:r>
      <w:r>
        <w:rPr>
          <w:rFonts w:ascii="Times New Roman;Times;Serif" w:hAnsi="Times New Roman;Times;Serif"/>
          <w:b w:val="false"/>
          <w:i w:val="false"/>
          <w:caps w:val="false"/>
          <w:smallCaps w:val="false"/>
          <w:sz w:val="20"/>
        </w:rPr>
        <w:t>”) within five Business Days following the date of this Agreement. Upon entering into the Escrow Agreement, Buyer shall deposit an amount equal to the amount of the Post-Closing Payments (the “</w:t>
      </w:r>
      <w:r>
        <w:rPr>
          <w:rFonts w:ascii="Times New Roman;Times;Serif" w:hAnsi="Times New Roman;Times;Serif"/>
          <w:b w:val="false"/>
          <w:i w:val="false"/>
          <w:caps w:val="false"/>
          <w:smallCaps w:val="false"/>
          <w:sz w:val="20"/>
          <w:u w:val="single"/>
        </w:rPr>
        <w:t>Escrow Account</w:t>
      </w:r>
      <w:r>
        <w:rPr>
          <w:rFonts w:ascii="Times New Roman;Times;Serif" w:hAnsi="Times New Roman;Times;Serif"/>
          <w:b w:val="false"/>
          <w:i w:val="false"/>
          <w:caps w:val="false"/>
          <w:smallCaps w:val="false"/>
          <w:sz w:val="20"/>
        </w:rPr>
        <w:t>”), which shall be disbursed as set forth in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Additional Equity</w:t>
      </w:r>
      <w:r>
        <w:rPr>
          <w:rFonts w:ascii="Times New Roman;Times;Serif" w:hAnsi="Times New Roman;Times;Serif"/>
          <w:b w:val="false"/>
          <w:i w:val="false"/>
          <w:caps w:val="false"/>
          <w:smallCaps w:val="false"/>
          <w:sz w:val="20"/>
        </w:rPr>
        <w:t>. In the event any Seller holds any restricted stock units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 or stock options (“</w:t>
      </w:r>
      <w:r>
        <w:rPr>
          <w:rFonts w:ascii="Times New Roman;Times;Serif" w:hAnsi="Times New Roman;Times;Serif"/>
          <w:b w:val="false"/>
          <w:i w:val="false"/>
          <w:caps w:val="false"/>
          <w:smallCaps w:val="false"/>
          <w:sz w:val="20"/>
          <w:u w:val="single"/>
        </w:rPr>
        <w:t>Stock Options</w:t>
      </w:r>
      <w:r>
        <w:rPr>
          <w:rFonts w:ascii="Times New Roman;Times;Serif" w:hAnsi="Times New Roman;Times;Serif"/>
          <w:b w:val="false"/>
          <w:i w:val="false"/>
          <w:caps w:val="false"/>
          <w:smallCaps w:val="false"/>
          <w:sz w:val="20"/>
        </w:rPr>
        <w:t>”) of the Company granted under any equity incentive plan of the Company or otherwise (the “</w:t>
      </w:r>
      <w:r>
        <w:rPr>
          <w:rFonts w:ascii="Times New Roman;Times;Serif" w:hAnsi="Times New Roman;Times;Serif"/>
          <w:b w:val="false"/>
          <w:i w:val="false"/>
          <w:caps w:val="false"/>
          <w:smallCaps w:val="false"/>
          <w:sz w:val="20"/>
          <w:u w:val="single"/>
        </w:rPr>
        <w:t>Equity Awards</w:t>
      </w:r>
      <w:r>
        <w:rPr>
          <w:rFonts w:ascii="Times New Roman;Times;Serif" w:hAnsi="Times New Roman;Times;Serif"/>
          <w:b w:val="false"/>
          <w:i w:val="false"/>
          <w:caps w:val="false"/>
          <w:smallCaps w:val="false"/>
          <w:sz w:val="20"/>
        </w:rPr>
        <w:t>” and the common stock of the Company underlying such Equity Awards, the “</w:t>
      </w:r>
      <w:r>
        <w:rPr>
          <w:rFonts w:ascii="Times New Roman;Times;Serif" w:hAnsi="Times New Roman;Times;Serif"/>
          <w:b w:val="false"/>
          <w:i w:val="false"/>
          <w:caps w:val="false"/>
          <w:smallCaps w:val="false"/>
          <w:sz w:val="20"/>
          <w:u w:val="single"/>
        </w:rPr>
        <w:t>Award Stock</w:t>
      </w:r>
      <w:r>
        <w:rPr>
          <w:rFonts w:ascii="Times New Roman;Times;Serif" w:hAnsi="Times New Roman;Times;Serif"/>
          <w:b w:val="false"/>
          <w:i w:val="false"/>
          <w:caps w:val="false"/>
          <w:smallCaps w:val="false"/>
          <w:sz w:val="20"/>
        </w:rPr>
        <w:t>”), such Seller agrees to the following: (i) to promptly transfer the Award Stock to Buyer promptly upon receipt of such Award Stock, (ii) to not sell, assign, encumber or in any other way transfer any of the Award Stock except to Buyer, and (iii) to not exercise any Stock Options unless in connection with transferring the resulting Award Stock to Buyer with the consent of Buyer. Sellers agree that the Purchase Price constitutes in part consideration for the Award Stock and no further consideration from Buyer shall be paid in exchange for the Award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38"/>
        <w:gridCol w:w="170"/>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6.</w:t>
            </w:r>
          </w:p>
        </w:tc>
        <w:tc>
          <w:tcPr>
            <w:tcW w:w="4595" w:type="dxa"/>
            <w:tcBorders/>
            <w:vAlign w:val="center"/>
          </w:tcPr>
          <w:p>
            <w:pPr>
              <w:pStyle w:val="TableContents"/>
              <w:bidi w:val="0"/>
              <w:spacing w:before="0" w:after="283"/>
              <w:jc w:val="left"/>
              <w:rPr/>
            </w:pPr>
            <w:r>
              <w:rPr/>
              <w:t>INDEMNITY; LIMITATION OF LIABILITY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Sellers Indemnity</w:t>
      </w:r>
      <w:r>
        <w:rPr>
          <w:rFonts w:ascii="Times New Roman;Times;Serif" w:hAnsi="Times New Roman;Times;Serif"/>
          <w:b w:val="false"/>
          <w:i w:val="false"/>
          <w:caps w:val="false"/>
          <w:smallCaps w:val="false"/>
          <w:sz w:val="20"/>
        </w:rPr>
        <w:t xml:space="preserve">. Buyer shall indemnify and defend the Sellers against, and shall hold the Sellers harmless from and against, and shall pay and reimburse the Sellers for, any and all Losses (as defined below) incurred or sustained by, or imposed upon, the Sellers based upon, arising out of, with respect to or by reason of any inaccuracy in or breach of any of the representations, warranties covenants or agreements of Buyer contained in this Agreement, all of which shall last until December 31, 2025, other than those representations set forth in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each of which shall survive indefinitely.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Buyer Indemnity</w:t>
      </w:r>
      <w:r>
        <w:rPr>
          <w:rFonts w:ascii="Times New Roman;Times;Serif" w:hAnsi="Times New Roman;Times;Serif"/>
          <w:b w:val="false"/>
          <w:i w:val="false"/>
          <w:caps w:val="false"/>
          <w:smallCaps w:val="false"/>
          <w:sz w:val="20"/>
        </w:rPr>
        <w:t xml:space="preserve">. Sellers shall, jointly and severally, indemnify and defend the Buyer against, and shall hold Buyer harmless from and against, and shall pay and reimburse Buyer for, any and all Losses (as defined below) incurred or sustained by, or imposed upon, Buyer based upon, arising out of, with respect to or by reason of any inaccuracy in or breach of any of the representations, warranties covenants or agreements of any Seller contained in this Agreement, all of which shall last until December 31, 2025, other than those representations set forth in </w:t>
      </w:r>
      <w:r>
        <w:rPr>
          <w:rFonts w:ascii="Times New Roman;Times;Serif" w:hAnsi="Times New Roman;Times;Serif"/>
          <w:b w:val="false"/>
          <w:i w:val="false"/>
          <w:caps w:val="false"/>
          <w:smallCaps w:val="false"/>
          <w:sz w:val="20"/>
          <w:u w:val="single"/>
        </w:rPr>
        <w:t>Section 2(a)(i)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2(h)</w:t>
      </w:r>
      <w:r>
        <w:rPr>
          <w:rFonts w:ascii="Times New Roman;Times;Serif" w:hAnsi="Times New Roman;Times;Serif"/>
          <w:b w:val="false"/>
          <w:i w:val="false"/>
          <w:caps w:val="false"/>
          <w:smallCaps w:val="false"/>
          <w:sz w:val="20"/>
        </w:rPr>
        <w:t xml:space="preserve"> (together with the representations set forth in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Fundamental Representations</w:t>
      </w:r>
      <w:r>
        <w:rPr>
          <w:rFonts w:ascii="Times New Roman;Times;Serif" w:hAnsi="Times New Roman;Times;Serif"/>
          <w:b w:val="false"/>
          <w:i w:val="false"/>
          <w:caps w:val="false"/>
          <w:smallCaps w:val="false"/>
          <w:sz w:val="20"/>
        </w:rPr>
        <w:t xml:space="preserve">”), each of which shall survive indefinitely. Sellers further agree to, jointly and severally, indemnify and defend the Buyer against, and shall hold Buyer harmless from and against, and shall pay and reimburse Buyer for, any and all Losses (as defined below) incurred or sustained pursuant to or otherwise related to (i) those matters set forth on </w:t>
      </w:r>
      <w:r>
        <w:rPr>
          <w:rFonts w:ascii="Times New Roman;Times;Serif" w:hAnsi="Times New Roman;Times;Serif"/>
          <w:b w:val="false"/>
          <w:i w:val="false"/>
          <w:caps w:val="false"/>
          <w:smallCaps w:val="false"/>
          <w:sz w:val="20"/>
          <w:u w:val="single"/>
        </w:rPr>
        <w:t>Schedule 6(b)</w:t>
      </w:r>
      <w:r>
        <w:rPr>
          <w:rFonts w:ascii="Times New Roman;Times;Serif" w:hAnsi="Times New Roman;Times;Serif"/>
          <w:b w:val="false"/>
          <w:i w:val="false"/>
          <w:caps w:val="false"/>
          <w:smallCaps w:val="false"/>
          <w:sz w:val="20"/>
        </w:rPr>
        <w:t xml:space="preserve"> hereto and (ii) any claim by any Seller that such Seller did not receive their share of any part of the Purchase Price. Sellers further agree to, jointly and severally, reimburse Buyer or, at the direction of Buyer, the Company, for any amounts by which the Mack Payoff Amount surpasses the Second Tranche Cash Payment (such amount deemed an indemnifiable Loss) (such Losses in this sentence and the immediately preceding sentence, “</w:t>
      </w:r>
      <w:r>
        <w:rPr>
          <w:rFonts w:ascii="Times New Roman;Times;Serif" w:hAnsi="Times New Roman;Times;Serif"/>
          <w:b w:val="false"/>
          <w:i w:val="false"/>
          <w:caps w:val="false"/>
          <w:smallCaps w:val="false"/>
          <w:sz w:val="20"/>
          <w:u w:val="single"/>
        </w:rPr>
        <w:t>Specified Losses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As used in this Agreement,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means losses, damages, liabilities, deficiencies, judgments, interest, awards, penalties, fines, costs or expenses of whatever kind, including reasonable attorneys’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Recovery of Losses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Buyer shall be entitled, but not obligated, to set-off from the Second Tranche Cash Payment, Third Tranche Cash Payment or the Share Consideration (collectively, the “</w:t>
      </w:r>
      <w:r>
        <w:rPr>
          <w:rFonts w:ascii="Times New Roman;Times;Serif" w:hAnsi="Times New Roman;Times;Serif"/>
          <w:b w:val="false"/>
          <w:i w:val="false"/>
          <w:caps w:val="false"/>
          <w:smallCaps w:val="false"/>
          <w:sz w:val="20"/>
          <w:u w:val="single"/>
        </w:rPr>
        <w:t>Post- Closing Payments</w:t>
      </w:r>
      <w:r>
        <w:rPr>
          <w:rFonts w:ascii="Times New Roman;Times;Serif" w:hAnsi="Times New Roman;Times;Serif"/>
          <w:b w:val="false"/>
          <w:i w:val="false"/>
          <w:caps w:val="false"/>
          <w:smallCaps w:val="false"/>
          <w:sz w:val="20"/>
        </w:rPr>
        <w:t>”), at Buyer’s option, any indemnifiable Losses actually incurred (the “</w:t>
      </w:r>
      <w:r>
        <w:rPr>
          <w:rFonts w:ascii="Times New Roman;Times;Serif" w:hAnsi="Times New Roman;Times;Serif"/>
          <w:b w:val="false"/>
          <w:i w:val="false"/>
          <w:caps w:val="false"/>
          <w:smallCaps w:val="false"/>
          <w:sz w:val="20"/>
          <w:u w:val="single"/>
        </w:rPr>
        <w:t>Set- Off</w:t>
      </w:r>
      <w:r>
        <w:rPr>
          <w:rFonts w:ascii="Times New Roman;Times;Serif" w:hAnsi="Times New Roman;Times;Serif"/>
          <w:b w:val="false"/>
          <w:i w:val="false"/>
          <w:caps w:val="false"/>
          <w:smallCaps w:val="false"/>
          <w:sz w:val="20"/>
        </w:rPr>
        <w:t>”). If Buyer has incurred any indemnifiable Losses for which Buyer seeks to Set-Off, Buyer shall notify Representative at least seven (7) days prior to the date a Post-Closing Payment is to be released from the Escrow Account. Such notice shall include Buyer’s reasonable basis for claiming such Loss and Buyer’s reasonable estimate of such Loss. Notwithstanding anything to the contrary, Representative, on behalf of the Sellers, shall have the opportunity to review the proposed Set-Off during such seven (7) day period and shall notify Buyer of any dispute with respect to the Set-Off. If Representative notifies Buyer of any such dispute within such seven (7) day period, Buyer and Representative shall cooperate in good faith to resolve any such dispute as promptly as possible. If Buyer and Representative are unable to resolve any dispute regarding the Set-Off within five (5) Business Days (or such longer period as Buyer and the Representative shall mutually agree in writing), following notice of such dispute, such dispute shall be submitted to, and all issues having a bearing on such dispute shall be resolved by, a nationally-recognized independent accounting firm mutually agreed upon by Buyer and Representative (such identified accounting firm or, if applicable, the firm so selected, the “</w:t>
      </w:r>
      <w:r>
        <w:rPr>
          <w:rFonts w:ascii="Times New Roman;Times;Serif" w:hAnsi="Times New Roman;Times;Serif"/>
          <w:b w:val="false"/>
          <w:i w:val="false"/>
          <w:caps w:val="false"/>
          <w:smallCaps w:val="false"/>
          <w:sz w:val="20"/>
          <w:u w:val="single"/>
        </w:rPr>
        <w:t>Settlement Accountant</w:t>
      </w:r>
      <w:r>
        <w:rPr>
          <w:rFonts w:ascii="Times New Roman;Times;Serif" w:hAnsi="Times New Roman;Times;Serif"/>
          <w:b w:val="false"/>
          <w:i w:val="false"/>
          <w:caps w:val="false"/>
          <w:smallCaps w:val="false"/>
          <w:sz w:val="20"/>
        </w:rPr>
        <w:t>”) (provided, that if Representative and Buyer cannot agree on an accountant within the five (5) Business Days resolution period, then the American Arbitration Association shall appoint the Settlement Accountant for resolution of the remaining disputed matters). Such resolution shall be final and binding on the parties. Buyer and Representative shall instruct the Settlement Accountant to use commercially reasonable efforts to complete its work within ten Business Days (10) days following its engagement. The fees, costs and expenses of the Settlement Accountant shall be borne equally by Buyer and the Sellers.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Thereafter, if a Set-Off is finally determined and when a Post-Closing Payment is due, if applicable, Buyer shall deliver written instructions to the Escrow Agent to release to Buyer an amount equal to any portion of the amount of such Loss, as reasonably calculated by Buyer in good faith, which shall be deducted from the Post-Closing Payment then due, with the remainder of the Post-Closing Payment distributed to the Representative in accordance with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event the parties are disputing a Set-Off at the time a Post-Closing Payment is due, Buyer shall withhold from the Post-Closing Payment an amount equal to proposed Set-Off. When such Set-Off is finally determined, Buyer shall, within two Business Days of such final determination, deliver written instructions to the Escrow Agent to release to Buyer an amount equal to any portion of the amount of such Loss, as finally determined, which shall be deducted from the Post-Closing Payment then due, with the remainder of the Post-Closing Payment distributed to the Representative in accordance with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For a Set-Off of the Share Consideration, Buyer shall calculate the price per share with a VWAP End Date of three trading days prior to the applicable Share Payment Date (or, if final determination of the Set-Off has occurred following the applicable Share Payment Date, three trading days prior to such final determination). For any indemnifiable Losses to Buyer for which Buyer does not seek a Set-Off, Buyer shall provide notice and reasonable details of such Losses actually incurred to Representative. The Sellers shall thereafter pay to Buyer the amount of such Losses within ten Business Days following such notice being sent to Representative, and, for the avoidance of doubt, such indemnification obligation shall be joint and several amongst the Sellers.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xml:space="preserve">. EACH PARTY’S AGGREGATE LIABILITY ARISING OUT OF OR RELATED TO THIS AGREEMENT, WHETHER ARISING OUT OF OR RELATED TO BREACH OF CONTRACT, TORT (INCLUDING NEGLIGENCE) OR OTHERWISE, SHALL BE LIMITED TO THE VALUE OF THE POST-CLOSING PAYMENTS;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the limitations in this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 xml:space="preserve"> will not apply to either party’s liability for a breach of any Fundamental Representation, Specified Losses, gross negligence, intentional misconduct, fraud or breach of their confidentiality obligations in </w:t>
      </w:r>
      <w:r>
        <w:rPr>
          <w:rFonts w:ascii="Times New Roman;Times;Serif" w:hAnsi="Times New Roman;Times;Serif"/>
          <w:b w:val="false"/>
          <w:i w:val="false"/>
          <w:caps w:val="false"/>
          <w:smallCaps w:val="false"/>
          <w:sz w:val="20"/>
          <w:u w:val="single"/>
        </w:rPr>
        <w:t>Section 7(j)</w:t>
      </w:r>
      <w:r>
        <w:rPr>
          <w:rFonts w:ascii="Times New Roman;Times;Serif" w:hAnsi="Times New Roman;Times;Serif"/>
          <w:b w:val="false"/>
          <w:i w:val="false"/>
          <w:caps w:val="false"/>
          <w:smallCaps w:val="false"/>
          <w:sz w:val="20"/>
        </w:rPr>
        <w:t xml:space="preserve"> or Buyer’s payment obligations hereunder. Further, Sellers shall not be liable for indemnifiable Losses of the Buyer related to the breach of any representation of any Seller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(other than Fundamental Representations) until, and only to the extent that, the aggregate amount of all such Losses exceeds $250,000.</w:t>
      </w:r>
    </w:p>
    <w:p>
      <w:pPr>
        <w:pStyle w:val="TextBody"/>
        <w:bidi w:val="0"/>
        <w:spacing w:before="0" w:after="0"/>
        <w:jc w:val="left"/>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170"/>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7.</w:t>
            </w:r>
          </w:p>
        </w:tc>
        <w:tc>
          <w:tcPr>
            <w:tcW w:w="2075" w:type="dxa"/>
            <w:tcBorders/>
            <w:vAlign w:val="center"/>
          </w:tcPr>
          <w:p>
            <w:pPr>
              <w:pStyle w:val="TableContents"/>
              <w:bidi w:val="0"/>
              <w:spacing w:before="0" w:after="283"/>
              <w:jc w:val="left"/>
              <w:rPr/>
            </w:pPr>
            <w:r>
              <w:rPr/>
              <w:t>MISCELLANEOUS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Effective upon the Closing Date, each Seller, on the Seller’s own behalf and on behalf of the Seller’s affiliates and any other Person that may claim by, through or under any Seller or any Seller’s affiliates (collectively, the “</w:t>
      </w:r>
      <w:r>
        <w:rPr>
          <w:rFonts w:ascii="Times New Roman;Times;Serif" w:hAnsi="Times New Roman;Times;Serif"/>
          <w:b w:val="false"/>
          <w:i w:val="false"/>
          <w:caps w:val="false"/>
          <w:smallCaps w:val="false"/>
          <w:sz w:val="20"/>
          <w:u w:val="single"/>
        </w:rPr>
        <w:t>Releasing Parties</w:t>
      </w:r>
      <w:r>
        <w:rPr>
          <w:rFonts w:ascii="Times New Roman;Times;Serif" w:hAnsi="Times New Roman;Times;Serif"/>
          <w:b w:val="false"/>
          <w:i w:val="false"/>
          <w:caps w:val="false"/>
          <w:smallCaps w:val="false"/>
          <w:sz w:val="20"/>
        </w:rPr>
        <w:t>”), hereby (a) fully, finally and irrevocably agree to remise, release, and forever discharge the Company and its current and former officers, directors, managers, members, operators, as well as its parent, affiliate, related parties, and subsidiary corporations, and their employees, agents, deputies, attorneys, successors, assigns, predecessors, representatives, insurers, heirs, executors and assigns, experts, consultants, and independent adjusters (collectively, “</w:t>
      </w:r>
      <w:r>
        <w:rPr>
          <w:rFonts w:ascii="Times New Roman;Times;Serif" w:hAnsi="Times New Roman;Times;Serif"/>
          <w:b w:val="false"/>
          <w:i w:val="false"/>
          <w:caps w:val="false"/>
          <w:smallCaps w:val="false"/>
          <w:sz w:val="20"/>
          <w:u w:val="single"/>
        </w:rPr>
        <w:t>Releasees</w:t>
      </w:r>
      <w:r>
        <w:rPr>
          <w:rFonts w:ascii="Times New Roman;Times;Serif" w:hAnsi="Times New Roman;Times;Serif"/>
          <w:b w:val="false"/>
          <w:i w:val="false"/>
          <w:caps w:val="false"/>
          <w:smallCaps w:val="false"/>
          <w:sz w:val="20"/>
        </w:rPr>
        <w:t xml:space="preserve">”) from any and all actions, causes of action, suits, claims for sums of money, contracts, controversies, agreements, costs, attorneys’ fees, expenses, damages, settlements, judgments, and demands whatsoever in law or in equity, known or unknown, now existing or hereafter arising, whether contractual, extra- contractual, in tort or otherwise, as of, and including, the Closing Date, and (b) agrees that no Releasing Party will bring or voluntarily participate in or assist in any action that relates to any matter released pursuant to this </w:t>
      </w:r>
      <w:r>
        <w:rPr>
          <w:rFonts w:ascii="Times New Roman;Times;Serif" w:hAnsi="Times New Roman;Times;Serif"/>
          <w:b w:val="false"/>
          <w:i w:val="false"/>
          <w:caps w:val="false"/>
          <w:smallCaps w:val="false"/>
          <w:sz w:val="20"/>
          <w:u w:val="single"/>
        </w:rPr>
        <w:t>Section 7(a)</w:t>
      </w:r>
      <w:r>
        <w:rPr>
          <w:rFonts w:ascii="Times New Roman;Times;Serif" w:hAnsi="Times New Roman;Times;Serif"/>
          <w:b w:val="false"/>
          <w:i w:val="false"/>
          <w:caps w:val="false"/>
          <w:smallCaps w:val="false"/>
          <w:sz w:val="20"/>
        </w:rPr>
        <w:t>; provided, however, that such release and covenant shall not apply to any claims against the Buyer arising under this Agreement or any other Transaction Document.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agrees to (i) execute and deliver, or cause to be executed and delivered, all such other and further agreements, documents and instruments and (ii) take or cause to be taken all such other and further actions as the other party may reasonably request to effectuate the intent and purposes, and carry out the terms, of this Agreement and the Transaction Documents. Furthermore, any dividends relating to the Shares, whether paid in cash, in kind or in any other form, paid on or after the Closing Date, shall be for the account of Buyer. If at any time after the Closing Date, any Seller receives a dividend relating to the Shares, such Seller shall (i) accept and hold such dividend on behalf of and for the sole benefit of Buyer, (ii) have no equitable or beneficial interest in the dividend, and (iii) deliver the dividend (free of any withholding, setoff, or deduction of any kind except as required by law) promptly (and in the case of a cash dividend, within three (3) business days of receiving such Dividend) to Buyer in the same form received, except to the extent prohibited under any applicable law, rule or order. If a dividend includes securities or other non-cash dividend, such Seller shall, to the extent permitted by law, endorse (without recourse, representation or warranty) or use commercially reasonable efforts to assist Buyer to cause to be registered in Buyer’s name, or such name as Buyer may direct, and deliver such securities to Buyer or to such entity as Buyer may direct as soon as practicable.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Except as otherwise provided for in </w:t>
      </w:r>
      <w:r>
        <w:rPr>
          <w:rFonts w:ascii="Times New Roman;Times;Serif" w:hAnsi="Times New Roman;Times;Serif"/>
          <w:b w:val="false"/>
          <w:i w:val="false"/>
          <w:caps w:val="false"/>
          <w:smallCaps w:val="false"/>
          <w:sz w:val="20"/>
          <w:u w:val="single"/>
        </w:rPr>
        <w:t>Sections 6(a-b)</w:t>
      </w:r>
      <w:r>
        <w:rPr>
          <w:rFonts w:ascii="Times New Roman;Times;Serif" w:hAnsi="Times New Roman;Times;Serif"/>
          <w:b w:val="false"/>
          <w:i w:val="false"/>
          <w:caps w:val="false"/>
          <w:smallCaps w:val="false"/>
          <w:sz w:val="20"/>
        </w:rPr>
        <w:t>, All representations, warranties, covenants and agreements contained in or made pursuant to this Agreement shall survive the consummation of the transactions contemplated hereunder indefinitely.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Governing Law; Jurisdiction; Waiver of Jury Trial</w:t>
      </w:r>
      <w:r>
        <w:rPr>
          <w:rFonts w:ascii="Times New Roman;Times;Serif" w:hAnsi="Times New Roman;Times;Serif"/>
          <w:b w:val="false"/>
          <w:i w:val="false"/>
          <w:caps w:val="false"/>
          <w:smallCaps w:val="false"/>
          <w:sz w:val="20"/>
        </w:rPr>
        <w:t>. This Agreement shall be governed by and construed in accordance with the internal laws of the State of Delaware (without regard to any conflicts of law provision that would require the application of the laws of any other jurisdiction). Each of the Sellers and Buyer irrevocably and unconditionally submit to and accept the exclusive jurisdiction of the state and federal courts located in the State of Delaware for any action, suit or proceeding arising out of or based upon this Agreement or any matter relating to it, and waives any objection that it may have to the laying of venue in any such court or that any such court is an inconvenient forum or does not have personal jurisdiction over it. EACH PARTY HEREBY IRREVOCABLY WAIVES ANY RIGHT IT MAY HAVE TO, AND AGREES NOT TO REQUEST, A JURY TRIAL FOR THE ADJUDICATION OF ANY DISPUTE HEREUNDER OR IN CONNECTION WITH OR ARISING OUT OF THIS AGREEMENT OR ANY TRANSACTION CONTEMPLATED HEREBY.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Section Headings</w:t>
      </w:r>
      <w:r>
        <w:rPr>
          <w:rFonts w:ascii="Times New Roman;Times;Serif" w:hAnsi="Times New Roman;Times;Serif"/>
          <w:b w:val="false"/>
          <w:i w:val="false"/>
          <w:caps w:val="false"/>
          <w:smallCaps w:val="false"/>
          <w:sz w:val="20"/>
        </w:rPr>
        <w:t>. The headings of the sections and subsections of this Agreement are inserted for convenience only and shall not be deemed to constitute a part thereof.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Except as otherwise stated herein, each party will be responsible for its own costs and expenses in connection with the transactions contemplated by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and the Transaction Documents shall inure to the benefit of and be binding upon the successors and permitted assigns of each of the parties. In no event will either party assign or transfer any of its rights or obligations hereunder without the express prior written consent of the other party. Nothing in this Agreement, express or implied, is intended or shall be construed to give any Person other than the parties to this Agreement and their respective successors or permitted assigns any legal or equitable right, remedy or claim under or in respect of any agreement or any provision contained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Entire Agreement; Amendment and Waiver</w:t>
      </w:r>
      <w:r>
        <w:rPr>
          <w:rFonts w:ascii="Times New Roman;Times;Serif" w:hAnsi="Times New Roman;Times;Serif"/>
          <w:b w:val="false"/>
          <w:i w:val="false"/>
          <w:caps w:val="false"/>
          <w:smallCaps w:val="false"/>
          <w:sz w:val="20"/>
        </w:rPr>
        <w:t>. This Agreement and the Transaction Documents constitute the entire understanding of the parties hereto and supersede all prior understandings among such parties. If there is any inconsistency or conflict between this Agreement and the Transaction Documents, the provisions of this Agreement shall govern and control. This Agreement may be amended, and the observance of any term of this Agreement may be waived, with (and only with) the written consent of Representative and Buyer.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each of which shall be deemed an original and all of which together shall be considered one and the same agreement. Transmission by facsimile or other form of electronic transmission of an executed counterpart of this Agreement will be deemed to constitute due and sufficient delivery of such counterpart.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Each of the Sellers and Buyer agrees that, without the prior written consent of the other party, it shall not disclose the contents of this Agreement, any Transaction Document, the transactions contemplated hereby and thereby, or any other agreement or communication regarding such transactions (collectively, the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xml:space="preserve">”) to any Person, except that any party may make any such disclosure (a) as required to implement or enforce this Agreement, (b) if required to do so by any law, court, regulation, subpoena or other legal process, (c) to any Governmental Authority or self- regulatory entity having or asserting jurisdiction over it, (d) if its attorneys advise it that it has a legal obligation to do so or that failure to do so may result in it incurring a liability to any other Person or sanctions that may be imposed by any Governmental Authority, (e) to its affiliates, directors, officers, employees, agents, advisors, counsel, accountants and auditors; and (f) such insider filings and announcements as are required by either Buyer or any Seller, or by the Company, under U.S. securities laws, provided that such Seller shall provide Buyer with reasonable opportunity to review and consent to any such disclosures that identify Buyer or any Buyer related party in advance of making such filing. Buyer shall be permitted to make a public announcement regarding the completion of this Agreement, provided that, to the extent permitted by Law, Buyer shall give Representative advance notice of any such announcement. Unless otherwise required by applicable Law or stock exchange requirements (based upon the reasonable advice of counsel), the Sellers shall not make any public announcements in respect of this Agreement or the transactions contemplated hereby or otherwise communicate with any news media without the prior written consent of Buyer. Buyer and Sellers acknowledge and agree that (a) the Confidential Information is valuable and of a special and unique character to Buyer, (b) monetary damages would not be a sufficient remedy should a Seller or Representative breach this </w:t>
      </w:r>
      <w:r>
        <w:rPr>
          <w:rFonts w:ascii="Times New Roman;Times;Serif" w:hAnsi="Times New Roman;Times;Serif"/>
          <w:b w:val="false"/>
          <w:i w:val="false"/>
          <w:caps w:val="false"/>
          <w:smallCaps w:val="false"/>
          <w:sz w:val="20"/>
          <w:u w:val="single"/>
        </w:rPr>
        <w:t>Section 7(j)</w:t>
      </w:r>
      <w:r>
        <w:rPr>
          <w:rFonts w:ascii="Times New Roman;Times;Serif" w:hAnsi="Times New Roman;Times;Serif"/>
          <w:b w:val="false"/>
          <w:i w:val="false"/>
          <w:caps w:val="false"/>
          <w:smallCaps w:val="false"/>
          <w:sz w:val="20"/>
        </w:rPr>
        <w:t>, (c) the interests of Buyer would be irreparably and immediately injured by any such breach of this Agreement, and (d) in addition to any other legal relief to which Buyer may be entitled, Buyer shall be entitled to a grant of specific performance and other injunctive and equitable relief as a remedy for any breach or threatened breach of this Agreement, without the proof of actual damages or the securing or posting of any bond or similar requirement.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Severability of Provisions</w:t>
      </w:r>
      <w:r>
        <w:rPr>
          <w:rFonts w:ascii="Times New Roman;Times;Serif" w:hAnsi="Times New Roman;Times;Serif"/>
          <w:b w:val="false"/>
          <w:i w:val="false"/>
          <w:caps w:val="false"/>
          <w:smallCaps w:val="false"/>
          <w:sz w:val="20"/>
        </w:rPr>
        <w:t>. The invalidity or unenforceability of any particular provision of this Agreement, or any agreement or certificate entered into in connection with the transactions contemplated hereby, shall not affect the other provisions hereof or thereof, which shall continue in full force and effect.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demands and other communications to any party or given under this Agreement will be in writing and delivered personally, by overnight delivery or courier, by registered mail or by telecopier (with confirmation received) to the parties at the address or telecopy number specified for such parties on Schedule II hereto (or at such other address or telecopy number as may be specified by a party in writing given at least five business days prior thereto). All notices, requests, demands and other communications will be deemed delivered when actually received.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Representative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Mr. Chang is hereby appointed, authorized and empowered to act the Representative, for the benefit of Sellers, as the exclusive agent and attorney-in-fact to act on behalf of each Seller, in connection with and to facilitate the consummation of the transactions contemplated hereby, including pursuant to the Transaction Documents, which will include the power and authority: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execute and deliver the Transaction Documents (with such amendments, modifications or changes therein as to which the Representative, in its sole discretion, will have consented) and to agree to such amendments or modifications thereto as the Representative, in its sole discretion, determines to be desirable;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negotiate, execute and deliver such waivers, modifications, amendments, consents and other documents required or permitted to be given in connection with this Agreement and the Transaction Documents and the consummation of the transactions contemplated hereby and thereby as the Representative, in its sole discretion, may deem necessary or desirable;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take any action on behalf of any Seller that may be necessary or desirable, as determined by the Representative in its sole discretion, in connection with negotiating or entering into settlements, resolutions and compromises with respect to the adjustments or payments contemplated by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collect and receive all moneys and other proceeds and property payable to the Representative or Sellers from Buyer as described herein or in any Transaction Document, and, subject to any applicable withholding retention laws, and net of any out-of-pocket expenses incurred by the Representative, the Representative will disburse and pay, except as otherwise provided hereunder, any amount payable to a Seller as the Sellers have agreed or shall agree;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as the Representative, to enforce and protect the rights and interests of Sellers and to enforce and protect the rights and interests of the Representative arising out of or under or in any manner relating to this Agreement and the Transaction Documents or the transactions provided for herein or therein, and to take any and all actions which the Representative believes are necessary or appropriate under the Transaction Documents or this Agreement, including actions in connection with the determination of any payment due hereunder or thereunder for and on behalf of the Sellers, including (A) assert any claim or institute any action, proceeding or investigation; (B) investigate, defend, contest or litigate any claim, action, proceeding or investigation initiated by an Buyer or any other Person, or by any Governmental Authority against the Representative or a Seller, and receive process on behalf of any Seller in any such claim, action, proceeding or investigation and compromise or settle on such terms as the Representative will determine to be appropriate, and give receipts, releases and discharges with respect to, any such claim, action, proceeding or investigation; (C) file any proofs of debt, claims and petitions as the Representative may deem advisable or necessary; (D) settle or compromise any claims asserted under this Agreement or the Transaction Documents; and (E) file and prosecute appeals from any decision, judgment or award rendered in any such action, proceeding or investigation, it being understood that the Representative will not have any obligation to take any such actions, and will not have any liability for any failure to take any such 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refrain from enforcing any right of any Seller or the Representative arising out of or under or in any manner relating to this Agreement, the Transaction Documents or any other agreement, instrument or document in connection with the foregoing; provided, however, that no such failure to act on the part of the Representative, except as otherwise provided in this Agreement, will be deemed a waiver of any such right or interest by the Representative or by such unless such waiver is in writing signed by the waiving party or by the Representative; 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to make, execute, acknowledge, deliver and receive all such other agreements, guarantees, orders, receipts, endorsements, notices, requests, instructions, certificates, stock powers, letters and other writings, and, in general, to do any and all things and to take any and all action that the Representative, in its sole and absolute discretion, may consider necessary or proper or convenient in connection with or to carry out the transactions contemplated by this Agreement, the Transaction Documents, and all other agreements, documents or instruments referred to herein or therein or executed in connection herewith and therewith.</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actions decisions and instructions of the Representative will be conclusive and binding upon each Seller and no Seller nor any other Person acting on behalf of a Seller will have any claim or cause of action against the Representative, and the Representative will have no liability to any Seller or any other Person acting on behalf of a Seller, for any action taken, decision made or instruction given by the Representative in connection with this Agreement or any Transaction Documents, except in the case of the Representative’s own gross negligence or willful misconduct. In the performance of its duties hereunder, the Representative will be entitled to rely upon any document or instrument reasonably believed by it to be genuine, accurate as to content and signed by any Seller, Buyer, or any other Person. The Representative may assume that any Person purporting to give any notice in accordance with the provisions hereof has been duly authorized to do so.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Representative will have such powers and authority as are necessary or appropriate to carry out the functions assigned to it under this Agreement and in any other document delivered in connection herewith. The Representative will be entitled to engage such counsel, experts and other agents and consultants as it may deem necessary in connection with exercising its powers and performing its function hereunder and (in the absence of willful misconduct on the part of the Representative) will be entitled to conclusively rely on the opinions and advice of such Persons. Notwithstanding anything to the contrary contained herein, the Representative in its capacity as such will have no fiduciary duties or responsibilities to any Seller and no duties or responsibilities except for those expressly set forth herein, and no implied covenants, functions, responsibilities, duties, obligations or liabilities on behalf of any Seller will otherwise exist against or with respect to the Representative in its capacity as such.</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no event will the Representative be liable to any Seller hereunder or in connection herewith for any special, indirect, consequential, contingent, speculative, punitive or exemplary damages, or lost profits, diminution in value or any damages based on any type of multiple of earnings, cash flow or similar measure or for any liabilities resulting from the actions of a Seller other than the Representative acting in its capacity as such. The Buyer will have the right to rely upon all actions taken or omitted to be taken by the Representative pursuant to this Agreement and the Transaction Documents, all of which actions or omissions will be legally binding upon the Sellers. The grant of authority provided for herein (i) is coupled with an interest and will be irrevocable by any act of any Seller or by operation of Law and all of the indemnities, immunities, authority and power granted to the Representative hereunder will survive the death, incompetency, bankruptcy or liquidation of any Seller and (ii) will survive the closing or any termination of this Agreement or any Transaction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Representative will not be liable to Sellers for any act done or omitted hereunder as Representative while acting in good faith. Sellers will indemnify the Representative and hold the Representative harmless against any loss, liability or expense incurred without gross negligence or willful misconduct on the part of the Representative or any of its affiliates and any of their respective partners, members, attorneys, accountants, advisors or controlling Persons and arising out of or in connection with the acceptance or administration of the Representative’s duties hereunder, including the reasonable fees and expenses of any legal counsel retained by the Representative.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resignation by the Representative will not be effective until a new Representative will be appointed by the affirmative vote of at least 75% of the Sellers. If the Representative is a natural Person, upon the death or disability of Representative, the Sellers shall elect a replacement Representative by the approval of greater than 50% of the remaining Sellers within twenty Business Days of such death or disability.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(signatures on following page)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Agreement is executed as of the date set forth above.</w:t>
      </w:r>
    </w:p>
    <w:p>
      <w:pPr>
        <w:pStyle w:val="TextBody"/>
        <w:bidi w:val="0"/>
        <w:spacing w:before="0" w:after="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710"/>
        <w:gridCol w:w="2585"/>
      </w:tblGrid>
      <w:tr>
        <w:trPr/>
        <w:tc>
          <w:tcPr>
            <w:tcW w:w="75" w:type="dxa"/>
            <w:tcBorders/>
            <w:vAlign w:val="center"/>
          </w:tcPr>
          <w:p>
            <w:pPr>
              <w:pStyle w:val="TableContents"/>
              <w:bidi w:val="0"/>
              <w:spacing w:before="0" w:after="283"/>
              <w:jc w:val="left"/>
              <w:rPr/>
            </w:pPr>
            <w:r>
              <w:rPr/>
              <w:t> </w:t>
            </w:r>
          </w:p>
        </w:tc>
        <w:tc>
          <w:tcPr>
            <w:tcW w:w="3295" w:type="dxa"/>
            <w:gridSpan w:val="2"/>
            <w:tcBorders/>
            <w:vAlign w:val="center"/>
          </w:tcPr>
          <w:p>
            <w:pPr>
              <w:pStyle w:val="TableContents"/>
              <w:bidi w:val="0"/>
              <w:spacing w:before="0" w:after="283"/>
              <w:jc w:val="left"/>
              <w:rPr>
                <w:b/>
              </w:rPr>
            </w:pPr>
            <w:r>
              <w:rPr>
                <w:b/>
              </w:rPr>
              <w:t>SELLERS:</w:t>
            </w:r>
          </w:p>
        </w:tc>
      </w:tr>
      <w:tr>
        <w:trPr/>
        <w:tc>
          <w:tcPr>
            <w:tcW w:w="75" w:type="dxa"/>
            <w:tcBorders/>
            <w:vAlign w:val="center"/>
          </w:tcPr>
          <w:p>
            <w:pPr>
              <w:pStyle w:val="TableContents"/>
              <w:bidi w:val="0"/>
              <w:spacing w:before="0" w:after="283"/>
              <w:jc w:val="left"/>
              <w:rPr/>
            </w:pPr>
            <w:r>
              <w:rPr/>
              <w:t> </w:t>
            </w:r>
          </w:p>
        </w:tc>
        <w:tc>
          <w:tcPr>
            <w:tcW w:w="32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95" w:type="dxa"/>
            <w:gridSpan w:val="2"/>
            <w:tcBorders/>
            <w:vAlign w:val="center"/>
          </w:tcPr>
          <w:p>
            <w:pPr>
              <w:pStyle w:val="TableContents"/>
              <w:bidi w:val="0"/>
              <w:spacing w:before="0" w:after="283"/>
              <w:jc w:val="left"/>
              <w:rPr>
                <w:b/>
              </w:rPr>
            </w:pPr>
            <w:r>
              <w:rPr>
                <w:b/>
              </w:rPr>
              <w:t>CP ACQUISITIONS, LLC</w:t>
            </w:r>
          </w:p>
        </w:tc>
      </w:tr>
      <w:tr>
        <w:trPr/>
        <w:tc>
          <w:tcPr>
            <w:tcW w:w="75" w:type="dxa"/>
            <w:tcBorders/>
            <w:vAlign w:val="center"/>
          </w:tcPr>
          <w:p>
            <w:pPr>
              <w:pStyle w:val="TableContents"/>
              <w:bidi w:val="0"/>
              <w:spacing w:before="0" w:after="283"/>
              <w:jc w:val="left"/>
              <w:rPr/>
            </w:pPr>
            <w:r>
              <w:rPr/>
              <w:t> </w:t>
            </w:r>
          </w:p>
        </w:tc>
        <w:tc>
          <w:tcPr>
            <w:tcW w:w="32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2585" w:type="dxa"/>
            <w:tcBorders>
              <w:bottom w:val="single" w:sz="12" w:space="0" w:color="000000"/>
            </w:tcBorders>
            <w:tcMar>
              <w:bottom w:w="28" w:type="dxa"/>
            </w:tcMar>
            <w:vAlign w:val="center"/>
          </w:tcPr>
          <w:p>
            <w:pPr>
              <w:pStyle w:val="TableContents"/>
              <w:bidi w:val="0"/>
              <w:spacing w:before="0" w:after="283"/>
              <w:jc w:val="left"/>
              <w:rPr/>
            </w:pPr>
            <w:r>
              <w:rPr/>
              <w:t xml:space="preserve">/s/ Raymond Nobu Chang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585" w:type="dxa"/>
            <w:tcBorders/>
            <w:vAlign w:val="center"/>
          </w:tcPr>
          <w:p>
            <w:pPr>
              <w:pStyle w:val="TableContents"/>
              <w:bidi w:val="0"/>
              <w:spacing w:before="0" w:after="283"/>
              <w:jc w:val="left"/>
              <w:rPr/>
            </w:pPr>
            <w:r>
              <w:rPr/>
              <w:t>Raymond Nobu Chang</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585" w:type="dxa"/>
            <w:tcBorders/>
            <w:vAlign w:val="center"/>
          </w:tcPr>
          <w:p>
            <w:pPr>
              <w:pStyle w:val="TableContents"/>
              <w:bidi w:val="0"/>
              <w:spacing w:before="0" w:after="283"/>
              <w:jc w:val="left"/>
              <w:rPr/>
            </w:pPr>
            <w:r>
              <w:rPr/>
              <w:t>Managing Director</w:t>
            </w:r>
          </w:p>
        </w:tc>
      </w:tr>
      <w:tr>
        <w:trPr/>
        <w:tc>
          <w:tcPr>
            <w:tcW w:w="75" w:type="dxa"/>
            <w:tcBorders/>
            <w:vAlign w:val="center"/>
          </w:tcPr>
          <w:p>
            <w:pPr>
              <w:pStyle w:val="TableContents"/>
              <w:bidi w:val="0"/>
              <w:spacing w:before="0" w:after="283"/>
              <w:jc w:val="left"/>
              <w:rPr/>
            </w:pPr>
            <w:r>
              <w:rPr/>
              <w:t> </w:t>
            </w:r>
          </w:p>
        </w:tc>
        <w:tc>
          <w:tcPr>
            <w:tcW w:w="32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95" w:type="dxa"/>
            <w:gridSpan w:val="2"/>
            <w:tcBorders/>
            <w:vAlign w:val="center"/>
          </w:tcPr>
          <w:p>
            <w:pPr>
              <w:pStyle w:val="TableContents"/>
              <w:bidi w:val="0"/>
              <w:spacing w:before="0" w:after="283"/>
              <w:jc w:val="left"/>
              <w:rPr>
                <w:b/>
              </w:rPr>
            </w:pPr>
            <w:r>
              <w:rPr>
                <w:b/>
              </w:rPr>
              <w:t>GIC ACQUISITION LLC</w:t>
            </w:r>
          </w:p>
        </w:tc>
      </w:tr>
      <w:tr>
        <w:trPr/>
        <w:tc>
          <w:tcPr>
            <w:tcW w:w="75" w:type="dxa"/>
            <w:tcBorders/>
            <w:vAlign w:val="center"/>
          </w:tcPr>
          <w:p>
            <w:pPr>
              <w:pStyle w:val="TableContents"/>
              <w:bidi w:val="0"/>
              <w:spacing w:before="0" w:after="283"/>
              <w:jc w:val="left"/>
              <w:rPr/>
            </w:pPr>
            <w:r>
              <w:rPr/>
              <w:t> </w:t>
            </w:r>
          </w:p>
        </w:tc>
        <w:tc>
          <w:tcPr>
            <w:tcW w:w="32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2585" w:type="dxa"/>
            <w:tcBorders>
              <w:bottom w:val="single" w:sz="12" w:space="0" w:color="000000"/>
            </w:tcBorders>
            <w:tcMar>
              <w:bottom w:w="28" w:type="dxa"/>
            </w:tcMar>
            <w:vAlign w:val="center"/>
          </w:tcPr>
          <w:p>
            <w:pPr>
              <w:pStyle w:val="TableContents"/>
              <w:bidi w:val="0"/>
              <w:spacing w:before="0" w:after="283"/>
              <w:jc w:val="left"/>
              <w:rPr/>
            </w:pPr>
            <w:r>
              <w:rPr/>
              <w:t>/s/ Raymond Nobu Chang</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w:t>
            </w:r>
          </w:p>
        </w:tc>
        <w:tc>
          <w:tcPr>
            <w:tcW w:w="2585" w:type="dxa"/>
            <w:tcBorders/>
            <w:vAlign w:val="center"/>
          </w:tcPr>
          <w:p>
            <w:pPr>
              <w:pStyle w:val="TableContents"/>
              <w:bidi w:val="0"/>
              <w:spacing w:before="0" w:after="283"/>
              <w:jc w:val="left"/>
              <w:rPr/>
            </w:pPr>
            <w:r>
              <w:rPr/>
              <w:t>Raymond Nobu Chang</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585" w:type="dxa"/>
            <w:tcBorders/>
            <w:vAlign w:val="center"/>
          </w:tcPr>
          <w:p>
            <w:pPr>
              <w:pStyle w:val="TableContents"/>
              <w:bidi w:val="0"/>
              <w:spacing w:before="0" w:after="283"/>
              <w:jc w:val="left"/>
              <w:rPr/>
            </w:pPr>
            <w:r>
              <w:rPr/>
              <w:t>Managing Director</w:t>
            </w:r>
          </w:p>
        </w:tc>
      </w:tr>
      <w:tr>
        <w:trPr/>
        <w:tc>
          <w:tcPr>
            <w:tcW w:w="75" w:type="dxa"/>
            <w:tcBorders/>
            <w:vAlign w:val="center"/>
          </w:tcPr>
          <w:p>
            <w:pPr>
              <w:pStyle w:val="TableContents"/>
              <w:bidi w:val="0"/>
              <w:spacing w:before="0" w:after="283"/>
              <w:jc w:val="left"/>
              <w:rPr/>
            </w:pPr>
            <w:r>
              <w:rPr/>
              <w:t> </w:t>
            </w:r>
          </w:p>
        </w:tc>
        <w:tc>
          <w:tcPr>
            <w:tcW w:w="32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95" w:type="dxa"/>
            <w:gridSpan w:val="2"/>
            <w:tcBorders/>
            <w:vAlign w:val="center"/>
          </w:tcPr>
          <w:p>
            <w:pPr>
              <w:pStyle w:val="TableContents"/>
              <w:bidi w:val="0"/>
              <w:spacing w:before="0" w:after="283"/>
              <w:jc w:val="left"/>
              <w:rPr>
                <w:b/>
              </w:rPr>
            </w:pPr>
            <w:r>
              <w:rPr>
                <w:b/>
              </w:rPr>
              <w:t>M CANNAN CAPITAL, LLC</w:t>
            </w:r>
          </w:p>
        </w:tc>
      </w:tr>
      <w:tr>
        <w:trPr/>
        <w:tc>
          <w:tcPr>
            <w:tcW w:w="75" w:type="dxa"/>
            <w:tcBorders/>
            <w:vAlign w:val="center"/>
          </w:tcPr>
          <w:p>
            <w:pPr>
              <w:pStyle w:val="TableContents"/>
              <w:bidi w:val="0"/>
              <w:spacing w:before="0" w:after="283"/>
              <w:jc w:val="left"/>
              <w:rPr/>
            </w:pPr>
            <w:r>
              <w:rPr/>
              <w:t> </w:t>
            </w:r>
          </w:p>
        </w:tc>
        <w:tc>
          <w:tcPr>
            <w:tcW w:w="32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2585" w:type="dxa"/>
            <w:tcBorders>
              <w:bottom w:val="single" w:sz="12" w:space="0" w:color="000000"/>
            </w:tcBorders>
            <w:tcMar>
              <w:bottom w:w="28" w:type="dxa"/>
            </w:tcMar>
            <w:vAlign w:val="center"/>
          </w:tcPr>
          <w:p>
            <w:pPr>
              <w:pStyle w:val="TableContents"/>
              <w:bidi w:val="0"/>
              <w:spacing w:before="0" w:after="283"/>
              <w:jc w:val="left"/>
              <w:rPr/>
            </w:pPr>
            <w:r>
              <w:rPr/>
              <w:t>/s/ Jenny Chan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w:t>
            </w:r>
          </w:p>
        </w:tc>
        <w:tc>
          <w:tcPr>
            <w:tcW w:w="2585" w:type="dxa"/>
            <w:tcBorders/>
            <w:vAlign w:val="center"/>
          </w:tcPr>
          <w:p>
            <w:pPr>
              <w:pStyle w:val="TableContents"/>
              <w:bidi w:val="0"/>
              <w:spacing w:before="0" w:after="283"/>
              <w:jc w:val="left"/>
              <w:rPr/>
            </w:pPr>
            <w:r>
              <w:rPr/>
              <w:t>I-Tseng Jenny Chan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585" w:type="dxa"/>
            <w:tcBorders/>
            <w:vAlign w:val="center"/>
          </w:tcPr>
          <w:p>
            <w:pPr>
              <w:pStyle w:val="TableContents"/>
              <w:bidi w:val="0"/>
              <w:spacing w:before="0" w:after="283"/>
              <w:jc w:val="left"/>
              <w:rPr/>
            </w:pPr>
            <w:r>
              <w:rPr/>
              <w:t>Manager</w:t>
            </w:r>
          </w:p>
        </w:tc>
      </w:tr>
      <w:tr>
        <w:trPr/>
        <w:tc>
          <w:tcPr>
            <w:tcW w:w="75" w:type="dxa"/>
            <w:tcBorders/>
            <w:vAlign w:val="center"/>
          </w:tcPr>
          <w:p>
            <w:pPr>
              <w:pStyle w:val="TableContents"/>
              <w:bidi w:val="0"/>
              <w:spacing w:before="0" w:after="283"/>
              <w:jc w:val="left"/>
              <w:rPr/>
            </w:pPr>
            <w:r>
              <w:rPr/>
              <w:t> </w:t>
            </w:r>
          </w:p>
        </w:tc>
        <w:tc>
          <w:tcPr>
            <w:tcW w:w="32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95" w:type="dxa"/>
            <w:gridSpan w:val="2"/>
            <w:tcBorders/>
            <w:vAlign w:val="center"/>
          </w:tcPr>
          <w:p>
            <w:pPr>
              <w:pStyle w:val="TableContents"/>
              <w:bidi w:val="0"/>
              <w:spacing w:before="0" w:after="283"/>
              <w:jc w:val="left"/>
              <w:rPr>
                <w:b/>
              </w:rPr>
            </w:pPr>
            <w:r>
              <w:rPr>
                <w:b/>
              </w:rPr>
              <w:t>M OLIVET CAPITAL, LLC</w:t>
            </w:r>
          </w:p>
        </w:tc>
      </w:tr>
      <w:tr>
        <w:trPr/>
        <w:tc>
          <w:tcPr>
            <w:tcW w:w="75" w:type="dxa"/>
            <w:tcBorders/>
            <w:vAlign w:val="center"/>
          </w:tcPr>
          <w:p>
            <w:pPr>
              <w:pStyle w:val="TableContents"/>
              <w:bidi w:val="0"/>
              <w:spacing w:before="0" w:after="283"/>
              <w:jc w:val="left"/>
              <w:rPr/>
            </w:pPr>
            <w:r>
              <w:rPr/>
              <w:t> </w:t>
            </w:r>
          </w:p>
        </w:tc>
        <w:tc>
          <w:tcPr>
            <w:tcW w:w="32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2585" w:type="dxa"/>
            <w:tcBorders>
              <w:bottom w:val="single" w:sz="12" w:space="0" w:color="000000"/>
            </w:tcBorders>
            <w:tcMar>
              <w:bottom w:w="28" w:type="dxa"/>
            </w:tcMar>
            <w:vAlign w:val="center"/>
          </w:tcPr>
          <w:p>
            <w:pPr>
              <w:pStyle w:val="TableContents"/>
              <w:bidi w:val="0"/>
              <w:spacing w:before="0" w:after="283"/>
              <w:jc w:val="left"/>
              <w:rPr/>
            </w:pPr>
            <w:r>
              <w:rPr/>
              <w:t>/s/ Jenny Chan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w:t>
            </w:r>
          </w:p>
        </w:tc>
        <w:tc>
          <w:tcPr>
            <w:tcW w:w="2585" w:type="dxa"/>
            <w:tcBorders/>
            <w:vAlign w:val="center"/>
          </w:tcPr>
          <w:p>
            <w:pPr>
              <w:pStyle w:val="TableContents"/>
              <w:bidi w:val="0"/>
              <w:spacing w:before="0" w:after="283"/>
              <w:jc w:val="left"/>
              <w:rPr/>
            </w:pPr>
            <w:r>
              <w:rPr/>
              <w:t>I-Tseng Jenny Chan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585" w:type="dxa"/>
            <w:tcBorders/>
            <w:vAlign w:val="center"/>
          </w:tcPr>
          <w:p>
            <w:pPr>
              <w:pStyle w:val="TableContents"/>
              <w:bidi w:val="0"/>
              <w:spacing w:before="0" w:after="283"/>
              <w:jc w:val="left"/>
              <w:rPr/>
            </w:pPr>
            <w:r>
              <w:rPr/>
              <w:t>Manager</w:t>
            </w:r>
          </w:p>
        </w:tc>
      </w:tr>
      <w:tr>
        <w:trPr/>
        <w:tc>
          <w:tcPr>
            <w:tcW w:w="75" w:type="dxa"/>
            <w:tcBorders/>
            <w:vAlign w:val="center"/>
          </w:tcPr>
          <w:p>
            <w:pPr>
              <w:pStyle w:val="TableContents"/>
              <w:bidi w:val="0"/>
              <w:spacing w:before="0" w:after="283"/>
              <w:jc w:val="left"/>
              <w:rPr/>
            </w:pPr>
            <w:r>
              <w:rPr/>
              <w:t> </w:t>
            </w:r>
          </w:p>
        </w:tc>
        <w:tc>
          <w:tcPr>
            <w:tcW w:w="32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95" w:type="dxa"/>
            <w:gridSpan w:val="2"/>
            <w:tcBorders/>
            <w:vAlign w:val="center"/>
          </w:tcPr>
          <w:p>
            <w:pPr>
              <w:pStyle w:val="TableContents"/>
              <w:bidi w:val="0"/>
              <w:spacing w:before="0" w:after="283"/>
              <w:jc w:val="left"/>
              <w:rPr>
                <w:b/>
              </w:rPr>
            </w:pPr>
            <w:r>
              <w:rPr>
                <w:b/>
              </w:rPr>
              <w:t>M ZION CAPITAL, LLC</w:t>
            </w:r>
          </w:p>
        </w:tc>
      </w:tr>
      <w:tr>
        <w:trPr/>
        <w:tc>
          <w:tcPr>
            <w:tcW w:w="75" w:type="dxa"/>
            <w:tcBorders/>
            <w:vAlign w:val="center"/>
          </w:tcPr>
          <w:p>
            <w:pPr>
              <w:pStyle w:val="TableContents"/>
              <w:bidi w:val="0"/>
              <w:spacing w:before="0" w:after="283"/>
              <w:jc w:val="left"/>
              <w:rPr/>
            </w:pPr>
            <w:r>
              <w:rPr/>
              <w:t> </w:t>
            </w:r>
          </w:p>
        </w:tc>
        <w:tc>
          <w:tcPr>
            <w:tcW w:w="32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2585" w:type="dxa"/>
            <w:tcBorders>
              <w:bottom w:val="single" w:sz="12" w:space="0" w:color="000000"/>
            </w:tcBorders>
            <w:tcMar>
              <w:bottom w:w="28" w:type="dxa"/>
            </w:tcMar>
            <w:vAlign w:val="center"/>
          </w:tcPr>
          <w:p>
            <w:pPr>
              <w:pStyle w:val="TableContents"/>
              <w:bidi w:val="0"/>
              <w:spacing w:before="0" w:after="283"/>
              <w:jc w:val="left"/>
              <w:rPr/>
            </w:pPr>
            <w:r>
              <w:rPr/>
              <w:t>/s/ Jenny Chan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w:t>
            </w:r>
          </w:p>
        </w:tc>
        <w:tc>
          <w:tcPr>
            <w:tcW w:w="2585" w:type="dxa"/>
            <w:tcBorders/>
            <w:vAlign w:val="center"/>
          </w:tcPr>
          <w:p>
            <w:pPr>
              <w:pStyle w:val="TableContents"/>
              <w:bidi w:val="0"/>
              <w:spacing w:before="0" w:after="283"/>
              <w:jc w:val="left"/>
              <w:rPr/>
            </w:pPr>
            <w:r>
              <w:rPr/>
              <w:t>I-Tseng Jenny Chan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585" w:type="dxa"/>
            <w:tcBorders/>
            <w:vAlign w:val="center"/>
          </w:tcPr>
          <w:p>
            <w:pPr>
              <w:pStyle w:val="TableContents"/>
              <w:bidi w:val="0"/>
              <w:spacing w:before="0" w:after="283"/>
              <w:jc w:val="left"/>
              <w:rPr/>
            </w:pPr>
            <w:r>
              <w:rPr/>
              <w:t>Manager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4069" w:type="dxa"/>
        <w:jc w:val="left"/>
        <w:tblInd w:w="0" w:type="dxa"/>
        <w:tblLayout w:type="fixed"/>
        <w:tblCellMar>
          <w:top w:w="0" w:type="dxa"/>
          <w:left w:w="0" w:type="dxa"/>
          <w:bottom w:w="0" w:type="dxa"/>
          <w:right w:w="0" w:type="dxa"/>
        </w:tblCellMar>
      </w:tblPr>
      <w:tblGrid>
        <w:gridCol w:w="75"/>
        <w:gridCol w:w="833"/>
        <w:gridCol w:w="3161"/>
      </w:tblGrid>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b/>
              </w:rPr>
            </w:pPr>
            <w:r>
              <w:rPr>
                <w:b/>
              </w:rPr>
              <w:t>RTC3 2020 IRREVOCABLE TRUST</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pPr>
            <w:r>
              <w:rPr/>
              <w:t>By:</w:t>
            </w:r>
          </w:p>
        </w:tc>
        <w:tc>
          <w:tcPr>
            <w:tcW w:w="3161" w:type="dxa"/>
            <w:tcBorders>
              <w:bottom w:val="single" w:sz="12" w:space="0" w:color="000000"/>
            </w:tcBorders>
            <w:tcMar>
              <w:bottom w:w="28" w:type="dxa"/>
            </w:tcMar>
            <w:vAlign w:val="center"/>
          </w:tcPr>
          <w:p>
            <w:pPr>
              <w:pStyle w:val="TableContents"/>
              <w:bidi w:val="0"/>
              <w:spacing w:before="0" w:after="283"/>
              <w:jc w:val="left"/>
              <w:rPr/>
            </w:pPr>
            <w:r>
              <w:rPr/>
              <w:t>/s/ Johanna Wise Sullivan</w:t>
            </w:r>
          </w:p>
        </w:tc>
      </w:tr>
      <w:tr>
        <w:trPr/>
        <w:tc>
          <w:tcPr>
            <w:tcW w:w="75"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pPr>
            <w:r>
              <w:rPr/>
              <w:t>Name:</w:t>
            </w:r>
          </w:p>
        </w:tc>
        <w:tc>
          <w:tcPr>
            <w:tcW w:w="3161" w:type="dxa"/>
            <w:tcBorders/>
            <w:vAlign w:val="center"/>
          </w:tcPr>
          <w:p>
            <w:pPr>
              <w:pStyle w:val="TableContents"/>
              <w:bidi w:val="0"/>
              <w:spacing w:before="0" w:after="283"/>
              <w:jc w:val="left"/>
              <w:rPr/>
            </w:pPr>
            <w:r>
              <w:rPr/>
              <w:t>Johanna Wise</w:t>
            </w:r>
          </w:p>
        </w:tc>
      </w:tr>
      <w:tr>
        <w:trPr/>
        <w:tc>
          <w:tcPr>
            <w:tcW w:w="75"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pPr>
            <w:r>
              <w:rPr/>
              <w:t>Title:</w:t>
            </w:r>
          </w:p>
        </w:tc>
        <w:tc>
          <w:tcPr>
            <w:tcW w:w="3161" w:type="dxa"/>
            <w:tcBorders/>
            <w:vAlign w:val="center"/>
          </w:tcPr>
          <w:p>
            <w:pPr>
              <w:pStyle w:val="TableContents"/>
              <w:bidi w:val="0"/>
              <w:spacing w:before="0" w:after="283"/>
              <w:jc w:val="left"/>
              <w:rPr/>
            </w:pPr>
            <w:r>
              <w:rPr/>
              <w:t>Sullivan Trustee</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b/>
              </w:rPr>
            </w:pPr>
            <w:r>
              <w:rPr>
                <w:b/>
              </w:rPr>
              <w:t>RAYMOND N. CHANG</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bottom w:val="single" w:sz="12" w:space="0" w:color="000000"/>
            </w:tcBorders>
            <w:tcMar>
              <w:bottom w:w="28" w:type="dxa"/>
            </w:tcMar>
            <w:vAlign w:val="center"/>
          </w:tcPr>
          <w:p>
            <w:pPr>
              <w:pStyle w:val="TableContents"/>
              <w:bidi w:val="0"/>
              <w:spacing w:before="0" w:after="283"/>
              <w:jc w:val="left"/>
              <w:rPr/>
            </w:pPr>
            <w:r>
              <w:rPr/>
              <w:t>/s/ Raymond N. Chang</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b/>
              </w:rPr>
            </w:pPr>
            <w:r>
              <w:rPr>
                <w:b/>
              </w:rPr>
              <w:t>I-TSENG JENNY CHAN</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bottom w:val="single" w:sz="12" w:space="0" w:color="000000"/>
            </w:tcBorders>
            <w:tcMar>
              <w:bottom w:w="28" w:type="dxa"/>
            </w:tcMar>
            <w:vAlign w:val="center"/>
          </w:tcPr>
          <w:p>
            <w:pPr>
              <w:pStyle w:val="TableContents"/>
              <w:bidi w:val="0"/>
              <w:spacing w:before="0" w:after="283"/>
              <w:jc w:val="left"/>
              <w:rPr/>
            </w:pPr>
            <w:r>
              <w:rPr/>
              <w:t>/s/ I-Tseng Jenny Chan</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b/>
              </w:rPr>
            </w:pPr>
            <w:r>
              <w:rPr>
                <w:b/>
              </w:rPr>
              <w:t>CHINWEI WANG</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bottom w:val="single" w:sz="12" w:space="0" w:color="000000"/>
            </w:tcBorders>
            <w:tcMar>
              <w:bottom w:w="28" w:type="dxa"/>
            </w:tcMar>
            <w:vAlign w:val="center"/>
          </w:tcPr>
          <w:p>
            <w:pPr>
              <w:pStyle w:val="TableContents"/>
              <w:bidi w:val="0"/>
              <w:spacing w:before="0" w:after="283"/>
              <w:jc w:val="left"/>
              <w:rPr/>
            </w:pPr>
            <w:r>
              <w:rPr/>
              <w:t>/s/ Chinwei Wang</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b/>
              </w:rPr>
            </w:pPr>
            <w:r>
              <w:rPr>
                <w:b/>
              </w:rPr>
              <w:t>SELLER REPRESENTATIVE:</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b/>
              </w:rPr>
            </w:pPr>
            <w:r>
              <w:rPr>
                <w:b/>
              </w:rPr>
              <w:t>RAYMOND N. CHANG</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bottom w:val="single" w:sz="12" w:space="0" w:color="000000"/>
            </w:tcBorders>
            <w:tcMar>
              <w:bottom w:w="28" w:type="dxa"/>
            </w:tcMar>
            <w:vAlign w:val="center"/>
          </w:tcPr>
          <w:p>
            <w:pPr>
              <w:pStyle w:val="TableContents"/>
              <w:bidi w:val="0"/>
              <w:spacing w:before="0" w:after="283"/>
              <w:jc w:val="left"/>
              <w:rPr/>
            </w:pPr>
            <w:r>
              <w:rPr/>
              <w:t>/s/ Raymond N. Chang</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b/>
              </w:rPr>
            </w:pPr>
            <w:r>
              <w:rPr>
                <w:b/>
              </w:rPr>
              <w:t>BUYER:</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b/>
              </w:rPr>
            </w:pPr>
            <w:r>
              <w:rPr>
                <w:b/>
              </w:rPr>
              <w:t>RSLGH, LLC</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pPr>
            <w:r>
              <w:rPr/>
              <w:t>By:</w:t>
            </w:r>
          </w:p>
        </w:tc>
        <w:tc>
          <w:tcPr>
            <w:tcW w:w="3161" w:type="dxa"/>
            <w:tcBorders>
              <w:bottom w:val="single" w:sz="12" w:space="0" w:color="000000"/>
            </w:tcBorders>
            <w:tcMar>
              <w:bottom w:w="28" w:type="dxa"/>
            </w:tcMar>
            <w:vAlign w:val="center"/>
          </w:tcPr>
          <w:p>
            <w:pPr>
              <w:pStyle w:val="TableContents"/>
              <w:bidi w:val="0"/>
              <w:spacing w:before="0" w:after="283"/>
              <w:jc w:val="left"/>
              <w:rPr/>
            </w:pPr>
            <w:r>
              <w:rPr/>
              <w:t>/s/ Benjamin Kovler</w:t>
            </w:r>
          </w:p>
        </w:tc>
      </w:tr>
      <w:tr>
        <w:trPr/>
        <w:tc>
          <w:tcPr>
            <w:tcW w:w="75"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pPr>
            <w:r>
              <w:rPr/>
              <w:t>Name:</w:t>
            </w:r>
          </w:p>
        </w:tc>
        <w:tc>
          <w:tcPr>
            <w:tcW w:w="3161" w:type="dxa"/>
            <w:tcBorders/>
            <w:vAlign w:val="center"/>
          </w:tcPr>
          <w:p>
            <w:pPr>
              <w:pStyle w:val="TableContents"/>
              <w:bidi w:val="0"/>
              <w:spacing w:before="0" w:after="283"/>
              <w:jc w:val="left"/>
              <w:rPr/>
            </w:pPr>
            <w:r>
              <w:rPr/>
              <w:t>Benjamin Kovler</w:t>
            </w:r>
          </w:p>
        </w:tc>
      </w:tr>
      <w:tr>
        <w:trPr/>
        <w:tc>
          <w:tcPr>
            <w:tcW w:w="75"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pPr>
            <w:r>
              <w:rPr/>
              <w:t>Title:</w:t>
            </w:r>
          </w:p>
        </w:tc>
        <w:tc>
          <w:tcPr>
            <w:tcW w:w="3161" w:type="dxa"/>
            <w:tcBorders/>
            <w:vAlign w:val="center"/>
          </w:tcPr>
          <w:p>
            <w:pPr>
              <w:pStyle w:val="TableContents"/>
              <w:bidi w:val="0"/>
              <w:spacing w:before="0" w:after="283"/>
              <w:jc w:val="left"/>
              <w:rPr/>
            </w:pPr>
            <w:r>
              <w:rPr/>
              <w:t>Authorized Signatory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00637/000121390024094613/ea022010001ex4-1_agrify.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14734</Words>
  <Characters>77717</Characters>
  <CharactersWithSpaces>92606</CharactersWithSpaces>
  <Paragraphs>1861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