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t>As filed with the Securities and Exchange Commission on October 23, 2024</w:t>
      </w:r>
    </w:p>
    <w:p>
      <w:pPr>
        <w:spacing w:after="0" w:line="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333-282387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0700</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Drive, Troy, Michigan 48084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Raymond Nobu Chang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Drive, Troy, Michigan 48084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4" w:lineRule="exact"/>
        <w:rPr>
          <w:sz w:val="24"/>
          <w:szCs w:val="24"/>
          <w:color w:val="auto"/>
        </w:rPr>
      </w:pPr>
    </w:p>
    <w:tbl>
      <w:tblPr>
        <w:tblLayout w:type="fixed"/>
        <w:tblInd w:w="194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52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342"/>
        </w:trPr>
        <w:tc>
          <w:tcPr>
            <w:tcW w:w="23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Frank A. Segall, Esq.</w:t>
            </w:r>
          </w:p>
        </w:tc>
        <w:tc>
          <w:tcPr>
            <w:tcW w:w="52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rPr>
              <w:t>David E. Danovitch, Esq.</w:t>
            </w:r>
          </w:p>
        </w:tc>
      </w:tr>
      <w:tr>
        <w:trPr>
          <w:trHeight w:val="216"/>
        </w:trPr>
        <w:tc>
          <w:tcPr>
            <w:tcW w:w="23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Robert A. Petitt, Esq.</w:t>
            </w:r>
          </w:p>
        </w:tc>
        <w:tc>
          <w:tcPr>
            <w:tcW w:w="52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Joseph E. Segilia, Esq.</w:t>
            </w:r>
          </w:p>
        </w:tc>
      </w:tr>
      <w:tr>
        <w:trPr>
          <w:trHeight w:val="216"/>
        </w:trPr>
        <w:tc>
          <w:tcPr>
            <w:tcW w:w="23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Blank Rome LLP</w:t>
            </w:r>
          </w:p>
        </w:tc>
        <w:tc>
          <w:tcPr>
            <w:tcW w:w="52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Sullivan &amp; Worcester LLP</w:t>
            </w:r>
          </w:p>
        </w:tc>
      </w:tr>
      <w:tr>
        <w:trPr>
          <w:trHeight w:val="216"/>
        </w:trPr>
        <w:tc>
          <w:tcPr>
            <w:tcW w:w="23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125 High Street</w:t>
            </w:r>
          </w:p>
        </w:tc>
        <w:tc>
          <w:tcPr>
            <w:tcW w:w="52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1251 Avenue of the Americas</w:t>
            </w:r>
          </w:p>
        </w:tc>
      </w:tr>
      <w:tr>
        <w:trPr>
          <w:trHeight w:val="216"/>
        </w:trPr>
        <w:tc>
          <w:tcPr>
            <w:tcW w:w="23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Boston, MA 02110</w:t>
            </w:r>
          </w:p>
        </w:tc>
        <w:tc>
          <w:tcPr>
            <w:tcW w:w="52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New York, NY 10020</w:t>
            </w:r>
          </w:p>
        </w:tc>
      </w:tr>
      <w:tr>
        <w:trPr>
          <w:trHeight w:val="238"/>
        </w:trPr>
        <w:tc>
          <w:tcPr>
            <w:tcW w:w="23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(617) 415-1200</w:t>
            </w:r>
          </w:p>
        </w:tc>
        <w:tc>
          <w:tcPr>
            <w:tcW w:w="528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(212) 660-3000</w:t>
            </w:r>
          </w:p>
        </w:tc>
      </w:tr>
    </w:tbl>
    <w:p>
      <w:pPr>
        <w:spacing w:after="0" w:line="194" w:lineRule="exact"/>
        <w:rPr>
          <w:sz w:val="24"/>
          <w:szCs w:val="24"/>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market conditions.</w:t>
      </w:r>
    </w:p>
    <w:p>
      <w:pPr>
        <w:spacing w:after="0" w:line="91"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99"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1933, as amended, or until the registration statement shall become effective on such date as the Securities and Exchange Commission, acting pursuant to Section 8(a) of the Securities Act,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983" w:gutter="0" w:footer="0" w:header="0"/>
        </w:sectPr>
      </w:pPr>
    </w:p>
    <w:bookmarkStart w:id="1" w:name="page2"/>
    <w:bookmarkEnd w:id="1"/>
    <w:p>
      <w:pPr>
        <w:ind w:right="20"/>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October 23,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156845</wp:posOffset>
            </wp:positionV>
            <wp:extent cx="1174115" cy="985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4115" cy="98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313,333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This prospectus relates to the proposed resale by the selling stockholder named in this prospectus or its permitted assigns of up to and aggregate of 313,333 shares of our common stock with a par value of $0.001 per share (the “Common Stock”), which may be issued pursuant to a purchase agreement dated as of August 28, 2024 (the “ELOC Purchase Agreement”), by and between Agrify Corporation ( “Agrify” or the “Company”) and Ionic Ventures, LLC (“Ionic”), which provides that, upon the terms and subject to the conditions and limitations set forth therein, we have the right to direct Ionic to purchase up to an aggregate of $15,000,000 of shares of our Common Stock over the 36-month term of the ELOC Purchase Agreement, as more fully described in the section titled “The Ionic Transactions” below.</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Shares issuable under the ELOC Purchase Agreement, if and when they are sold pursuant to the terms of the ELOC Purchase Agreement, will be sold at a per share price equal to 93% (subject to decrease under certain circumstances) of the lowest VWAPs over a specified measurement period. See the sections of this prospectus entitled “Prospectus Summary-The Offering” and “The Ionic Transactions” for more detail regarding the sale of shares under the ELOC Purchase Agreement. The recent market price used throughout this prospectus may not be indicative of the final public offering price.</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Ionic is an “underwriter” within the meaning of Section 2(a)(11) of the Securities Act of 1933, as amended (the “Securities Act”). The shares of Common Stock being offered hereby may be sold by the selling stockholder to or through underwriters or dealers, directly to purchasers or through agents designated from time to time. For additional information regarding the methods of sale you should refer to the section of this prospectus entitled “Plan of Distribution.”</w:t>
      </w:r>
    </w:p>
    <w:p>
      <w:pPr>
        <w:spacing w:after="0" w:line="18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trading on The Nasdaq Capital Market (“Nasdaq”) under the symbol “AGFY.” The last reported sales price of our Common Stock on Nasdaq on October 18, 2024 was $4.0056 per share.</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those terms are defined under the federal securities laws and, as such, have elected to comply with certain reduced public company reporting requirements. You should read this prospectus, together with additional information described under the heading “Where You Can Find More Information,” carefully before you invest in our Common Stock.</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used in this prospectus, references to “the Company,” “Agrify,” “we,” “us” or “our” refer to Agrify Corporation, a Nevada corporation, and its subsidiaries.</w:t>
      </w:r>
    </w:p>
    <w:p>
      <w:pPr>
        <w:spacing w:after="0" w:line="158"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beginning on page 5 of this prospectus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1"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780" w:type="dxa"/>
            <w:vAlign w:val="bottom"/>
          </w:tcPr>
          <w:p>
            <w:pPr>
              <w:jc w:val="right"/>
              <w:ind w:right="3790"/>
              <w:spacing w:after="0"/>
              <w:rPr>
                <w:sz w:val="20"/>
                <w:szCs w:val="20"/>
                <w:color w:val="auto"/>
              </w:rPr>
            </w:pPr>
            <w:r>
              <w:rPr>
                <w:rFonts w:ascii="Times New Roman" w:cs="Times New Roman" w:eastAsia="Times New Roman" w:hAnsi="Times New Roman"/>
                <w:sz w:val="18"/>
                <w:szCs w:val="18"/>
                <w:color w:val="auto"/>
              </w:rPr>
              <w:t>, 2024</w:t>
            </w:r>
          </w:p>
        </w:tc>
      </w:tr>
      <w:tr>
        <w:trPr>
          <w:trHeight w:val="682"/>
        </w:trPr>
        <w:tc>
          <w:tcPr>
            <w:tcW w:w="6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60" w:type="dxa"/>
            <w:vAlign w:val="bottom"/>
            <w:tcBorders>
              <w:bottom w:val="single" w:sz="8" w:color="CCEEFF"/>
            </w:tcBorders>
            <w:gridSpan w:val="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ind w:left="200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540" w:type="dxa"/>
            <w:vAlign w:val="bottom"/>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540" w:type="dxa"/>
            <w:vAlign w:val="bottom"/>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534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360" w:type="dxa"/>
            <w:vAlign w:val="bottom"/>
            <w:tcBorders>
              <w:top w:val="single" w:sz="8" w:color="CCEEFF"/>
            </w:tcBorders>
            <w:gridSpan w:val="3"/>
          </w:tcPr>
          <w:p>
            <w:pPr>
              <w:spacing w:after="0"/>
              <w:rPr>
                <w:sz w:val="15"/>
                <w:szCs w:val="15"/>
                <w:color w:val="auto"/>
              </w:rPr>
            </w:pPr>
          </w:p>
        </w:tc>
        <w:tc>
          <w:tcPr>
            <w:tcW w:w="2540" w:type="dxa"/>
            <w:vAlign w:val="bottom"/>
            <w:tcBorders>
              <w:top w:val="single" w:sz="8" w:color="CCEEFF"/>
            </w:tcBorders>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THE IONIC TRANSACTIONS</w:t>
            </w:r>
          </w:p>
        </w:tc>
        <w:tc>
          <w:tcPr>
            <w:tcW w:w="6380" w:type="dxa"/>
            <w:vAlign w:val="bottom"/>
            <w:tcBorders>
              <w:bottom w:val="single" w:sz="8" w:color="CCEEFF"/>
            </w:tcBorders>
            <w:gridSpan w:val="7"/>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4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96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w:t>
            </w:r>
          </w:p>
        </w:tc>
        <w:tc>
          <w:tcPr>
            <w:tcW w:w="254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INFORMATION FOR SECURITIES AND DIVIDEND POLICY</w:t>
            </w:r>
          </w:p>
        </w:tc>
        <w:tc>
          <w:tcPr>
            <w:tcW w:w="254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6"/>
        </w:trPr>
        <w:tc>
          <w:tcPr>
            <w:tcW w:w="556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140" w:type="dxa"/>
            <w:vAlign w:val="bottom"/>
            <w:tcBorders>
              <w:top w:val="single" w:sz="8" w:color="CCEEFF"/>
            </w:tcBorders>
            <w:gridSpan w:val="2"/>
          </w:tcPr>
          <w:p>
            <w:pPr>
              <w:spacing w:after="0"/>
              <w:rPr>
                <w:sz w:val="15"/>
                <w:szCs w:val="15"/>
                <w:color w:val="auto"/>
              </w:rPr>
            </w:pPr>
          </w:p>
        </w:tc>
        <w:tc>
          <w:tcPr>
            <w:tcW w:w="2540" w:type="dxa"/>
            <w:vAlign w:val="bottom"/>
            <w:tcBorders>
              <w:top w:val="single" w:sz="8" w:color="CCEEFF"/>
            </w:tcBorders>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640" w:type="dxa"/>
            <w:vAlign w:val="bottom"/>
            <w:tcBorders>
              <w:bottom w:val="single" w:sz="8" w:color="CCEEFF"/>
            </w:tcBorders>
            <w:gridSpan w:val="11"/>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920" w:type="dxa"/>
            <w:vAlign w:val="bottom"/>
            <w:tcBorders>
              <w:bottom w:val="single" w:sz="8" w:color="CCEEFF"/>
            </w:tcBorders>
            <w:gridSpan w:val="1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5"/>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254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54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registration statement containing this prospectus, including the exhibits to the registration statement, provides additional information about us and the Common Stock offered under this prospectus. The registration statement, including the exhibits, can be read on our website and the website of the Securities and Exchange Commission. See “Where You Can Find More Information.”</w:t>
      </w:r>
    </w:p>
    <w:p>
      <w:pPr>
        <w:spacing w:after="0" w:line="17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Information contained in, and that can be accessed through our web site, https://ir.agrify.com, shall not be deemed to be part of this prospectus or incorporated herein by reference and should not be relied upon by any prospective investors for the purposes of determining whether to purchase the Common Stock offered hereunder.</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“we,” “us,” “our,” “the Company,” “Agrify” and “our business” refer to Agrify Corporation and “this offering” refers to the offering contemplated in this prospectus.</w:t>
      </w:r>
    </w:p>
    <w:p>
      <w:pPr>
        <w:spacing w:after="0" w:line="16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nor the Selling Stockholders have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offered hereby, but only under the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 We are not, and the Selling Stockholders are not, making an offer of these securities in any jurisdiction where such offer is not permitted.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This prospectus describes the general manner in which the selling stockholders identified in this prospectus may offer, from time to time, up to an aggregate of 313,333 shares of our Common Stock, which may be issued pursuant to the ELOC Purchase Agreement. We are not selling any securities under this prospectus and will not receive any proceeds from the sale of shares of securities by the Selling Stockholder.</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This prospectus provides you with general information regarding the shares of Common Stock being offered by the Selling Stockholder. You should read this prospectus as well as the additional information described under the headings “Information Incorporated by Reference” and “Where You Can Find More Information” before making an investment decision.</w:t>
      </w:r>
    </w:p>
    <w:p>
      <w:pPr>
        <w:spacing w:after="0" w:line="17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No person has been authorized to give any information or to make any representations other than those contained in this prospectus in connection with the offering made hereby, and if given or made, such information or representations must not be relied upon as having been authorized by us, the selling stockholder or by any other person. Neither the delivery of this prospectus nor any sale made hereunder shall, under any circumstances, create any implication that information herein is correct as of any time subsequent to the date hereof. This prospectus does not constitute an offer to sell or a solicitation of an offer to buy any security other than the shares of Common Stock covered by this prospectus, nor does it constitute an offer to or solicitation of any person in any jurisdiction in which such offer or solicitation may not lawfully be made.</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Our management estimates have not been verified by any independent source, and we have not independently verified any third-party information. 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w:t>
      </w:r>
    </w:p>
    <w:p>
      <w:pPr>
        <w:spacing w:after="0" w:line="19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This document may only be used where it is legal to sell these shares of Common Stock. The information contained in this prospectus (and in any supplement or amendment to this prospectus) is accurate only as of the date on the front of the document, and any information we have incorporated by reference is accurate only as of the date of the document incorporated by reference, regardless of the time of delivery of this prospectus or any sale of our shares of Common Stock. Our business, financial condition, results of operations and prospects may have changed since those dates.</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have proprietary rights to trademarks used in this prospectus, including Agrify®. Solely for our convenience, trademarks and trade names referred to in this prospectus may appear without the “®” or “™” symbols, but such references are not intended to indicate, in any way, that we will not assert, to the fullest extent possible under applicable law, our rights or the rights to these trademarks and trade names. We do not intend our use or display of other companies’ trade names, trademarks or service marks to imply a relationship with, or endorsement or sponsorship of us by, any other companies. Each trademark, trade name, or service mark of any other company appearing in this prospectus is the property of its respective holder.</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urge you to read carefully this prospectus (as supplemented and amended), together with the information incorporated herein by reference as described in the section titled “Incorporation of Certain Information by Reference” before deciding whether to invest in any of the shares of Common Stock being offered. As used in this prospectus, references to “the Company,” “Agrify,” “we,” “us” or “our” refer to Agrify Corporation and its subsidiaries.</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References to “Selling Stockholder” refers to the security holder identified herein in the section titled “Selling Stockholder” of this prospectus, who may sell shares of Common Stock from time to time as described in this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516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8516620"/>
                    </a:xfrm>
                    <a:prstGeom prst="rect">
                      <a:avLst/>
                    </a:prstGeom>
                    <a:noFill/>
                  </pic:spPr>
                </pic:pic>
              </a:graphicData>
            </a:graphic>
          </wp:anchor>
        </w:drawing>
        <w:t>PROSPECTUS SUMMARY</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This summary may not contain all the information that you should consider before determining whether to invest in our securities. You should read the entire prospectus carefully, including the information included in the “Risk Factors” section, as well as our consolidated financial statements, notes to the consolidated financial statements and the other information included in this prospectus, before making an investment decision.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a leading provider of innovative cultivation and extraction solutions for the cannabis industry, bringing data, science, and technology to the forefront of the market. Our proprietary micro-environment-controlled Agrify Vertical Farming Units (or “VFUs”) enable cultivators to produce high quality products with what we believe to be unmatched consistency, yield, and return investment at scale. Our comprehensive extraction product line, which includes hydrocarbon, alcohol, solventless, post-processing, and lab equipment, empowers producers to maximize the quantity and quality of extract required for premium concentrates.</w:t>
      </w:r>
    </w:p>
    <w:p>
      <w:pPr>
        <w:spacing w:after="0" w:line="18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Since our inception, we have gone from primarily developing, selling, and supporting our VFUs along with our fully integrated Agrify Insights™ cultivation software (“Agrify Insights™”) to being able to offer customers a far more complete set of solutions, products, and services across both cultivation and extraction. This has been a function of both our natural evolution and through a set of strategic mergers and acquisitions. Since 2020, we have integrated six new brands into Agrify’s broader organization. Our first acquisition, TriGrow Systems, Inc., was completed in January 2020. TriGrow Systems, Inc. was formerly the exclusive distributor of Agrify’s VFUs. We added Harbor Mountain Holdings, LLC to our portfolio on July 21, 2020, to help scale up our manufacturing strategy with engineering, prototyping, manufacturing, testing, warehousing, and installation services. Since October 2021, we have been strategically focused on establishing ourselves as a global leader in the cannabis and hemp extraction equipment industry, complementing our cutting-edge cannabis and hemp cultivation solutions. Over five months, we acquired four of the top brand names in the industry. On October 1, 2021, we acquired Precision Extraction Solutions, a market leader in developing and producing high-quality hydrocarbon and alcohol extraction solutions, and Cascade Sciences, LLC, a market leader in developing and producing high-quality vacuum purge ovens and decarboxylation ovens. On December 31, 2021, we acquired PurePressure, LLC, a market leader in developing and producing high-quality solventless extraction solutions and advanced ice-water hash processing equipment in the cannabis and hemp industry. Lastly, on February 1, 2022, we completed our acquisition of LS Holdings Corp., a market leader in developing and producing high-quality distillation and solvent separation solutions for the cannabis and hemp industry.</w:t>
      </w:r>
    </w:p>
    <w:p>
      <w:pPr>
        <w:spacing w:after="0" w:line="19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June 30, 2024, we amended the terms of a pre-funded warrant (the “CP Warrant”) held by CP Acquisitions, LLC (the “New Lender”), an entity affiliated with and controlled by Raymond Chang, the Chairman and Chief Executive Officer of the Company, and a pre-funded warrant (the “GIC Warrant”) held by GIC Acquisition LLC (“GIC”), an entity that is affiliated with and controlled by Mr. Chang and by I-Tseng Jenny Chan, a member of the Company’s Board of Directors. Among other things, the June 30, 2024 amendments removed certain adjustment provisions (the “Adjustment Provisions”) from the CP Warrant and the GIC Warrant. Pursuant to the Adjustment Provisions, each time the Company consummated any bona fide equity financing with the primary purpose of raising capital, then the number of shares of Common Stock underlying the CP Warrant or the GIC Warrant, as applicable, would be increased to an amount equal to (i) the amount of the convertible note that was originally converted into CP Warrant or the GIC Warrant, as applicable, divided by (ii) the purchase or conversion price in the equity financing transaction, subject to proportional adjustment in the event the CP Warrant or GIC Warrant, as applicable, has been partially exercised.</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August 12, 2024, the shareholders of the Company approved a proposal to amend the CP Warrant and the GIC Warrant to add the Adjustment Provisions at a future date. Pursuant to that approval, on August 28, 2024, the Company entered into an amendment to the CP Warrant (the “CP Warrant Amendment”) and an amendment to the GIC Warrant (the “GIC Warrant Amendment). The CP Warrant Amendment and the GIC Warrant Amendment inserted the Adjustment Provisions into the CP Warrant and the GIC Warrant, respectively. As a result of the CP Warrant Amendment and the GIC Warrant Amendment and the subsequent sale of 189,645 shares of Common Stock to Ionic pursuant to the ELOC Purchase Agreement at an effective purchase price of approximately $0.474 per share of Common Stock, the number of shares of common stock underlying the CP Warrant was adjusted to 5,069,161 and the number of shares of Common Stock underlying the GIC Warrant was adjusted to 1,085,123.</w:t>
      </w:r>
    </w:p>
    <w:p>
      <w:pPr>
        <w:spacing w:after="0" w:line="189" w:lineRule="exact"/>
        <w:rPr>
          <w:sz w:val="20"/>
          <w:szCs w:val="20"/>
          <w:color w:val="auto"/>
        </w:rPr>
      </w:pPr>
    </w:p>
    <w:p>
      <w:pPr>
        <w:jc w:val="both"/>
        <w:ind w:right="160" w:firstLine="648"/>
        <w:spacing w:after="0" w:line="289" w:lineRule="auto"/>
        <w:rPr>
          <w:sz w:val="20"/>
          <w:szCs w:val="20"/>
          <w:color w:val="auto"/>
        </w:rPr>
      </w:pPr>
      <w:r>
        <w:rPr>
          <w:rFonts w:ascii="Times New Roman" w:cs="Times New Roman" w:eastAsia="Times New Roman" w:hAnsi="Times New Roman"/>
          <w:sz w:val="17"/>
          <w:szCs w:val="17"/>
          <w:color w:val="auto"/>
        </w:rPr>
        <w:t>On September 27, 2024, the Company further amended the CP Warrant (the “CP September Warrant Amendment”) and the GIC Warrant (the “GIC September Warrant Amendment”) to (i) remove the Adjustment Provisions from each of the CP Warrant and the GIC Warrant and (ii) include a provision delaying any additional exercise of either the CP Warrant or the GIC Warrant at any time between September 27, 2024 and October 9, 2024.</w:t>
      </w:r>
    </w:p>
    <w:p>
      <w:pPr>
        <w:spacing w:after="0" w:line="15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October 3, 2024, we filed an amendment to our Articles of Incorporation with the Secretary of State of the State of Nevada to effect a 1-for-15 reverse stock split of our Common Stock, in which each fifteen shares of Common Stock issued and outstanding was combined and converted into one share of Common Stock to regain compliance with the Minimum Bid Requirement (the “Reverse Stock Split”). The Reverse Stock Split was effective as of 12:01 a.m. Eastern Time on October 8, 2024. The reverse stock split did not affect the number of shares or par value of common stock authorized for issuance under our Articles of Incorporation. All share and per share amounts in this prospectus have been adjusted retroactively to reflect the Reverse Stock Split as if it had occurred at the beginning of the earliest period presented. Our common stock began trading on The Nasdaq Capital Market on a split-adjusted basis when the market opened on October 8, 2024.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145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7145020"/>
                    </a:xfrm>
                    <a:prstGeom prst="rect">
                      <a:avLst/>
                    </a:prstGeom>
                    <a:noFill/>
                  </pic:spPr>
                </pic:pic>
              </a:graphicData>
            </a:graphic>
          </wp:anchor>
        </w:drawing>
        <w:t>THE OFFERING</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ELOC Purchase Agreement, upon the terms and subject to the conditions and limitations set forth therein, we have the right, in our sole discretion, to direct Ionic to purchase up to an aggregate of $15,000,000 of shares of our Common Stock over the 36-month term of the ELOC Purchase Agreement. We currently have reserved 313,333 shares of our authorized and unissued shares of Common Stock solely for the purpose of effecting purchases of the shares under the ELOC Purchase Agreement. Under the ELOC Purchase Agreement, we have the right to present Ionic with a purchase notice (each, a “Purchase Notice”) directing Ionic to purchase any amount between $250,000 and $750,000 of our Common Stock per trading day, at a per share price equal to 93% (subject to decrease under certain circumstances) of the lowest VWAP over a specified measurement period beginning after the delivery of the Purchase Notice.</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Pursuant to, and immediately subsequent to the execution of the ELOC Purchase Agreement the Company delivered an exemption purchase notice to Ionic, with the Common Stock so purchased to be delivered following the Commencement Date (as defined below), for the purchase by Ionic of 189,645 shares of Common Stock (the “Exemption Purchase Shares”).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Ionic will not purchase or acquire, any shares of Common Stock under ELOC Purchase Agreement which, when aggregated with all other shares of Common Stock then beneficially owned by Ionic and its affiliates (as calculated pursuant to Section 13(d) of the Securities and Exchange Act of 1934, as amended (the “Exchange Act”), and Rule 13d-3 promulgated thereunder) would result in the beneficial ownership by Ionic and its affiliates of more than 4.99% of the then issued and outstanding shares of Common Stock (the “Beneficial Ownership Limitation”).</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Ionic will not be required to buy any shares of Common Stock pursuant to a Purchase Notice on any trading day on which the closing trade price of our Common Stock is at or below $3.75. We will control the timing and amount of sales of our Common Stock to Ionic. Ionic has no right to require any sales by us, and is obligated to make purchases from us as directed solely by us in accordance with the ELOC Purchase Agreement.</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ELOC Purchase Agreement may be terminated by us at any time after commencement, at our discretion; however, if we terminate the ELOC Purchase Agreement having sold less than $5,000,000 worth of shares of Common Stock to Ionic (other than as a result of our inability to sell shares of Common Stock to Ionic as a result of the Beneficial Ownership Limitation or our failure to have sufficient shares authorized), we must pay Ionic a termination fee of $300,000, which is payable, at our option, in either cash or in shares of Common Stock, at a price equal to the closing price on the day immediately preceding the date of receipt of the termination notice. Further, the ELOC Purchase Agreement will automatically terminate on the date that we sell, and Ionic purchases, the full $15,000,000 in shares of Common Stock under the agreement or, if the full amount has not been purchased, on the expiration of the 36-month term of the ELOC Purchase Agreement.</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Concurrently with entering into the ELOC Purchase Agreement, we also entered a registration rights agreement, dated August 28, 2024, by and between Agrify and Ionic (the “Registration Rights Agreement”), in which we agreed to file one or more registration statements, as necessary, to register under the Securities Act the resale of the shares of our Common Stock issuable to Ionic under the ELOC Purchase Agreement and the shares of Common Stock that may be issued to Ionic if we fail to comply with our obligations in the Registration Rights Agreement.</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Under the Registration Rights Agreement, we agreed to file one or more registration statements, as necessary, to register under the Securities Act the resale of all of the shares of Common Stock that may, from time to time, be issued or become issuable to Ionic under the ELOC Purchase Agreement and the Registration Rights Agreement. The Registration Rights Agreement requires that we file, within 30 days after signing, a resale registration statement and use commercially reasonable efforts to have such resale registration statement declared effective by the SEC (the “”Commencement Date”) on or before the earlier of (i) 60 days after signing (or 90 days if such registration statement is subject to full review by the SEC) and (ii) the 2nd business day after we are notified it will not be subject to further SEC review. If we fail to have a registration statement filed by the specified deadline or declared effective by the specified deadline, then we will be required to issue to Ionic 16,667 shares of Common Stock within 2 trading days after the failure.</w:t>
      </w:r>
    </w:p>
    <w:p>
      <w:pPr>
        <w:spacing w:after="0" w:line="19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engaged Alexander Capital, L.P. (“Alexander”) as exclusive financial advisor to provide financial services in connection with the ELOC Purchase Agreement and agreed to pay Alexander a cash financial advisory fee equal to 5% of the total gross proceeds we receive pursuant to the ELOC Purchase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022"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550"/>
        </w:trPr>
        <w:tc>
          <w:tcPr>
            <w:tcW w:w="40" w:type="dxa"/>
            <w:vAlign w:val="bottom"/>
            <w:tcBorders>
              <w:right w:val="single" w:sz="8" w:color="auto"/>
            </w:tcBorders>
          </w:tcPr>
          <w:p>
            <w:pPr>
              <w:spacing w:after="0"/>
              <w:rPr>
                <w:sz w:val="24"/>
                <w:szCs w:val="24"/>
                <w:color w:val="auto"/>
              </w:rPr>
            </w:pPr>
          </w:p>
        </w:tc>
        <w:tc>
          <w:tcPr>
            <w:tcW w:w="3480" w:type="dxa"/>
            <w:vAlign w:val="bottom"/>
            <w:tcBorders>
              <w:top w:val="single" w:sz="8" w:color="auto"/>
            </w:tcBorders>
          </w:tcPr>
          <w:p>
            <w:pPr>
              <w:spacing w:after="0"/>
              <w:rPr>
                <w:sz w:val="24"/>
                <w:szCs w:val="24"/>
                <w:color w:val="auto"/>
              </w:rPr>
            </w:pPr>
          </w:p>
        </w:tc>
        <w:tc>
          <w:tcPr>
            <w:tcW w:w="7720" w:type="dxa"/>
            <w:vAlign w:val="bottom"/>
            <w:tcBorders>
              <w:top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OFFERING SUMMARY</w:t>
            </w:r>
          </w:p>
        </w:tc>
      </w:tr>
      <w:tr>
        <w:trPr>
          <w:trHeight w:val="410"/>
        </w:trPr>
        <w:tc>
          <w:tcPr>
            <w:tcW w:w="40" w:type="dxa"/>
            <w:vAlign w:val="bottom"/>
            <w:tcBorders>
              <w:right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 being offered by the selling</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Up to 313,333 shares of Common Stock, which may be issued pursuant to the ELOC Purchase</w:t>
            </w:r>
          </w:p>
        </w:tc>
      </w:tr>
      <w:tr>
        <w:trPr>
          <w:trHeight w:val="238"/>
        </w:trPr>
        <w:tc>
          <w:tcPr>
            <w:tcW w:w="40" w:type="dxa"/>
            <w:vAlign w:val="bottom"/>
            <w:tcBorders>
              <w:right w:val="single" w:sz="8" w:color="auto"/>
            </w:tcBorders>
          </w:tcPr>
          <w:p>
            <w:pPr>
              <w:spacing w:after="0"/>
              <w:rPr>
                <w:sz w:val="20"/>
                <w:szCs w:val="20"/>
                <w:color w:val="auto"/>
              </w:rPr>
            </w:pPr>
          </w:p>
        </w:tc>
        <w:tc>
          <w:tcPr>
            <w:tcW w:w="3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Agreement and the Registration Rights Agreement.</w:t>
            </w:r>
          </w:p>
        </w:tc>
      </w:tr>
      <w:tr>
        <w:trPr>
          <w:trHeight w:val="432"/>
        </w:trPr>
        <w:tc>
          <w:tcPr>
            <w:tcW w:w="40" w:type="dxa"/>
            <w:vAlign w:val="bottom"/>
            <w:tcBorders>
              <w:right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Market symbol</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“AGFY”</w:t>
            </w:r>
          </w:p>
        </w:tc>
      </w:tr>
      <w:tr>
        <w:trPr>
          <w:trHeight w:val="410"/>
        </w:trPr>
        <w:tc>
          <w:tcPr>
            <w:tcW w:w="40" w:type="dxa"/>
            <w:vAlign w:val="bottom"/>
            <w:tcBorders>
              <w:right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 outstanding after this</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1,645,123 shares, assuming that all shares of Common Stock offered pursuant to this prospectus are</w:t>
            </w:r>
          </w:p>
        </w:tc>
      </w:tr>
      <w:tr>
        <w:trPr>
          <w:trHeight w:val="238"/>
        </w:trPr>
        <w:tc>
          <w:tcPr>
            <w:tcW w:w="40" w:type="dxa"/>
            <w:vAlign w:val="bottom"/>
            <w:tcBorders>
              <w:right w:val="single" w:sz="8" w:color="auto"/>
            </w:tcBorders>
          </w:tcPr>
          <w:p>
            <w:pPr>
              <w:spacing w:after="0"/>
              <w:rPr>
                <w:sz w:val="20"/>
                <w:szCs w:val="20"/>
                <w:color w:val="auto"/>
              </w:rPr>
            </w:pPr>
          </w:p>
        </w:tc>
        <w:tc>
          <w:tcPr>
            <w:tcW w:w="3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sold.</w:t>
            </w:r>
          </w:p>
        </w:tc>
      </w:tr>
      <w:tr>
        <w:trPr>
          <w:trHeight w:val="414"/>
        </w:trPr>
        <w:tc>
          <w:tcPr>
            <w:tcW w:w="40" w:type="dxa"/>
            <w:vAlign w:val="bottom"/>
            <w:tcBorders>
              <w:right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Price per share of common stock</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We may from time to time on any business day, by written notice delivered by us to Ionic, direct Ionic</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 purchase between $250,000 and $750,000 of shares of Common Stock on such business day, at a</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purchase price per share that will be equal to 93% (or 80% if the Common Stock is not then trading on</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Nasdaq) of the lowest daily VWAP over a specified measurement period beginning after the delivery</w:t>
            </w:r>
          </w:p>
        </w:tc>
      </w:tr>
      <w:tr>
        <w:trPr>
          <w:trHeight w:val="234"/>
        </w:trPr>
        <w:tc>
          <w:tcPr>
            <w:tcW w:w="40" w:type="dxa"/>
            <w:vAlign w:val="bottom"/>
            <w:tcBorders>
              <w:right w:val="single" w:sz="8" w:color="auto"/>
            </w:tcBorders>
          </w:tcPr>
          <w:p>
            <w:pPr>
              <w:spacing w:after="0"/>
              <w:rPr>
                <w:sz w:val="20"/>
                <w:szCs w:val="20"/>
                <w:color w:val="auto"/>
              </w:rPr>
            </w:pPr>
          </w:p>
        </w:tc>
        <w:tc>
          <w:tcPr>
            <w:tcW w:w="3480" w:type="dxa"/>
            <w:vAlign w:val="bottom"/>
          </w:tcPr>
          <w:p>
            <w:pPr>
              <w:spacing w:after="0"/>
              <w:rPr>
                <w:sz w:val="20"/>
                <w:szCs w:val="20"/>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of the Purchase Notice.</w:t>
            </w:r>
          </w:p>
        </w:tc>
      </w:tr>
      <w:tr>
        <w:trPr>
          <w:trHeight w:val="414"/>
        </w:trPr>
        <w:tc>
          <w:tcPr>
            <w:tcW w:w="40" w:type="dxa"/>
            <w:vAlign w:val="bottom"/>
            <w:tcBorders>
              <w:right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Investing in our shares of Common Stock involves a high degree of risk. You should review carefully</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risks and uncertainties described under the heading “Risk Factors” beginning on page 5 of this</w:t>
            </w:r>
          </w:p>
        </w:tc>
      </w:tr>
      <w:tr>
        <w:trPr>
          <w:trHeight w:val="234"/>
        </w:trPr>
        <w:tc>
          <w:tcPr>
            <w:tcW w:w="40" w:type="dxa"/>
            <w:vAlign w:val="bottom"/>
            <w:tcBorders>
              <w:right w:val="single" w:sz="8" w:color="auto"/>
            </w:tcBorders>
          </w:tcPr>
          <w:p>
            <w:pPr>
              <w:spacing w:after="0"/>
              <w:rPr>
                <w:sz w:val="20"/>
                <w:szCs w:val="20"/>
                <w:color w:val="auto"/>
              </w:rPr>
            </w:pPr>
          </w:p>
        </w:tc>
        <w:tc>
          <w:tcPr>
            <w:tcW w:w="3480" w:type="dxa"/>
            <w:vAlign w:val="bottom"/>
          </w:tcPr>
          <w:p>
            <w:pPr>
              <w:spacing w:after="0"/>
              <w:rPr>
                <w:sz w:val="20"/>
                <w:szCs w:val="20"/>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prospectus.</w:t>
            </w:r>
          </w:p>
        </w:tc>
      </w:tr>
      <w:tr>
        <w:trPr>
          <w:trHeight w:val="414"/>
        </w:trPr>
        <w:tc>
          <w:tcPr>
            <w:tcW w:w="40" w:type="dxa"/>
            <w:vAlign w:val="bottom"/>
            <w:tcBorders>
              <w:right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All of the shares of Common Stock offered by this prospectus are being registered for the account of</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selling stockholder. We will not receive any of the proceeds from the sale of these shares of</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Common Stock. We have agreed to pay all costs, expenses and fees relating to the registration of the</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shares of Common Stock covered by this prospectus. The selling stockholder will bear all commissions</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and discounts, if any, attributable to the sale of the shares of Common Stock. However, we may receive</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gross proceeds of up to $15,000,000 under the ELOC Purchase Agreement with Ionic. We intend to</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use the net proceeds from any sale of shares to Ionic under the ELOC Purchase Agreement for general</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corporate purposes, which may include repayment of debt, capital expenditures and payment of</w:t>
            </w:r>
          </w:p>
        </w:tc>
      </w:tr>
      <w:tr>
        <w:trPr>
          <w:trHeight w:val="234"/>
        </w:trPr>
        <w:tc>
          <w:tcPr>
            <w:tcW w:w="40" w:type="dxa"/>
            <w:vAlign w:val="bottom"/>
            <w:tcBorders>
              <w:right w:val="single" w:sz="8" w:color="auto"/>
            </w:tcBorders>
          </w:tcPr>
          <w:p>
            <w:pPr>
              <w:spacing w:after="0"/>
              <w:rPr>
                <w:sz w:val="20"/>
                <w:szCs w:val="20"/>
                <w:color w:val="auto"/>
              </w:rPr>
            </w:pPr>
          </w:p>
        </w:tc>
        <w:tc>
          <w:tcPr>
            <w:tcW w:w="3480" w:type="dxa"/>
            <w:vAlign w:val="bottom"/>
          </w:tcPr>
          <w:p>
            <w:pPr>
              <w:spacing w:after="0"/>
              <w:rPr>
                <w:sz w:val="20"/>
                <w:szCs w:val="20"/>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operational expenses.</w:t>
            </w:r>
          </w:p>
        </w:tc>
      </w:tr>
      <w:tr>
        <w:trPr>
          <w:trHeight w:val="314"/>
        </w:trPr>
        <w:tc>
          <w:tcPr>
            <w:tcW w:w="40" w:type="dxa"/>
            <w:vAlign w:val="bottom"/>
            <w:tcBorders>
              <w:right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7720" w:type="dxa"/>
            <w:vAlign w:val="bottom"/>
            <w:tcBorders>
              <w:bottom w:val="single" w:sz="8" w:color="auto"/>
              <w:right w:val="single" w:sz="8" w:color="auto"/>
            </w:tcBorders>
          </w:tcPr>
          <w:p>
            <w:pPr>
              <w:spacing w:after="0"/>
              <w:rPr>
                <w:sz w:val="24"/>
                <w:szCs w:val="24"/>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69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899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789940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This prospectus contains, and the documents incorporated herein by reference contain, forward-looking statements and information relating to the Company.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83" w:lineRule="exact"/>
        <w:rPr>
          <w:sz w:val="20"/>
          <w:szCs w:val="20"/>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revenue from our customers pursuant to existing total turn-key (TTK) solution implementations;</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spacing w:after="0" w:line="194"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022" w:right="47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prospectus and the documents incorporated by reference herein before making an investment decision regarding our Common Stock.</w:t>
      </w:r>
    </w:p>
    <w:p>
      <w:pPr>
        <w:spacing w:after="0" w:line="182"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loss associated with our Total Turn-Key Solution (“TTK Solution”) Offerings;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acquisitions;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debt and other financial obligations, and we may incur even more debt;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potential future impairment charges;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of customers;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base of suppliers;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clients operating in the cannabis industry;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customers to meet their financial or contractual obligations;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profile with respect to suppliers;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services;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that our backlog and qualified pipeline will translate into bookings;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continued contributions of our CEO, Raymond Chang;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for our products and services;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defend against intellectual property claims;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core technology and intellectual property;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 of intellectual property infringement claims;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and their affiliates control a substantial interest in us;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loans may not be forgivable;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 large number of shares eligible for public sale could depress the market price of our Common Stock;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regain compliance with the listing requirements of Nasdaq could result in a de-listing of our Common Stock;</w:t>
      </w:r>
    </w:p>
    <w:p>
      <w:pPr>
        <w:spacing w:after="0" w:line="9" w:lineRule="exact"/>
        <w:rPr>
          <w:rFonts w:ascii="Times New Roman" w:cs="Times New Roman" w:eastAsia="Times New Roman" w:hAnsi="Times New Roman"/>
          <w:sz w:val="18"/>
          <w:szCs w:val="18"/>
          <w:color w:val="auto"/>
        </w:rPr>
      </w:pPr>
    </w:p>
    <w:p>
      <w:pPr>
        <w:ind w:left="1300" w:right="80" w:hanging="644"/>
        <w:spacing w:after="0" w:line="260"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all or any number of outstanding warrants or the issuance of stock-based awards may dilute your holding of shares of our Common Stock;</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 w:name="page10"/>
    <w:bookmarkEnd w:id="9"/>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Nevada law may prevent a change in control of our company;</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reduced disclosure requirements applicable to emerging growth companies and smaller reporting companies;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 shortage of raw materials;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that may adversely affect our business, financial condition, and results of operations;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employment market and wages;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of our Common Stock;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weaknesses and ability to remediate them;</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 concerns relating to our technology and practices;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failure of our information technology systems to perform adequately;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data privacy regulations and our ability to comply with them;</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trading ability of our Common Stock if our shares become subject to penny stock rules;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to our shareholders if we were to dissolve;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analyst reports about us, our business or our market, or recommendations relating to our stock;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demands upon management as a result of being a public company;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risks related to our financial and operational projections.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Issuances of our Common Stock to Ionic has caused and will continue to cause substantial dilution to our existing stockholders and the price of our Common Stock to decline.</w:t>
      </w:r>
    </w:p>
    <w:p>
      <w:pPr>
        <w:spacing w:after="0" w:line="15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We are registering for resale up to an aggregate of 313,333 shares of Common Stock that may be issued to Ionic from time to time under the ELOC Purchase Agreement.</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shares issued to Ionic under the ELOC Purchase Agreement will be issued and sold over a period of as long as the approximately 36-month term under the ELOC Purchase Agreement. The number of shares ultimately sold to Ionic under this prospectus is dependent upon the number of shares we elect to sell to Ionic under the ELOC Purchase Agreement. Depending on a variety of factors, including market liquidity of our Common Stock, the issuance and sale of shares under the ELOC Purchase Agreement may cause the trading price of our Common Stock to decline.</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may ultimately issue and sell to Ionic all, some or none of the 313,333 shares of Common Stock available under the ELOC Purchase Agreement that we are registering. Ionic may sell all, some or none of our shares that it holds or comes to hold pursuant to sales under the ELOC Purchase Agreement. The issuance and sale of shares by us to Ionic pursuant to the ELOC Purchase Agreement will result in dilution to the interests of other holders of our Common Stock. The sale of a substantial number of shares of our Common Stock by Ionic in this offering, or anticipation of such sales, could cause the trading price of our Common Stock to decline or make it more difficult for us to sell equity or equity-related securities in the future at a time and at a price that we might otherwise desire.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access to the full amount available under the ELOC Purchase Agreement with Ionic.</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ELOC Purchase Agreement, we will have the right to direct Ionic to purchase shares of our Common Stock from time to time by presenting Ionic with a Purchase Notice directing Ionic to purchase any amount between $250,000 and $750,000 per trading day, at a per share price equal to 93% (subject to decrease under certain circumstances) of the lowest daily VWAP over a specified measurement period beginning after the delivery of the Purchase Notice.</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Although the ELOC Purchase Agreement provides that we may sell up to $15,000,000 of our Common Stock to Ionic, depending on the market prices of our Common Stock, we may not be able to nor desire to sell all of the shares contemplated by the ELOC Purchase Agreement. In addition, if the number of shares registered hereby is insufficient to cover all of the shares we elect to sell to Ionic under the ELOC Purchase Agreement, we will be required to file one or more additional registration statements to register such additional shares.</w:t>
      </w:r>
    </w:p>
    <w:p>
      <w:pPr>
        <w:spacing w:after="0" w:line="180"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The extent to which we rely on Ionic as a source of funding will depend on a number of factors, including the prevailing market price of our Common Stock and the extent to which we are able to secure working capital from other sources. Even if we sell a significant amount of shares under the ELOC Purchase Agreement to Ionic, we may still need additional capital to fully implement our business, operating and development plans. Should</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Ionic will pay less than the then-prevailing market price for our Common Stock, which could cause the price of our Common Stock to decline.</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of Common Stock sold to Ionic under the ELOC Purchase Agreement is derived from the market price of our Common Stock. The shares to be sold to Ionic pursuant to the ELOC Purchase Agreement will be purchased at a discounted price as described above. As a result of this pricing structure, Ionic may sell the shares it receives immediately after receipt of the shares, which could cause the price of our Common Stock to decrease. These sales may have a further impact on the price of our Common Stock.</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ELOC Purchase Agreement to the selling stockholder, or the actual gross proceeds resulting from those sales.</w:t>
      </w:r>
    </w:p>
    <w:p>
      <w:pPr>
        <w:spacing w:after="0" w:line="159"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ELOC Purchase Agreement and compliance with applicable law, we have the discretion to deliver notices to the selling stockholder at any time throughout the term of the ELOC Purchase Agreement. The actual number of shares of Common Stock that are sold to the selling stockholder may depend upon a number of factors, including the market price of the Common Stock during the sales period. Because the price per share of each share sold to the selling stockholder will fluctuate during the sales period, it is not currently possible to predict the number of shares that will be sold or the actual gross proceeds to be raised in connection with those sales.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who buy shares of our Common Stock at different times will likely pay different prices.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Shareholders who purchase shares of Common Stock in this offering at different times will likely pay different prices, and so may experience different levels of dilution and different outcomes in their investment results. Similarly, Ionic may sell such shares at different times and at different prices. Shareholders may experience a decline in the value of the shares they purchase from the selling stockholder in this offering as a result of sales made by us in future transactions to Ionic at prices lower than the prices they paid.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expect to continue to incur losses in the near term and may not achieve or sustain profitability in the future, and as a result, our management has identified, and our auditors agreed that there is a substantial doubt about our ability to continue as a going concern.</w:t>
      </w:r>
    </w:p>
    <w:p>
      <w:pPr>
        <w:spacing w:after="0" w:line="159"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have been prepared assuming we will continue as a going concern. Since inception, we have experienced recurring net losses which losses caused an accumulated deficit of approximately $265.8 million as of December 31, 2023. These factors, among others, raise substantial doubt about our ability to continue as a going concern. Our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relatively short operating history, which makes it difficult to evaluate our business and future prospects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We have a relatively short operating history, which makes it difficult to evaluate our business and future prospects. We have been in existence since June 2016 and much of our revenue growth occurred during 2021 and 2022, with a decrease of revenues noted in 2023. We have encountered, and will continue to encounter, risks and difficulties frequently experienced by growing companies in rapidly changing industries, including those related to:</w:t>
      </w:r>
    </w:p>
    <w:p>
      <w:pPr>
        <w:spacing w:after="0" w:line="158"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and future products and services;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regulatory environments and costs associated with compliance, particularly as related to our operations in the cannabis sector;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offering similar products and services;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our products and services and attract new clients;</w:t>
      </w:r>
    </w:p>
    <w:p>
      <w:pPr>
        <w:spacing w:after="0" w:line="252"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particularly sales and marketing expenses, related to the maintenance and expansion of our business, operations, and infrastructure;</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operating expenses;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organic growth and growth fueled by acquisitions;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and acceptance of cannabis-related products and services generally;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events.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manage these risks successfully, our business and financial performance will be adversely affected.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of loss associated with our TTK Solution Offerings.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2021, we introduced our TTK Solution, which among other things, includes financing arrangements related to both facility design and build services and equipment. These arrangements require a significant upfront investment over multiple years, before we start to receive repayment on the upfront construction advances and on our recurring monthly SaaS fees and production fees.</w:t>
      </w:r>
    </w:p>
    <w:p>
      <w:pPr>
        <w:spacing w:after="0" w:line="17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2022, a significant amount of working capital was invested in funding our TTK Solution’s construction and equipment commitments. In 2023, a limited amount was invested in funding the remaining TTK Solution construction and equipment commitments, but we do not intend to enter into any new TTK Solutions in the foreseeable future.</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there is a potential risk of loss associated with our ability to receive anticipated future payments that are in line with our projected financial unit metrics due to a host of variables including, but not limited to the following:</w:t>
      </w:r>
    </w:p>
    <w:p>
      <w:pPr>
        <w:spacing w:after="0" w:line="162"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are in the early stages of our TTK Solution offerings, the TTK Solution is an unproven business model;</w:t>
      </w:r>
    </w:p>
    <w:p>
      <w:pPr>
        <w:spacing w:after="0" w:line="252"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TTK Solution offering requires a significant amount of capital and our collection of advanced amounts is subject to customer credit risk and operational performance;</w:t>
      </w:r>
    </w:p>
    <w:p>
      <w:pPr>
        <w:spacing w:after="0" w:line="188"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downstream production fee revenue assumes that our VFUs will successfully produce 35 pounds of product per VFU per year; and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returns are reliant upon our customers’ ability to market and sell the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During 2022, we established a reserve of approximately $12.5 million specifically related to Greenstone Holdings (“Greenstone”) TTK Solution. Greenstone is a related party because one of our former Agrify Brands employees and our VP of Engineering had a minority ownership. We established the reserve based upon our review of Greenstone’s financial stability, which would impact collectability, which is primarily the result of unfavorable market conditions within the Colorado market. On April 6, 2023, Denver Greens, LLC (“Denver Greens”) acquired certain interests in the Greenstone project through various transactions so that Denver Greens is now the operator of this TTK Solution. The Company wrote off the entire Greenstone loan receivable in 2022.</w:t>
      </w:r>
    </w:p>
    <w:p>
      <w:pPr>
        <w:spacing w:after="0" w:line="18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On September 15, 2022, we provided a notice of default under the Bud &amp; Mary’s TTK Agreement between us and Bud &amp; Mary’s. On October 5, 2022, Bud &amp; Mary’s filed a complaint in the Superior Court of Massachusetts in Suffolk County naming us as the defendant. Bud &amp; Mary’s is seeking, among other relief, monetary damages in connection with alleged unfair or deceptive trade practices, breach of contract, and conversion arising from the Bud &amp; Mary’s TTK Agreement. In response, we established a reserve of $14.7 million specifically related to Bud &amp; Mary’s. We deemed it necessary to fully reserve the $14.7 million outstanding balance in the third quarter of 2022 due to the current litigation and the uncertainty of the customer’s ability to repay the outstanding balance. If we are unable to realize revenue from our TTK Solution offerings on a timely basis, or at all, or if we incur additional losses as a result of the Bud &amp; Mary’s claim, our business and financial performance will be adversely affected.</w:t>
      </w:r>
    </w:p>
    <w:p>
      <w:pPr>
        <w:spacing w:after="0" w:line="18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 remaining balance for the TTK allowance for doubtful accounts is at $14.7 million for Bud and Mary and $4.5 million for Hannah - as the facility is approximately 75% built and won’t be operational until the remaining 25% of the construction is completed.</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5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As of June 30, 2024, we had approximately $0.1 million of cash, cash equivalents, and restricted cash. Our operating plan may change because of factors currently unknown to us, and we may need to seek additional funds sooner than planned. Even if we are able to substantially increase revenue and reduce operational expenditures,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shareholders losing all of their investment in our company.</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strategic acquisitions.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we have strategically acquired several businesses, and plan to continue to make strategic acquisitions, some of which may be material. These acquisitions may involve a number of financial, accounting, managerial, operational, legal, compliance, and other risks and challenges, including the following, any of which could adversely affect our results of operations:</w:t>
      </w:r>
    </w:p>
    <w:p>
      <w:pPr>
        <w:spacing w:after="0" w:line="176" w:lineRule="exact"/>
        <w:rPr>
          <w:sz w:val="20"/>
          <w:szCs w:val="20"/>
          <w:color w:val="auto"/>
        </w:rPr>
      </w:pPr>
    </w:p>
    <w:p>
      <w:pPr>
        <w:ind w:left="1300" w:right="34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business could under-perform relative to our expectations and the price that we paid for it, or not perform in accordance with its anticipated timetable;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w:t>
      </w:r>
    </w:p>
    <w:p>
      <w:pPr>
        <w:spacing w:after="0" w:line="252"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cause our results of operations to differ from our own or the investment community’s expectations in any given period, or over the long term; and</w:t>
      </w:r>
    </w:p>
    <w:p>
      <w:pPr>
        <w:spacing w:after="0" w:line="161" w:lineRule="exact"/>
        <w:rPr>
          <w:rFonts w:ascii="Times New Roman" w:cs="Times New Roman" w:eastAsia="Times New Roman" w:hAnsi="Times New Roman"/>
          <w:sz w:val="18"/>
          <w:szCs w:val="18"/>
          <w:color w:val="auto"/>
        </w:rPr>
      </w:pPr>
    </w:p>
    <w:p>
      <w:pPr>
        <w:ind w:left="1300" w:right="66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create demands on our management that they may be unable to effectively address, or for which we may incur additional costs.</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Additionally, following any business acquisition, we could experience difficulty in integrating personnel, operations, financial and other systems, and in retaining key employees and customers.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may record goodwill and other intangible assets on our consolidated balance sheet in connection with our acquisitions. If we are not able to realize the value of these assets, we may be required to incur charges relating to the impairment of these assets, which could materially impact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future divestitures or other transactions could adversely affect our costs, revenues, profitability and financial position.</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order to position our business to take advantage of particular future growth opportunities and/or consolidate our more capable businesses, we may in the future pursue a strategy of less product and service integration and/or focus on one or more specialized facets of our products and services. These actions may require that we abandon or divest certain assets or businesses that no longer fit within our evolving strategic direction. Abandoning or divesting certain assets or businesses may entail engaging in discussions, evaluating opportunities and entering into agreements, potentially resulting in transactions involving significant risks and uncertainties that could adversely affect our business, results of operations and financial condition. We may not be able to find potential buyers on favorable terms, we may experience disruption to our business and/or we may divert management attention from other business concerns, lose key employees and possibly retain certain liabilities related to these potential transactions.</w:t>
      </w:r>
    </w:p>
    <w:p>
      <w:pPr>
        <w:spacing w:after="0" w:line="185" w:lineRule="exact"/>
        <w:rPr>
          <w:sz w:val="20"/>
          <w:szCs w:val="20"/>
          <w:color w:val="auto"/>
        </w:rPr>
      </w:pPr>
    </w:p>
    <w:p>
      <w:pPr>
        <w:ind w:right="8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13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(the “Securities Purchase Agreement”) with High Trail Special Situations, LLC (the “Former Lender”), pursuant to which we agreed to issue and sell to the Former Lender a senior secured promissory note (the “SPA Note”), in a private placement transaction, in exchange for the payment by the Former Lender of $65 million, less applicable expenses as set forth in the Securities Purchase Agreement, and a warrant (the “SPA Warrant”) to purchase up to an aggregate of 2,294 shares of Common Stock.</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August 18, 2022, we reached an agreement with the Former Lender to amend the existing SPA Note and entered into a Securities Exchange Agreement (the “August 2022 Exchange Agreement”). Pursuant to the August 2022 Exchange Agreement, we partially paid $35.2 million along with approximately $300,000 in repayments for other fees under the SPA Note and exchanged the remaining balance of the SPA Note for the Exchange Note (as defined below) with an aggregate original principal amount of $35.0 million and a new warrant to purchase 4,743 shares of Common Stock (the “Note Exchange Warrant”). Additionally, we exchanged the SPA Warrant for a new warrant for the same number of underlying shares but with a reduced exercise price. The Exchange Note will mature on the three-year anniversary of its issuance.</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March 8, 2023, we entered into a second securities exchange agreement with the Former Lender (the “March 2023 Exchange Agreement” and together with the August 2022 Exchange Agreement, the “Exchange Agreements”), pursuant to which we paid approximately $10.3 million in principal under the Exchange Note and exchanged $10.0 million in principal amount under the Exchange Note for a new senior convertible note (the “Convertible Note” and, together with the Exchange Note, the “Notes”) with an original principal amount of $10.0 million. The Convertible Note will mature on August 19, 2025.</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On October 27, 2023, CP Acquisitions LLC (the “New Lender”), an entity affiliated with and controlled by Raymond Chang, our Chief Executive Officer, and I-Tseng Jenny Chan, who subsequently joined our Board of Directors (the “Board”), acquired the Notes from the Former Lender.</w:t>
      </w:r>
    </w:p>
    <w:p>
      <w:pPr>
        <w:spacing w:after="0" w:line="16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$21.90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$21.90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178,109 shares of Common Stock, and assigned its rights to receive such shares to entities affiliated with Mr. Chang and Ms. Chan. Following the conversion, there was $15.0 million in principal amount outstanding under the Restated Note.</w:t>
      </w:r>
    </w:p>
    <w:p>
      <w:pPr>
        <w:spacing w:after="0" w:line="18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Notes,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w:t>
      </w:r>
    </w:p>
    <w:p>
      <w:pPr>
        <w:spacing w:after="0" w:line="176"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(including acquisitions);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capital stock.</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addition, the Notes impose certain customary affirmative and negative covenants upon us, as well as covenants that restrict us and our subsidiaries from incurring any additional indebtedness or suffering any liens, subject to specified exceptions, restrict the ability of us and our subsidiaries from making certain investments, subject to specified exceptions, and restrict the declaration of any dividends or other distributions, subject to specified exceptions.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we are not in compliance with certain of these covenants, in addition to other actions the New Lender may require, the amounts outstanding under the Exchange Agreements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 w:name="page16"/>
    <w:bookmarkEnd w:id="15"/>
    <w:p>
      <w:pPr>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comply with the financial covenants, or any other non-financial or restrictive covenant, would create a default under the Notes. Our cash flow and existing capital resources may be insufficient to repay our debt at maturity, in which case we would have to extend such maturity date, or otherwise repay, refinance, and/or restructure the obligations under the Notes, including with proceeds from the sale of assets, and additional equity or debt capital. If we are unsuccessful in obtaining such extension, or entering into such repayment, refinance, or restructure prior to maturity, or any other default existed under the Notes, the New Lender could accelerate the indebtedness under the Notes, foreclose against its collateral, or seek other remedies, which would jeopardize our ability to continue our current operations.</w:t>
      </w:r>
    </w:p>
    <w:p>
      <w:pPr>
        <w:spacing w:after="0" w:line="18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During the year ended December 31, 2023, our top four customers accounted for 17.4% of our total revenue. In the event of any material decrease in revenue from these customers, or if we are unable to replace the revenue through the sale of our products to additional customers, our financial condition and results of operations could be materially and adversely affected.</w:t>
      </w:r>
    </w:p>
    <w:p>
      <w:pPr>
        <w:spacing w:after="0" w:line="17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This concentration of customers leaves us exposed to the risks associated with the loss of one or both of these significant customers, which would materially and adversely affect our revenues and results of operations. In addition, some customers have experienced and may continue to experience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of operations could be negatively impacted, and such impact would likely be significant.</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limited base of suppliers for our products may result in disruptions to our supply chain and business and adversely affect our financial results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experiences other financial distress or if any of our key suppliers is negatively impacted with respect to staffing and shipping of products, we could experience disruptions in our supply chain, which could have a material adverse effect on our financial condition, results of operations, and cash flows.</w:t>
      </w:r>
    </w:p>
    <w:p>
      <w:pPr>
        <w:spacing w:after="0" w:line="16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suppliers are experiencing operational difficulties, which in turn may have an adverse effect on our ability to provide products to our customers.</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company with clients operating in the cannabis industry, we face many particular and evolving risks associated with that industry.</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currently serve private clients as they operate in the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Marijuana remains illegal under U.S. federal law.</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Marijuana is a Schedule-I controlled substance under the Controlled Substances Act and is illegal under federal law. It remains illegal under U.S.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of federal enforcement and the need to renew temporary safeguards.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January 4, 2018, former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 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subsequent years and remains in effect, continued re-authorization of the Appropriations Rider cannot be guaranteed. If the Appropriations Rider is no longer in effect, the risk of federal enforcement and override of state marijuana laws would increase.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legislative development beneficial to our operations is not guaranteed.</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cannabis industry could face strong opposition from other industries.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The legality of marijuana could be reversed in one or more states.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legislation and evolving interpretations of law.</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businesses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in part on client licensing.</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 regulations could limit access to banking services.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U.S. Senate. There can be no assurance that the SAFE Banking Act will become law in the U.S. Additionally, most courts have denied marijuana-related businesses bankruptcy protection, thus making it very difficult for lenders to recoup their investments, which may limit the willingness of banks to lend to our clients and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insurance risks.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the U.S.,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We participate in an evolving industry.</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report,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8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customers to meet their financial or contractual obligations to us may result in disruption to our results of operations and could result in financial losses.</w:t>
      </w:r>
    </w:p>
    <w:p>
      <w:pPr>
        <w:spacing w:after="0" w:line="15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have exposure to several customers and certain of these customers are experiencing financial difficulties. We have in the past, and may in the future, need to take allowances against and need to write off receivables due to the creditworthiness of these customers. Further, the inability of these customers to purchase our products could materially adversely affect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profile may affect our relationship with our suppliers, which could have a material adverse effect on our liquidity.</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Changes in our credit profile may affect the way our suppliers view our ability to make payments and may induce them to shorten the payment terms of their invoices. Given the large dollar amounts and volume of our purchases from suppliers, a change in payment terms may have a material adverse effect on our liquidity and our ability to make payments to our suppliers and, consequently, may have a material adverse effect on our business and results of operations.</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believe that a portion of our backlog and qualified pipeline will translate into bookings over the next 12 months, there can be no assurance that we will be successful in such pursuit. In the event our backlog and qualified pipeline do not translate into bookings as projected, it could materially and adversely affect our business and financial performance.</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services made available to our customers, which could limit our control over the quality of the user experience and our cost of providing services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Some of the applications and services available through our proprietary Agrify cultivation solution, including our flagship hardware product, the VFUs, and our proprietary SaaS product, Agrify Insights™, are provided through relationships with third party service providers. We do not typically have any direct control over these third-party service providers. These third-party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third-party service provider. There are readily available alternative hosting services available should we desire or need to move to a different web host. Certain ancillary services provided by us also uses the services of third-party providers, for which, we believe, there are readily available alternatives on comparable economic terms. Offering integrated platforms which rely, in part, on the services of other providers lessens the control that we have over the total client experience. Should the third-party service providers we rely upon not deliver at standards we expect and desire, acceptance of our platforms could suffer, which would have an adverse effect on our business and financial performance. Further, we cannot be assured of entering into agreements with such third-party service providers on economically favorable terms.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and success of our business depends on the continued contributions of Raymond Chang, as our key executive officer, as well as our ability to attract and retain qualified personnel</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growth and success are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Timothy R. Oakes, our Chief Financial Officer, notified us on January 2, 2023 that he intended to resign from his role with us effective as of February 28, 2023 to pursue other opportunities. While we are conducting a search for Mr. Oakes’ successor, there is no assurance that we will be able to identify, attract or hire a replacement.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that could prohibit us from developing or increasing our customer base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indoor agriculture industry is highly competitive. We may compete with companies that have greater capital resources and facilities. More established companies with much greater financial resources which do not currently compete with us may be able to adapt their existing operations more easily to our line of business. In 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 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Protecting and defending against intellectual property claims may have a material adverse effect on our business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ability to compete depends, in part, upon the successful protection of our intellectual property relating to our proprietary Agrify cultivation solution, including our flagship hardware product, the 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0" w:name="page21"/>
    <w:bookmarkEnd w:id="20"/>
    <w:p>
      <w:pPr>
        <w:ind w:firstLine="648"/>
        <w:spacing w:after="0" w:line="254" w:lineRule="auto"/>
        <w:rPr>
          <w:sz w:val="20"/>
          <w:szCs w:val="20"/>
          <w:color w:val="auto"/>
        </w:rPr>
      </w:pPr>
      <w:r>
        <w:rPr>
          <w:rFonts w:ascii="Times New Roman" w:cs="Times New Roman" w:eastAsia="Times New Roman" w:hAnsi="Times New Roman"/>
          <w:sz w:val="18"/>
          <w:szCs w:val="18"/>
          <w:color w:val="auto"/>
        </w:rPr>
        <w:t>We cannot assure shareholders that we will continue to innovate and file new patent applications, or that any current or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shareholders that other parties will not challenge any patents granted to us, or that courts or regulatory agencies will hold our patents to be valid, enforceable, and/or infringed. We cannot guarantee shareholders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188"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make the inventions claimed or disclosed in our patent application;</w:t>
      </w:r>
    </w:p>
    <w:p>
      <w:pPr>
        <w:spacing w:after="0" w:line="252"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 To determine the priority of these inventions, we may have to participate in interference proceedings or derivation proceedings declared by the U.S. Patent and Trademark Office,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206"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independently develop similar or alternative products and technologies or duplicate any of our products and technologies, which can potentially impact our market share, revenue, and goodwill, regardless of 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206"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unaware of or unfamiliar with prior art and/or interpretations of prior art that could potentially impact the validity or scope of our patents or patent applications that we may file;</w:t>
      </w:r>
    </w:p>
    <w:p>
      <w:pPr>
        <w:spacing w:after="0" w:line="188"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202"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not to maintain or pursue intellectual property rights that, at some point in time, may be considered relevant to or enforceable against a competitor;</w:t>
      </w:r>
    </w:p>
    <w:p>
      <w:pPr>
        <w:spacing w:after="0" w:line="188"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products and technologies that are patentable, or we may develop additional proprietary products and technologies that are not patentable;</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and</w:t>
      </w:r>
    </w:p>
    <w:p>
      <w:pPr>
        <w:spacing w:after="0" w:line="252" w:lineRule="exact"/>
        <w:rPr>
          <w:rFonts w:ascii="Times New Roman" w:cs="Times New Roman" w:eastAsia="Times New Roman" w:hAnsi="Times New Roman"/>
          <w:sz w:val="18"/>
          <w:szCs w:val="18"/>
          <w:color w:val="auto"/>
        </w:rPr>
      </w:pPr>
    </w:p>
    <w:p>
      <w:pPr>
        <w:jc w:val="both"/>
        <w:ind w:left="980" w:right="14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our ability to protect our core technology and intellectual property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establish and protect our proprietary rights, we rely on a combination of trademark, copyright, patent, trade secret and unfair competition laws of the U.S.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89"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9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enter into intellectual property license agreements in the future, and if we are unable to obtain these licenses, our business could be harmed</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Others may assert intellectual property infringement claims against us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2023, we had net operating loss (“NOL”) carryforwards for federal and state income tax purposes which may be available to offset taxable income in future years. Approximately $675,000 of federal NOLs will expire if not utilized by 2036 and approximately $143.5 million of federal NOLs carryforward indefinitely but are only available to offset 80% of taxable income per year. The $82.3 million state NOLs will begin to expire by 2039. A lack of future taxable income would adversely affect our ability to utilize these NOLs before they expire. The utilization of our NOLs could be subject to annual limitations under Section 382 and 383 of the Internal Revenue Code (“IRC” or the “Code”) of 1986, and similar state tax provisions due to ownership change limitations that may have occurred previously or that could occur in the future. In general, under Section 382, a corporation that undergoes an “ownership change” (as defined under Section 382 of the Code and applicable Treasury Regulations) is subject to limitations on its ability to utilize its pre-change NOLs to offset its future taxable income. As of December 31, 2023, we have not conducted an analysis of an ownership change under Section 382. To the extent that a study is completed, and an ownership change is deemed to occur, in the past or future, our NOLs and any NOLs of companies that we have acquired could be limited to offset any future taxable income.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firstLine="648"/>
        <w:spacing w:after="0" w:line="261"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NOLs or other unforeseen reasons, our existing NOLs could expire or otherwise be unavailable to reduce future income tax liabilities for federal and state income tax purposes. For these reasons, we may not be able to utilize a material portion of our NOLs, even if we attain profitability, which could result in increased future tax liability to us and could adversely affect the results of our operations and overall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affiliates may prevent new investors from influencing significant corporate decisions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and their affiliates beneficially own, in the aggregate, approximately 51% of our outstanding shares of Common Stock. In particular, Raymond Chang, our Chairman of the Board and Chief Executive Officer, beneficially owns approximately 49.99% of our outstanding shares of Common Stock, and I-Tseng Jenny Chan, a member of our Board, beneficially owns approximately 49.99% of our outstanding shares of Common Stock, primarily as a result of the Convertible Note that is currently convertible into 618,877 shares of Common Stock that is held by an entity owned and controlled by Mr. Chang and Ms. Chan, which is subject to a 49.99% beneficial ownership limitation. As a result, these stockholders exercise a significant level of control over all matters requiring stockholder approval, including the election of directors, amendment of our articles of incorporation and approval of significant corporate transactions. Moreover, our bylaws permit stockholders to act by written. This control could have the effect of delaying or preventing a change of control of our company or changes in management and will make the approval of certain transactions difficult or impossible without the support of these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large number of shares eligible for public sale could depress the market price of our Common Stock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to register the shares of Common Stock underlying outstanding options and shares reserved for future issuance under our equity compensation plans. Upon effectiveness of that registration statement, subject to the satisfaction of applicable exercise periods and subject to our insider trading policy, the shares of Common Stock issued upon exercise of outstanding options will be available for immediate resale in the U.S. in the open market.</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March 5, 2024, we received a deficiency letter from the Listing Qualifications Department of Nasdaq notifying us that, for the last 30 consecutive business days, the bid price for our Common Stock had closed below $1.00 per share, which is the minimum closing price required to maintain continued listing on Nasdaq under Nasdaq Listing Rule 5550(a)(2) (the “Minimum Bid Requirement”). The Notice had no immediate effect on the listing of our Common Stock on Nasdaq. In accordance with Nasdaq Listing Rule 5810(c)(3)(A), we had 180 calendar days to regain compliance with the Minimum Bid Requirement. To regain compliance with the Minimum Bid Requirement, the closing bid price of our Common Stock must be at least $1.00 per share for a minimum of 10 consecutive trading days during this 180-day compliance period, unless the Staff exercises its discretion to extend this period pursuant to Nasdaq Listing Rule 5810(c)(3)(H).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September 4, 2024, the Staff notified us in writing that while we had not regained compliance with the Minimum Bid Requirement, we were eligible for an additional 180-day compliance period, or until March 3, 2025, to regain compliance with the Minimum Bid Requirement. Nasdaq’s determination was based on our having met the continued listing requirement for market value of publicly held shares and all other applicable requirements for initial listing on Nasdaq, with the exception of the Minimum Bid Requirement, and on our written notice to Nasdaq of its intention to cure the deficiency during the second compliance period by effecting a reverse stock split, if necessary.</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September 3, 2024, we received a written consent signed by a holders of a majority of our outstanding Common Stock authorizing our Board to, without further stockholder approval, effect a reverse stock split of our issued and outstanding Common Stock within a range of between 1-for-2 and 1-for-20 by filing an amendment to the Company’s Articles of Incorporation, as amended, with the Secretary of State of the State of Nevada, with the final determination of whether to proceed, the effective time, and the exact ratio of the reverse stock split to be determined by the Board. We cannot provide any assurances, however, that we will be able to regain compliance.</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On September 27, 2024, the Company entered into the CP September Warrant Amendment and the GIC September Warrant Amendment to, among other things, include a provision delaying any additional exercise of either the CP Warrant or the GIC Warrant at any time between September 27, 2024 and October 9, 2024.</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October 3, 2024, we filed an amendment to our Articles of Incorporation with the Secretary of State of the State of Nevada to effect a 1-for-15 reverse stock split of our Common Stock, in which each fifteen shares of Common Stock issued and outstanding was combined and converted into one share of Common Stock to regain compliance with the Minimum Bid Requirement. The Reverse Stock Split was effective as of 12:01 a.m. Eastern Time on October 8, 2024.</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all or any number of outstanding warrants or the issuance of stock-based awards may dilute your holding of shares of our Common Stock.</w:t>
      </w:r>
    </w:p>
    <w:p>
      <w:pPr>
        <w:spacing w:after="0" w:line="15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issued several securities providing for the right to purchase our Common Stock. Shareholders could be subject to increased dilution upon the exercise of our warrants. A total of 6,308,434 warrants were issued and outstanding as of October 9, 2024.</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Additionally, 160,591 shares of Common Stock were reserved for issuance of currently outstanding equity-based awards to employees, directors and certain other individuals under our 2022 Omnibus Equity Incentive Plan, as amended (the “Plan”). The exercise of equity awards, including any restricted stock units that we may grant in the future, and the exercise of warrants and the subsequent sale of shares of Common Stock issued thereby, could have an adverse effect on the market for our Common Stock, including the price that an investor could obtain for their shares.</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Shareholders may experience dilution in the value of their investment upon the exercise of the warrants and any equity awards that may be granted or issued pursuant to the Plan.</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p>
    <w:p>
      <w:pPr>
        <w:spacing w:after="0" w:line="15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0"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252" w:lineRule="exact"/>
        <w:rPr>
          <w:rFonts w:ascii="Times New Roman" w:cs="Times New Roman" w:eastAsia="Times New Roman" w:hAnsi="Times New Roman"/>
          <w:sz w:val="18"/>
          <w:szCs w:val="18"/>
          <w:color w:val="auto"/>
        </w:rPr>
      </w:pPr>
    </w:p>
    <w:p>
      <w:pPr>
        <w:ind w:left="980" w:right="22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7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175"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report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consolidated financial statements and two years of selected financial data in this report. We could be an emerging growth company for up to five years, although circumstances could cause us to lose that status earlier, including if the market value of our Common Stock held by non-affiliates exceeds $700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consolidated financial statements with other public companies difficult or impossible.</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and do not expect to declare any dividends to our shareholders in the foreseeable future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not and do not anticipate declaring any cash dividends to holders of our Common Stock in the foreseeable future. Consequently, shareholders may need to rely on sales of their Common Stock after price appreciation, which may never occur, as the only way to realize any future gains on their investment. Investors seeking cash dividends should not purchase our Common Stock.</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raw materials could harm our business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0" w:firstLine="648"/>
        <w:spacing w:after="0" w:line="270" w:lineRule="auto"/>
        <w:rPr>
          <w:sz w:val="20"/>
          <w:szCs w:val="20"/>
          <w:color w:val="auto"/>
        </w:rPr>
      </w:pPr>
      <w:r>
        <w:rPr>
          <w:rFonts w:ascii="Times New Roman" w:cs="Times New Roman" w:eastAsia="Times New Roman" w:hAnsi="Times New Roman"/>
          <w:sz w:val="17"/>
          <w:szCs w:val="17"/>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w:t>
      </w:r>
    </w:p>
    <w:p>
      <w:pPr>
        <w:spacing w:after="0" w:line="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Substantial increases in the prices for our raw materials increase our operating costs and could reduce our margins if we cannot recoup the increased costs through increased prices for our products and services.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Matters relating to the employment market and prevailing wage standards may adversely affect our business.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meet our labor needs on a cost-effective basis is subject to numerous external factors, including the availability of qualified personnel in the workforce in the markets in which we operate, unemployment levels within those markets, prevailing wage rates, which have increased significantly, health and other insurance costs and changes in employment and labor laws. In the event prevailing wage rates continue to increase in the markets in which we operate, we may be required to concurrently increase the wages paid to our employees to maintain the quality of our workforce. To the extent such increases are not offset by price increases, our business and operating results could be adversely affected. If we are unable to hire and retain employees capable of meeting our business needs and expectations, our business and reputation may be impaired. Any failure to meet our staffing needs or any material increase in turnover rates of our employees may adversely affect our business, results of operations and financial condition.</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Further, we rely on the ability to attract and retain employees on a cost-effective basis. The availability of employees in the markets in which we operate has declined in recent years and competition for such personnel has increased and has provided the obstacle of our ability to attract and retain a sufficient workforce on a cost-effective basis. We may not be able to attract and retain a sufficient workforce on a cost-effective basis in the future. In the event of increased costs of attracting and retaining a workforce, our business and operating results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affect our business, financial condition and results of operations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Common Stock may not develop, the price of our stock may be volatile, and you could lose all or part of your investment</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achieve our anticipated corporate objectives;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or operational estimates or projections;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operational plans;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lock-up agreement or other restrictions on the ability of our stockholders to sell shares;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U.S. or elsewhere.</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complying with the laws and regulations affecting public companies, which could adversely affect our operating results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Nasdaq. In addition, our management team also has to adapt to the requirements of being a public company. We expect complying with these rules and regulations will substantially increase our legal and financial compliance costs and to make some activities more time-consuming and costly.</w:t>
      </w:r>
    </w:p>
    <w:p>
      <w:pPr>
        <w:spacing w:after="0" w:line="183" w:lineRule="exact"/>
        <w:rPr>
          <w:sz w:val="20"/>
          <w:szCs w:val="20"/>
          <w:color w:val="auto"/>
        </w:rPr>
      </w:pPr>
    </w:p>
    <w:p>
      <w:pPr>
        <w:ind w:right="220" w:firstLine="648"/>
        <w:spacing w:after="0" w:line="289" w:lineRule="auto"/>
        <w:rPr>
          <w:sz w:val="20"/>
          <w:szCs w:val="20"/>
          <w:color w:val="auto"/>
        </w:rPr>
      </w:pPr>
      <w:r>
        <w:rPr>
          <w:rFonts w:ascii="Times New Roman" w:cs="Times New Roman" w:eastAsia="Times New Roman" w:hAnsi="Times New Roman"/>
          <w:sz w:val="17"/>
          <w:szCs w:val="17"/>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5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or as our executive officers.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annually furnish a report by management on, among other things, the effectiveness of our internal control over financial reporting. This assessment includes disclosure of any material weaknesses identified by our management in our internal control over financial reporting, as well as a statement that our auditors have issued an attestation report on effectiveness of our internal controls.</w:t>
      </w:r>
    </w:p>
    <w:p>
      <w:pPr>
        <w:spacing w:after="0" w:line="18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are in the very early stages of the costly and challenging process of compiling the system and processing the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8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these material weaknesses, or if we experience additional material weaknesses in the future or otherwise fail to maintain an effective system of internal controls, we may not be able to accurately or timely requirements applicable to public companies, which may adversely affect investor confidence in us, and, as a result, the market price of our Common Stock.</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As described elsewhere in this Report, we have identified the following material weaknesses:</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close timely;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technical expertise;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complex financial instruments.</w:t>
      </w:r>
    </w:p>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these material weaknesses, our management concluded that our internal control over financial reporting was not effective as of December 31, 2023.</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To respond to these material weaknesses, we have devoted, and plan to continue to devote, significant effort and resources to the remediation and improvement of our internal control over financial reporting. Our plans currently include rebuild of the internal finance function and engagement of external financial consultants. The elements of our remediation plan can only be accomplished over time, and we can offer no assurance that these initiatives will ultimately have the intended effects.</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Any failure to maintain such internal control could adversely impact our ability to report our financial position and results from operations on a timely and accurate basis. If our consolidated financial statements are not accurate, investors may not have a complete understanding of our operations. Likewise, if our consolidated financial statements are not filed on a timely basis, we could be subject to sanctions or investigations by Nasdaq,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can give no assurance that the measures we have taken and plan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17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 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8" w:name="page29"/>
    <w:bookmarkEnd w:id="28"/>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impaired if our information technology systems fail to perform adequately or if we are the subject of a data breach or cyber-attack</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rely on information technology systems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shares of Common Stock become subject to the penny stock rules, it would become more difficult to trade our shares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The financial and operational projections that we may make from time to time are subject to inherent risks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report should not be regarded as an indication that we or our management or representatives considered or consider the projections to be a reliable prediction of future events, and the projections should not be relied upon as such.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to dissolve, the holders of our securities may lose all or substantial amounts of their investments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we were to dissolve as a corporation, as part of ceasing to do business or otherwise, we may be required to pay all amounts owed to any creditors before distributing any assets to the shareholders. There is a risk that in the event of such a dissolution, there will be insufficient funds to repay amounts owed to holders of any of our indebtedness and insufficient assets to distribute to our other shareholders, in which case shareholders could lose their entire investment.</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IONIC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340" w:firstLine="648"/>
        <w:spacing w:after="0" w:line="282" w:lineRule="auto"/>
        <w:rPr>
          <w:sz w:val="20"/>
          <w:szCs w:val="20"/>
          <w:color w:val="auto"/>
        </w:rPr>
      </w:pPr>
      <w:r>
        <w:rPr>
          <w:rFonts w:ascii="Times New Roman" w:cs="Times New Roman" w:eastAsia="Times New Roman" w:hAnsi="Times New Roman"/>
          <w:sz w:val="18"/>
          <w:szCs w:val="18"/>
          <w:color w:val="auto"/>
        </w:rPr>
        <w:t>Pursuant to the ELOC Purchase Agreement, upon the terms and subject to the conditions and limitations set forth therein, we have the right to direct Ionic to purchase up to an aggregate of $15,000,000 of shares of our Common Stock over the 36-month term of the ELOC Purchase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Shares under the ELOC Purchase Agreement</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We have the right to present Ionic with additional Purchase Notices, each one directing Ionic to purchase any amount between $250,000 and $750,000 of our Common Stock per trading day, at a per share price equal to 93% (subject to decrease under certain circumstances) of the lowest daily VWAPs over a specified measurement period (as described below).</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Under the ELOC Purchase Agreement, no later than one trading day after Ionic receives a valid Purchase Notice (the “Regular Purchase Notice Date”), we are required to cause our transfer agent to deliver to Ionic such number of shares of Common Stock (the “Pre-Settlement Regular Purchase Shares”) equal to the product of (A) the quotient of (y) the purchase amount divided by (z) 90% of the closing price of our Common Stock on the date immediately preceding the Regular Purchase Notice Date (the “Pre-Settlement Regular Purchase Price”) and as to which Ionic shall be the owner thereof as of such time of delivery of such Pre-Settlement Regular Purchase Shares.</w:t>
      </w:r>
    </w:p>
    <w:p>
      <w:pPr>
        <w:spacing w:after="0" w:line="18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No later than two trading days after the Regular Purchase Measurement Period, as defined below (the “Regular Purchase Settlement Date”), we are required to cause our transfer agent to deliver to Ionic such number of shares of Common Stock (the “Settlement Regular Purchase Shares”) equal to the purchase amount divided by the Regular Purchase Price, which is equal to 93% (the “RPP Percentage”) of the arithmetic average of the lowest daily VWAPs during the Regular Purchase Measurement Period; provided, however, that the number of shares of Common Stock to be delivered on the Regular Purchase Settlement Date shall be reduced by the number of Pre-Settlement Regular Purchase Shares delivered. If the number of Pre-Settlement Regular Purchase Shares delivered to Ionic exceeds the number of Settlement Regular Purchase Shares, then Ionic is required to return the excess shares. The “Regular Purchase Measurement Period” is the period starting on the trading day immediately following the receipt of Pre-Settlement Regular Purchase Shares and ending on the trading day immediately following the date upon which the aggregate dollar volume of our Common Stock traded on Nasdaq equals seven times the purchase amount, in the aggregate, subject to a ten trading day minimum.</w:t>
      </w:r>
    </w:p>
    <w:p>
      <w:pPr>
        <w:spacing w:after="0" w:line="18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that we can issue to Ionic from time to time under the ELOC Purchase Agreement shall be subject to the Beneficial Ownership Limitation.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addition, Ionic will not be required to buy any shares of our Common Stock pursuant to a Purchase Notice on any trading day on which the closing trade price of our Common Stock is at or below $3.75. We will control the timing and amount of sales of our Common Stock to Ionic. Ionic has no right to require any sales by us, and is obligated to make purchases from us as directed solely by us in accordance with the ELOC Purchase Agreement.</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Actual sales of Purchase Shares under the ELOC Purchase Agreement to Ionic will depend on a variety of factors to be determined by us from time to time, including, among others, satisfaction of certain conditions including, without limitation, the effectiveness of this and other resale registration statements, market conditions, the trading price of our Common Stock and determinations by us as to the appropriate sources of funding for us and our operations. We expect to use the net proceeds from any sale of shares to Ionic under the ELOC Purchase Agreement for general corporate purposes, which may include repayment of debt, capital expenditures and payment of operational expenses as described under “Use of Proceeds.”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The purchase price of the Purchase Shares purchased by Ionic under the ELOC Purchase Agreement will be derived from the market prices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We will control the timing and amount of future sales, if any, of Purchase Shares to Ionic. Ionic has no right to require us to sell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Shares to Ionic, but Ionic is obligated to make purchases as we direct, subject to certain conditions.</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313,333 shares are being registered on the registration statement of which this prospectus forms a part, all of which will be issuable under the ELOC Purchase Agreement. Shares issuable under the ELOC Purchase Agreement, if and when they are sold pursuant to the terms of the ELOC Purchase Agreement, will be sold at a per share price equal to 93% (subject to decrease under certain circumstances) of the average of the lowest VWAPs over a specified measurement period as described above.</w:t>
      </w:r>
    </w:p>
    <w:p>
      <w:pPr>
        <w:spacing w:after="0" w:line="18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ELOC Purchase Agreement and the Registration Rights Agreement each contain representations, warranties, covenants, closing conditions and indemnification and termination provisions by, between and for the benefit of the parties which are customary of transactions of this nature. Additionally, sales to Ionic under the ELOC Purchase Agreement may be limited, to the extent applicable, by Nasdaq and SEC rules.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Ionic may not assign or transfer its rights and obligations under the ELOC Purchase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Termination Rights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ELOC Purchase Agreement may be terminated by us at any time after commencement, at our discretion; provided, however, that if we sold less than $5,000,000 to Ionic (other than as a result of our inability to sell shares to Ionic as a result of the Beneficial Ownership Limitation or our failure to have sufficient shares authorized), we will pay to Ionic a termination fee of $300,000, which is payable, at our option, in cash or in shares of Common Stock, at a price equal to the closing price on the day immediately preceding the date of receipt of the termination notice. Further, the ELOC Purchase Agreement will automatically terminate on the date that we sell, and Ionic purchases, the full $15,000,000 amount under the agreement or, if the full amount has not been purchased, on the expiration of the 36-month term of the ELOC Purchase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ELOC Purchase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Events of default under the ELOC Purchase Agreement include the following:</w:t>
      </w:r>
    </w:p>
    <w:p>
      <w:pPr>
        <w:spacing w:after="0" w:line="225" w:lineRule="exact"/>
        <w:rPr>
          <w:sz w:val="20"/>
          <w:szCs w:val="20"/>
          <w:color w:val="auto"/>
        </w:rPr>
      </w:pPr>
    </w:p>
    <w:p>
      <w:pPr>
        <w:ind w:left="980" w:hanging="324"/>
        <w:spacing w:after="0" w:line="253"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a registration statement registering the resale of the shares of Common Stock issued to Ionic pursuant to the ELOC Purchase Agreement lapses for any reason (including, without limitation, the issuance of a stop order or similar order) or any such registration statement (or the prospectus forming a part thereof) is unavailable to Ionic for resale of any or all of the shares of Common Stock issuable under the ELOC Purchase Agreement, and such lapse or unavailability continues for a period of ten (10) consecutive business days or for more than an aggregate of thirty (30) business days in any 365-day period, but excluding a lapse or unavailability where (i) the Company terminates a registration statement after Ionic has confirmed in writing that all of the Common Stock representing shares of Common Stock covered thereby have been resold or (ii) the Company supersedes one registration statement with another registration statement, including (without limitation) by terminating a prior registration statement when it is effectively replaced with a new registration statement covering shares of Common Stock offered by this prospectus (provided in the case of this clause (ii) that all of the shares of Common Stock offered by this prospectus covered by the superseded (or terminated) registration statement that have not theretofore been resold are included in the superseding (or new) registration statement);</w:t>
      </w:r>
    </w:p>
    <w:p>
      <w:pPr>
        <w:spacing w:after="0" w:line="218"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our Common Stock from being listed or trading on a Nasdaq for a period of one (1) business day, provided that we may not direct Ionic to purchase any of our Common Stock during any such suspension;</w:t>
      </w:r>
    </w:p>
    <w:p>
      <w:pPr>
        <w:spacing w:after="0" w:line="188"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for any reason by us or the transfer agent to deliver (i) the Pre-Settlement Regular Purchase Shares to Ionic within one (1) trading day after the Regular Purchase Notice Date or (ii) the Settlement Regular Purchase Shares to Ionic within one (1) trading day after the relevant measurement period to which Ionic is entitled under the ELOC Purchase Agreement in connection with Settlement Regular Purchase Shares or Exemption Purchase Shares;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 w:name="page33"/>
    <w:bookmarkEnd w:id="32"/>
    <w:p>
      <w:pPr>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breach any representation or warranty in any material respect, or breach any covenant or other term or condition under the ELOC Purchase Agreement or Registration Rights Agreement, and except in the case of a breach of a covenant which is reasonably curable, only if such breach continues for a period of at least five (5) consecutive business days;</w:t>
      </w:r>
    </w:p>
    <w:p>
      <w:pPr>
        <w:spacing w:after="0" w:line="202"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commences a proceeding against us pursuant to or within the meaning of any bankruptcy law for so long as such proceeding is not dismissed;</w:t>
      </w:r>
    </w:p>
    <w:p>
      <w:pPr>
        <w:spacing w:after="0" w:line="188"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at any time insolvent, or,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(v) we are generally unable to pay its debts as the same become due;</w:t>
      </w:r>
    </w:p>
    <w:p>
      <w:pPr>
        <w:spacing w:after="0" w:line="206"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(i) is for relief against us in an involuntary case, (ii) appoints a custodian of the Company or for all or substantially all of its property, or (iii) orders the liquidation of the Company or any subsidiary for so long as such order, decree or similar action remains in effect; or</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eligible to transfer our Common Stock as DWAC shares.</w:t>
      </w:r>
    </w:p>
    <w:p>
      <w:pPr>
        <w:spacing w:after="0" w:line="225"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If an event of default occurs between the Regular Purchase Notice Date and any time through the Regular Purchase Settlement Date, then (i) the RPP Percentage shall be automatically adjusted to 80% for so long as such event of default remains uncured and (ii) Ionic shall be entitled to all the rights under the ELOC Purchase Agreement as if such event of default occurred immediately prior to such Regular Purchase Notice Date.</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addition to any other rights and remedies under applicable law and the ELOC Purchase Agreement, so long as an event of default has occurred and is continuing, or if any event which, after notice and/or lapse of time, would become an event of default, has occurred and is continuing, the Company shall not deliver to Ionic any Purchase Notice. There is no guarantee that we will not default on our obligations under the ELOC Purchase Agreement or under the Registration Rights Agreement, as defined below, which would require us to pay damages as partial relief to Ionic in either shares or cash or negatively impact our ability to utilize the ELOC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Concurrently with entering into the ELOC Purchase Agreement, we also entered into the Registration Rights Agreement, in which we agreed to file one or more registration statements, as necessary, to register under the Securities Act the resale of the shares of our Common Stock issuable to Ionic under the ELOC Purchase Agreement and the shares of Common Stock that may be issued to Ionic if we fail to comply with our obligations in the Registration Rights Agreement. Under the Registration Rights Agreement, we agreed to file one or more registration statements, as necessary, to register under the Securities Act the resale of all of the shares of Common Stock that may, from time to time, be issued or become issuable to Ionic under the ELOC Purchase Agreement and the Registration Rights Agreement. The Registration Rights Agreement requires that we file, within 30 days after signing, a resale registration statement and use commercially reasonable efforts to have such resale registration statement declared effective by the SEC on or before the earlier of (i) 60 days after signing (or 90 days if such registration statement is subject to full review by the SEC) and (ii) the 2nd business day after we are notified it will not be subject to further SEC review. If we fail to have a registration statement filed by the specified deadline or declared effective by the specified deadline, then we will be required to issue to Ionic 16,667 shares of Common Stock within 2 trading days after the failure, which shares are not being registered pursuant to the registration statement of which this prospectus is a part.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Short-Selling or Hedging by Ionic</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Ionic has agreed that neither it nor any of its agents, representatives and affiliates will engage in any direct or indirect short-selling or hedging of our Common Stock during any time before termination of the ELOC Purchase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Dilutive Effect on Our Stockholders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All 313,333 shares of our Common Stock registered in this offering which may be issued or sold by us to Ionic under the ELOC Purchase Agreement and Registration Rights Agreement are expected to be freely tradable. It is anticipated that the Common Stock registered in this offering will be sold by us to Ionic from time to time until the date that is approximately 36 months following the satisfaction of the commencement conditions under the ELOC Purchase Agreement. The sale by Ionic of a significant amount of our Common Stock registered in this offering at any given time could cause the market price of our Common Stock to decline and to be highly volatile. Sales of our Common Stock to Ionic, if any, will depend upon market conditions and other factors to be determined by us. We may ultimately issue or sell to Ionic all, some or none of the shares of Common Stock available under the ELOC Purchase Agreement. The Purchase Shares that we may sell under the ELOC Purchase Agreement are sold with a forward pricing mechanism and as of the date of this registration statement, the conversion price and the purchase price have yet to be calculated.</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Issuances of our Common Stock in this offering will not affect the rights or privileges of our existing stockholders, except that the economic and voting interests of each of our existing stockholders will be diluted as a result of any such issuance. Although the number of our Common Stock that our existing stockholders own will not decrease, the shares owned by our existing stockholders will represent a smaller percentage of our total outstanding shares after any such issuance to Ionic. If and when we do sell our Common Stock to Ionic under the ELOC Purchase Agreement, after Ionic has acquired those shares, Ionic may resell all, some or none of such shares at any time or from time to time in its discretion. Therefore, issuances to Ionic by us under the ELOC Purchase Agreement may result in substantial dilution to the interests of other holders of our Common Stock. In addition, if we sell a substantial number of our Common Stock to Ionic under the ELOC Purchase Agreement, or if investors expect that we will do so, the actual sales of our Common Stock or the mere existence of our arrangement with Ionic may make it more difficult for us to sell equity or equity-related securities in the future at a time and at a price that we might otherwise wish to effect such sales. However, we have the right to control the timing and amount of any additional sales of Purchase Shares to Ionic and the ELOC Purchase Agreement may be terminated by us at any time at our discretion (see subsection entitled “Our Termination Rights” above).</w:t>
      </w:r>
    </w:p>
    <w:p>
      <w:pPr>
        <w:spacing w:after="0" w:line="19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 of gross proceeds we would receive from Ionic from our issuance and sale of 313,333 shares to Ionic under the ELOC Purchase Agreement registered hereunder at varying purchase prices: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Percentage of Outstanding</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Proceeds from the</w:t>
            </w:r>
          </w:p>
        </w:tc>
      </w:tr>
      <w:tr>
        <w:trPr>
          <w:trHeight w:val="216"/>
        </w:trPr>
        <w:tc>
          <w:tcPr>
            <w:tcW w:w="22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Assumed Purchase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Common Stock After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Sale of Common Stock to</w:t>
            </w:r>
          </w:p>
        </w:tc>
      </w:tr>
      <w:tr>
        <w:trPr>
          <w:trHeight w:val="216"/>
        </w:trPr>
        <w:tc>
          <w:tcPr>
            <w:tcW w:w="22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Price Per Purchase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to be Issued if Full</w:t>
            </w:r>
          </w:p>
        </w:tc>
        <w:tc>
          <w:tcPr>
            <w:tcW w:w="2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Giving Effect to the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Ionic Under the ELOC</w:t>
            </w:r>
          </w:p>
        </w:tc>
      </w:tr>
      <w:tr>
        <w:trPr>
          <w:trHeight w:val="245"/>
        </w:trPr>
        <w:tc>
          <w:tcPr>
            <w:tcW w:w="224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Share (3)</w:t>
            </w: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 (1)</w:t>
            </w:r>
          </w:p>
        </w:tc>
        <w:tc>
          <w:tcPr>
            <w:tcW w:w="220" w:type="dxa"/>
            <w:vAlign w:val="bottom"/>
            <w:tcBorders>
              <w:bottom w:val="single" w:sz="8" w:color="CCEEFF"/>
            </w:tcBorders>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 to Ionic (2)</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Purchase Agreement</w:t>
            </w:r>
          </w:p>
        </w:tc>
        <w:tc>
          <w:tcPr>
            <w:tcW w:w="100" w:type="dxa"/>
            <w:vAlign w:val="bottom"/>
            <w:tcBorders>
              <w:bottom w:val="single" w:sz="8" w:color="CCEEFF"/>
            </w:tcBorders>
          </w:tcPr>
          <w:p>
            <w:pPr>
              <w:spacing w:after="0"/>
              <w:rPr>
                <w:sz w:val="21"/>
                <w:szCs w:val="21"/>
                <w:color w:val="auto"/>
              </w:rPr>
            </w:pPr>
          </w:p>
        </w:tc>
      </w:tr>
      <w:tr>
        <w:trPr>
          <w:trHeight w:val="216"/>
        </w:trPr>
        <w:tc>
          <w:tcPr>
            <w:tcW w:w="2240" w:type="dxa"/>
            <w:vAlign w:val="bottom"/>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CEEFF"/>
          </w:tcPr>
          <w:p>
            <w:pPr>
              <w:spacing w:after="0"/>
              <w:rPr>
                <w:sz w:val="18"/>
                <w:szCs w:val="18"/>
                <w:color w:val="auto"/>
              </w:rPr>
            </w:pPr>
          </w:p>
        </w:tc>
        <w:tc>
          <w:tcPr>
            <w:tcW w:w="256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5"/>
              </w:rPr>
              <w:t>313,333</w:t>
            </w:r>
          </w:p>
        </w:tc>
        <w:tc>
          <w:tcPr>
            <w:tcW w:w="22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626,666</w:t>
            </w:r>
          </w:p>
        </w:tc>
        <w:tc>
          <w:tcPr>
            <w:tcW w:w="100" w:type="dxa"/>
            <w:vAlign w:val="bottom"/>
            <w:shd w:val="clear" w:color="auto" w:fill="CCEEFF"/>
          </w:tcPr>
          <w:p>
            <w:pPr>
              <w:spacing w:after="0"/>
              <w:rPr>
                <w:sz w:val="18"/>
                <w:szCs w:val="18"/>
                <w:color w:val="auto"/>
              </w:rPr>
            </w:pPr>
          </w:p>
        </w:tc>
      </w:tr>
      <w:tr>
        <w:trPr>
          <w:trHeight w:val="216"/>
        </w:trPr>
        <w:tc>
          <w:tcPr>
            <w:tcW w:w="224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7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313,333</w:t>
            </w:r>
          </w:p>
        </w:tc>
        <w:tc>
          <w:tcPr>
            <w:tcW w:w="2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783,333</w:t>
            </w:r>
          </w:p>
        </w:tc>
      </w:tr>
      <w:tr>
        <w:trPr>
          <w:trHeight w:val="216"/>
        </w:trPr>
        <w:tc>
          <w:tcPr>
            <w:tcW w:w="2240" w:type="dxa"/>
            <w:vAlign w:val="bottom"/>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27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313,333</w:t>
            </w:r>
          </w:p>
        </w:tc>
        <w:tc>
          <w:tcPr>
            <w:tcW w:w="2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939,999</w:t>
            </w:r>
          </w:p>
        </w:tc>
      </w:tr>
      <w:tr>
        <w:trPr>
          <w:trHeight w:val="216"/>
        </w:trPr>
        <w:tc>
          <w:tcPr>
            <w:tcW w:w="224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27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313,333</w:t>
            </w:r>
          </w:p>
        </w:tc>
        <w:tc>
          <w:tcPr>
            <w:tcW w:w="2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1,096,666</w:t>
            </w:r>
          </w:p>
        </w:tc>
      </w:tr>
      <w:tr>
        <w:trPr>
          <w:trHeight w:val="216"/>
        </w:trPr>
        <w:tc>
          <w:tcPr>
            <w:tcW w:w="2240" w:type="dxa"/>
            <w:vAlign w:val="bottom"/>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27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313,333</w:t>
            </w:r>
          </w:p>
        </w:tc>
        <w:tc>
          <w:tcPr>
            <w:tcW w:w="2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1,253,332</w:t>
            </w:r>
          </w:p>
        </w:tc>
      </w:tr>
      <w:tr>
        <w:trPr>
          <w:trHeight w:val="234"/>
        </w:trPr>
        <w:tc>
          <w:tcPr>
            <w:tcW w:w="224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27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313,333</w:t>
            </w:r>
          </w:p>
        </w:tc>
        <w:tc>
          <w:tcPr>
            <w:tcW w:w="2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1,409,999</w:t>
            </w:r>
          </w:p>
        </w:tc>
      </w:tr>
    </w:tbl>
    <w:p>
      <w:pPr>
        <w:spacing w:after="0" w:line="179" w:lineRule="exact"/>
        <w:rPr>
          <w:sz w:val="20"/>
          <w:szCs w:val="20"/>
          <w:color w:val="auto"/>
        </w:rPr>
      </w:pPr>
    </w:p>
    <w:p>
      <w:pPr>
        <w:ind w:left="340" w:right="8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registering up to 313,333 shares of our Common Stock which would be issuable to Ionic pursuant to the ELOC Purchase Agreement, all of which would be issuable as Purchase Shares. The above table assumes that sales are made to Ionic without regard for the 4.99% Beneficial Ownership Limitation.</w:t>
      </w:r>
    </w:p>
    <w:p>
      <w:pPr>
        <w:spacing w:after="0" w:line="175"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is based on 1,331,790 shares outstanding as of October 9, 2024 , adjusted to include the issuance of the number of our Common Stock set forth in the adjacent column which we would have issued to Ionic under the ELOC Purchase Agreement based on the applicable assumed purchase price per Purchase Share.</w:t>
      </w:r>
    </w:p>
    <w:p>
      <w:pPr>
        <w:spacing w:after="0" w:line="17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any doubt, this price would reflect the purchase price after calculation (i.e., after discounts to the market price of our shares) in accordance with the terms of the ELOC Purchase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of the shares of Common Stock offered by this prospectus are being registered for the account of the selling stockholder. We will not receive any of the proceeds from the sale of these shares of Common Stock. We have agreed to pay all costs, expenses and fees relating to the registration of the shares of Common Stock covered by this prospectus. The selling stockholder will bear all commissions and discounts, if any, attributable to the sale of the shares of Common Stock. The prices at which the shares of Common Stock covered by this prospectus may actually be sold will be determined by the prevailing public market price for shares of our Common Stock, by negotiations between the selling stockholder and buyers of our Common Stock in private transactions or as otherwise described in “Plan of Distribution.”</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However, we may receive gross proceeds of as much as up to $15,000,000 from the sale of shares under the ELOC Purchase Agreement with Ionic. We intend to use the net proceeds from any sale of shares to Ionic under the ELOC Purchase Agreement for general corporate purposes, which may include repayment of debt, capital expenditures and payment of operational expenses. This anticipated use of net proceeds from the sale of our Common Stock to Ionic under the ELOC Purchase Agreement represents our intentions based upon our current plans and business conditions.</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provides information, as of October 9, 2024, about the beneficial ownership of our Company’s Common Stock by: (1) the persons known to us to be beneficial owners of more than 5% of our Company’s outstanding Common Stock; (2) our directors; (3) each named executive officer; and (4) our directors and executive officers as a group. To the best of our knowledge, each such person has sole voting and investment power over the shares shown in this table, except as otherwise indicated. As of October 9, 2024, there were 58 record holders and 1,331,790 outstanding shares of our Company’s Common Stock.</w:t>
      </w:r>
    </w:p>
    <w:p>
      <w:pPr>
        <w:spacing w:after="0" w:line="18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October 9, 2024 through the exercise of any warrant, stock option or other right. The inclusion in this prospectus of such shares, however, does not constitute an admission that the named stockholder is a direct or indirect beneficial owner of such shares. Common stock subject to options or warrants currently exercisable, or exercisable within 60 days after October 9, 2024, are deemed outstanding for the purpose of computing the percentage ownership of the person holding those options or warrants but are not deemed outstanding for computing the percentage ownership of any other person.</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Directors and Executive Officers </w:t>
            </w:r>
            <w:r>
              <w:rPr>
                <w:rFonts w:ascii="Times New Roman" w:cs="Times New Roman" w:eastAsia="Times New Roman" w:hAnsi="Times New Roman"/>
                <w:sz w:val="29"/>
                <w:szCs w:val="29"/>
                <w:b w:val="1"/>
                <w:bCs w:val="1"/>
                <w:color w:val="auto"/>
                <w:vertAlign w:val="superscript"/>
              </w:rPr>
              <w:t>(2)</w:t>
            </w:r>
          </w:p>
        </w:tc>
        <w:tc>
          <w:tcPr>
            <w:tcW w:w="3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7"/>
        </w:trPr>
        <w:tc>
          <w:tcPr>
            <w:tcW w:w="68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Raymond Chang </w:t>
            </w:r>
            <w:r>
              <w:rPr>
                <w:rFonts w:ascii="Times New Roman" w:cs="Times New Roman" w:eastAsia="Times New Roman" w:hAnsi="Times New Roman"/>
                <w:sz w:val="29"/>
                <w:szCs w:val="29"/>
                <w:color w:val="auto"/>
                <w:vertAlign w:val="superscript"/>
              </w:rPr>
              <w:t>(3)</w:t>
            </w:r>
          </w:p>
        </w:tc>
        <w:tc>
          <w:tcPr>
            <w:tcW w:w="3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6,832,460</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49.99%</w:t>
            </w: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David Kessler</w:t>
            </w:r>
          </w:p>
        </w:tc>
        <w:tc>
          <w:tcPr>
            <w:tcW w:w="3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13,683</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Brian Towns</w:t>
            </w:r>
          </w:p>
        </w:tc>
        <w:tc>
          <w:tcPr>
            <w:tcW w:w="3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13,608</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r>
      <w:tr>
        <w:trPr>
          <w:trHeight w:val="257"/>
        </w:trPr>
        <w:tc>
          <w:tcPr>
            <w:tcW w:w="68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I-Tseng Jenny Chan </w:t>
            </w:r>
            <w:r>
              <w:rPr>
                <w:rFonts w:ascii="Times New Roman" w:cs="Times New Roman" w:eastAsia="Times New Roman" w:hAnsi="Times New Roman"/>
                <w:sz w:val="29"/>
                <w:szCs w:val="29"/>
                <w:color w:val="auto"/>
                <w:vertAlign w:val="superscript"/>
              </w:rPr>
              <w:t>(4)</w:t>
            </w:r>
          </w:p>
        </w:tc>
        <w:tc>
          <w:tcPr>
            <w:tcW w:w="3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5,522,024</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49.99%</w:t>
            </w: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Max Holtzman</w:t>
            </w:r>
          </w:p>
        </w:tc>
        <w:tc>
          <w:tcPr>
            <w:tcW w:w="3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4,617</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Timothy Mahoney</w:t>
            </w:r>
          </w:p>
        </w:tc>
        <w:tc>
          <w:tcPr>
            <w:tcW w:w="3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4,107</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Krishnan Varier</w:t>
            </w:r>
          </w:p>
        </w:tc>
        <w:tc>
          <w:tcPr>
            <w:tcW w:w="3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3,902</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All Directors and Executive Officers as a Group (7 persons) </w:t>
            </w:r>
            <w:r>
              <w:rPr>
                <w:rFonts w:ascii="Times New Roman" w:cs="Times New Roman" w:eastAsia="Times New Roman" w:hAnsi="Times New Roman"/>
                <w:sz w:val="29"/>
                <w:szCs w:val="29"/>
                <w:color w:val="auto"/>
                <w:vertAlign w:val="superscript"/>
              </w:rPr>
              <w:t>(5)</w:t>
            </w:r>
          </w:p>
        </w:tc>
        <w:tc>
          <w:tcPr>
            <w:tcW w:w="3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7,165,423</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51.95%</w:t>
            </w:r>
          </w:p>
        </w:tc>
      </w:tr>
    </w:tbl>
    <w:p>
      <w:pPr>
        <w:spacing w:after="0" w:line="60" w:lineRule="exact"/>
        <w:rPr>
          <w:sz w:val="20"/>
          <w:szCs w:val="20"/>
          <w:color w:val="auto"/>
        </w:rPr>
      </w:pPr>
    </w:p>
    <w:p>
      <w:pPr>
        <w:ind w:left="880" w:hanging="332"/>
        <w:spacing w:after="0"/>
        <w:tabs>
          <w:tab w:leader="none" w:pos="8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ind w:left="340" w:right="280" w:hanging="332"/>
        <w:spacing w:after="0" w:line="272" w:lineRule="auto"/>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percentages shown with respect to any identified individual or group are calculated by dividing: (i) the sum of (a) the number of shares of Common Stock actually owned as of October 9, 2024 plus (b) the number of shares of Common Stock that may be acquired through the exercise of stock options, warrants or any other rights, the conversion of convertible securities, or the vesting of restricted stock units within 60 days thereof by</w:t>
      </w:r>
    </w:p>
    <w:p>
      <w:pPr>
        <w:spacing w:after="0" w:line="1" w:lineRule="exact"/>
        <w:rPr>
          <w:rFonts w:ascii="Times New Roman" w:cs="Times New Roman" w:eastAsia="Times New Roman" w:hAnsi="Times New Roman"/>
          <w:sz w:val="17"/>
          <w:szCs w:val="17"/>
          <w:color w:val="auto"/>
        </w:rPr>
      </w:pPr>
    </w:p>
    <w:p>
      <w:pPr>
        <w:ind w:left="340" w:right="20" w:hanging="8"/>
        <w:spacing w:after="0" w:line="260" w:lineRule="auto"/>
        <w:tabs>
          <w:tab w:leader="none" w:pos="60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1,331,790 shares of Common Stock outstanding as of October 9, 2024, plus the amount referenced in clause (i)(b) for such individual or group.</w:t>
      </w:r>
    </w:p>
    <w:p>
      <w:pPr>
        <w:spacing w:after="0" w:line="1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the directors and executive officers listed above is c/o Agrify Corporation, 2468 Industrial Row Dr., Troy, MI 48084.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332" w:hanging="332"/>
        <w:spacing w:after="0" w:line="251" w:lineRule="auto"/>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38 shares of Common Stock held individually, (ii) up to 423 shares of Common Stock issuable upon exercise of stock options held by Mr. Chang that are exercisable within 60 days of October 9, 2024, (iii) 382,658 shares of Common Stock held by RTC3 2020 Irrevocable Trust (“RTC3”), of which Mr. Chang retains the ability to remove the independent trustee, (iv) warrants to purchase 15,417 shares of Common Stock held by RTC3 that are exercisable within 60 days of the date hereof, subject to a 9.99% beneficial ownership limitation, (v) 43 shares of Common Stock held by NXT3J Capital, LLC (“NXT3J”), an entity controlled by Mr. Chang, (vi) that number of shares of Common Stock issuable to the New Lender, an entity controlled by Mr. Chang, issuable to Mr. Chang upon the conversion of that certain Senior Secured Amended, Restated and Consolidated Convertible Note, due 2025 described herein previously, the Convertible Note, with an outstanding principal amount of $3,500,000.00 and a conversion price of $21.90 per share (as may be adjusted per the Senior Secured Amended, Restated and Consolidated Convertible Note due 2025 from time to time), which conversion is subject to a 49.99% beneficial ownership limitation; provided that the New Lender may assign its right to receive shares of Common Stock upon conversion to Mr. Chang and/or Ms. I-Tseng Jenny Chan, in which case the 49.99% beneficial ownership limitation will apply to each of them individually, (vii) that number of shares of Common Stock issuable to the New Lender or, at the New Lender’s election, pre-funded warrants to purchase shares of Common Stock issuable to the New Lender upon conversion of that certain Junior Secured Convertible Promissory Note (“New Junior Note”) due July 1, 2025 described herein with an outstanding principal amount of $3,000,000.00 and a conversion price of $3.9495 (as may be adjusted per the New Junior Note), which pre-funded warrants are exercisable subject to a 49.99% beneficial ownership limitation, (viii) pre-funded warrants to purchase 5,452,288 shares of Common Stock held by the New Lender that are exercisable within 60 days of October 9, 2024, as amended by the CP Warrant Amendment, and that certain Amendment to Pre-Funded Common Stock Purchase Warrant, dated September 27, 2024 (the “CP September Warrant Amendment”), and subject to a 49.99% beneficial ownership limitation, (ix) pre-funded warrants to purchase 1,085,123 shares of Common Stock held by GIC Acquisition LLC (“GIC Acquisition”) that are exercisable within 60 days of October 9, 2024, as amended by that certain Amendment to Pre-Funded Common Stock Purchase Warrant, dated August 28, 2024, by and between Issuer and GIC Acquisition, and subject to a 49.99% beneficial ownership limitation, (x) options to purchase 13 shares of Common Stock that are held by Raymond Chang Jr., Mr. Chang’s son, that are exercisable within 60 days of October 9, 2024, (xi) 105,263 shares of Common Stock held individually by Chinwei Wang, Mr. Chang’s spouse, (xii) 4,825 shares of Common Stock underlying restricted stock units held by Raymond Chang, Jr. that will vest within 60 days of October 9, 2024, and (xiii) 14,508 shares of Common Stock underlying restricted stock units held by Mr. Chang that will vest within 60 days of October 9, 2024, or that have vested but have not yet settled. Does not include 2,184 shares of Common Stock underlying time-based restricted stock units that will not vest within 60 days of the day hereof granted to Raymond Chang, Jr., under the Plan. Does not include 22,516 shares of Common Stock underlying time-based restricted stock units that will not vest within 60 days of the day hereof granted to Mr. Chang under the Plan. Mr. Chang disclaims beneficial ownership with respect to the shares and warrants held by RTC3, the shares held by NXT3J, the shares entitled to the New Lender upon conversion of its Convertible Note, the options and shares held by Raymond Chang Jr., and the shares held by Chinwei Wang, in each case except to the extent of his pecuniary interest therein. The information set forth above and in this note (3) is based on the Schedule 13D amendment filed by Mr. Chang with the SEC on September 4, 2024.</w:t>
      </w:r>
    </w:p>
    <w:p>
      <w:pPr>
        <w:spacing w:after="0" w:line="228" w:lineRule="exact"/>
        <w:rPr>
          <w:rFonts w:ascii="Times New Roman" w:cs="Times New Roman" w:eastAsia="Times New Roman" w:hAnsi="Times New Roman"/>
          <w:sz w:val="18"/>
          <w:szCs w:val="18"/>
          <w:color w:val="auto"/>
        </w:rPr>
      </w:pPr>
    </w:p>
    <w:p>
      <w:pPr>
        <w:ind w:left="332" w:right="40" w:hanging="332"/>
        <w:spacing w:after="0" w:line="252" w:lineRule="auto"/>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67,997 shares of Common Stock held by M Zion Capital, LLC (“M Zion Capital”), an entity controlled by Ms. Chan, (ii) 67,997 shares of Common Stock held by M Olivet Capital, LLC (“M Olivet Capital”), an entity controlled by Ms. Chan, (iii) 67,997 shares of Common Stock held by M Cannan Capital, LLC (“M Cannan Capital”), an entity controlled by Ms. Chan, (iv) that number of shares of Common Stock issuable to the New Lender, an entity controlled by Ms. Chan, issuable to Ms. Chan upon the conversion of the Convertible Note, which conversion is subject to a 49.99% beneficial ownership limitation; provided that the New Lender may assign its right to receive shares of common stock upon conversion to Mr. Chang and/or Ms. Chan, in which case the 49.99% beneficial ownership limitation will apply to each of them individually, (v) that number of shares of Common Stock issuable to the New Lender or, at the New Lender’s election, pre-funded warrants to purchase shares of Common Stock issuable to the New Lender upon conversion of the New Junior Note, which pre-funded warrants are exercisable subject to a 49.99% beneficial ownership limitation, and (vi) pre-funded warrants to purchase 5,452,288 shares of Common Stock held by the New Lender that are exercisable within 60 days of the date hereof, as amended by the CP Warrant Amendment and the CP September Warrant Amendment, and subject to a 49.99% beneficial ownership limitation. Ms. Chan disclaims beneficial ownership with respect to the shares held by M Zion Capital, the shares held by M Olivet Capital, the shares held by M Cannan Capital and the shares entitled to the New Lender upon conversion of its Convertible Note, in each case except to the extent of her pecuniary interest therein. The information set forth above and in this note (4) is based on the Schedule 13D amendment filed by Ms. Chan with the SEC on September 4, 2024.</w:t>
      </w:r>
    </w:p>
    <w:p>
      <w:pPr>
        <w:spacing w:after="0" w:line="22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shares subject to options that are exercisable within 60 days of October 9, 2024: Mr. Kessler, 53; Mr. Mahoney, 31; and</w:t>
      </w:r>
    </w:p>
    <w:p>
      <w:pPr>
        <w:spacing w:after="0" w:line="27" w:lineRule="exact"/>
        <w:rPr>
          <w:rFonts w:ascii="Times New Roman" w:cs="Times New Roman" w:eastAsia="Times New Roman" w:hAnsi="Times New Roman"/>
          <w:sz w:val="18"/>
          <w:szCs w:val="18"/>
          <w:color w:val="auto"/>
        </w:rPr>
      </w:pPr>
    </w:p>
    <w:p>
      <w:pPr>
        <w:ind w:left="332" w:right="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Varier, 31. Includes the following shares subject to restricted stock units that vest within 60 days of October 9, 2024: Mr. Kessler, 13,614; Mr. Towns, 13,603; Mr. Holtzman, 4,612; Mr. Mahoney, 4,071; and Mr. Varier, 3,866.</w:t>
      </w:r>
    </w:p>
    <w:p>
      <w:pPr>
        <w:spacing w:after="0" w:line="3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shares of Common Stock offered under this prospectus may be offered from time to time by the selling stockholder named below or by any of their respective pledgees, donees, transferees or other successors-in-interest. As used in this prospectus, the term “selling stockholder” includes the selling stockholder identified below and any donees, pledgees, transferees or other successors-in-interest selling shares received after the date of this prospectus from the selling stockholder as a gift, pledge or other non-sale related transfer. The selling stockholder named below acquired the shares of our Common Stock being offered under this prospectus directly from us. We issued the shares of Common Stock to the selling stockholder in reliance on an exemption from the registration requirements of the Securities Act pursuant to Section 4(a)(2) of the Securities Act and Rule 506 promulgated thereunder.</w:t>
      </w:r>
    </w:p>
    <w:p>
      <w:pPr>
        <w:spacing w:after="0" w:line="187" w:lineRule="exact"/>
        <w:rPr>
          <w:sz w:val="20"/>
          <w:szCs w:val="20"/>
          <w:color w:val="auto"/>
        </w:rPr>
      </w:pPr>
    </w:p>
    <w:p>
      <w:pPr>
        <w:jc w:val="both"/>
        <w:ind w:right="100" w:firstLine="648"/>
        <w:spacing w:after="0" w:line="269" w:lineRule="auto"/>
        <w:rPr>
          <w:sz w:val="20"/>
          <w:szCs w:val="20"/>
          <w:color w:val="auto"/>
        </w:rPr>
      </w:pPr>
      <w:r>
        <w:rPr>
          <w:rFonts w:ascii="Times New Roman" w:cs="Times New Roman" w:eastAsia="Times New Roman" w:hAnsi="Times New Roman"/>
          <w:sz w:val="17"/>
          <w:szCs w:val="17"/>
          <w:color w:val="auto"/>
        </w:rPr>
        <w:t>The following table sets forth as of October 9, 2024 : (1) the name of the selling stockholder for whom we are registering shares of our Common Stock under the registration statement of which this prospectus is a part, (2) the number of shares of our Common Stock beneficially owned by the selling stockholder prior to the offering, determined in accordance with Rule 13d-3 under the Exchange Act, (3) the number of shares of our Common Stock that may be offered by the selling stockholder under this prospectus and (4) the number of shares of our Common Stock to be owned by the selling stockholder after completion of this offering. We will not receive any of the proceeds from the sale of the shares of our Common Stock offered under this prospectus.</w:t>
      </w:r>
    </w:p>
    <w:p>
      <w:pPr>
        <w:spacing w:after="0" w:line="3"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The amounts and information set forth below are based upon information provided to us by the selling stockholder or its representatives, or on our records, as of October 9, 2024. The percentage of beneficial ownership for the following table is based on 1,331,790 shares of our Common Stock outstanding as of October 9, 2024.</w:t>
      </w:r>
    </w:p>
    <w:p>
      <w:pPr>
        <w:spacing w:after="0" w:line="18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To our knowledge, except as indicated in the footnotes to this table, the security holder named in the table has sole voting and investment power with respect to all shares of Common Stock shown in the table to be beneficially owned by the security holder. The selling stockholder has not previously had any position, office or other material relationship with us or any of our predecessors or affiliates within the past three years. In addition, based on information provided to us, the selling stockholder, if an affiliate of broker-dealer, has not purchased the shares of Common Stock outside the ordinary course of business or, at the time of their acquisition of such shares of Common Stock, had any agreements, understandings or arrangements with any other persons, directly or indirectly, to dispose of the shares of Common Stock. Information concerning the selling stockholder may change from time to time, and any changed information will be set forth in supplements to this prospectus to the extent required.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Shares of</w:t>
            </w: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 Stock Beneficially</w:t>
            </w: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Owned After Completion</w:t>
            </w:r>
          </w:p>
        </w:tc>
      </w:tr>
      <w:tr>
        <w:trPr>
          <w:trHeight w:val="277"/>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Prior to the Offering</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660" w:type="dxa"/>
            <w:vAlign w:val="bottom"/>
            <w:gridSpan w:val="4"/>
          </w:tcPr>
          <w:p>
            <w:pPr>
              <w:jc w:val="center"/>
              <w:ind w:right="180"/>
              <w:spacing w:after="0" w:line="270" w:lineRule="exact"/>
              <w:rPr>
                <w:sz w:val="20"/>
                <w:szCs w:val="20"/>
                <w:color w:val="auto"/>
              </w:rPr>
            </w:pPr>
            <w:r>
              <w:rPr>
                <w:rFonts w:ascii="Times New Roman" w:cs="Times New Roman" w:eastAsia="Times New Roman" w:hAnsi="Times New Roman"/>
                <w:sz w:val="18"/>
                <w:szCs w:val="18"/>
                <w:b w:val="1"/>
                <w:bCs w:val="1"/>
                <w:color w:val="auto"/>
                <w:w w:val="96"/>
              </w:rPr>
              <w:t xml:space="preserve">of the Offering </w:t>
            </w:r>
            <w:r>
              <w:rPr>
                <w:rFonts w:ascii="Times New Roman" w:cs="Times New Roman" w:eastAsia="Times New Roman" w:hAnsi="Times New Roman"/>
                <w:sz w:val="29"/>
                <w:szCs w:val="29"/>
                <w:b w:val="1"/>
                <w:bCs w:val="1"/>
                <w:color w:val="auto"/>
                <w:w w:val="96"/>
                <w:vertAlign w:val="superscript"/>
              </w:rPr>
              <w:t>(1)</w:t>
            </w:r>
          </w:p>
        </w:tc>
      </w:tr>
      <w:tr>
        <w:trPr>
          <w:trHeight w:val="180"/>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45"/>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Being Offered</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Borders>
              <w:bottom w:val="single" w:sz="8" w:color="CCEEFF"/>
            </w:tcBorders>
          </w:tcPr>
          <w:p>
            <w:pPr>
              <w:spacing w:after="0"/>
              <w:rPr>
                <w:sz w:val="21"/>
                <w:szCs w:val="21"/>
                <w:color w:val="auto"/>
              </w:rPr>
            </w:pPr>
          </w:p>
        </w:tc>
      </w:tr>
      <w:tr>
        <w:trPr>
          <w:trHeight w:val="297"/>
        </w:trPr>
        <w:tc>
          <w:tcPr>
            <w:tcW w:w="4480" w:type="dxa"/>
            <w:vAlign w:val="bottom"/>
            <w:gridSpan w:val="2"/>
            <w:shd w:val="clear" w:color="auto" w:fill="CCEEFF"/>
          </w:tcPr>
          <w:p>
            <w:pPr>
              <w:ind w:left="40"/>
              <w:spacing w:after="0" w:line="296" w:lineRule="exact"/>
              <w:rPr>
                <w:sz w:val="20"/>
                <w:szCs w:val="20"/>
                <w:color w:val="auto"/>
              </w:rPr>
            </w:pPr>
            <w:r>
              <w:rPr>
                <w:rFonts w:ascii="Times New Roman" w:cs="Times New Roman" w:eastAsia="Times New Roman" w:hAnsi="Times New Roman"/>
                <w:sz w:val="18"/>
                <w:szCs w:val="18"/>
                <w:color w:val="auto"/>
              </w:rPr>
              <w:t xml:space="preserve">Ionic Ventures, LLC </w:t>
            </w:r>
            <w:r>
              <w:rPr>
                <w:rFonts w:ascii="Times New Roman" w:cs="Times New Roman" w:eastAsia="Times New Roman" w:hAnsi="Times New Roman"/>
                <w:sz w:val="29"/>
                <w:szCs w:val="29"/>
                <w:color w:val="auto"/>
                <w:vertAlign w:val="superscript"/>
              </w:rPr>
              <w:t>(2)</w:t>
            </w: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(3)</w:t>
            </w:r>
          </w:p>
        </w:tc>
        <w:tc>
          <w:tcPr>
            <w:tcW w:w="10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313,333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313,333</w:t>
            </w:r>
          </w:p>
        </w:tc>
        <w:tc>
          <w:tcPr>
            <w:tcW w:w="3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91"/>
              </w:rPr>
              <w:t>(3)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18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all shares of Common Stock being offered under this prospectus are sold. The percentage of beneficial ownership after completion of the offering is based on 1,645,123 shares of Common Stock, consisting of 1,331,790 shares of Common Stock outstanding as of October 9, 2024 and the 313,333 shares of Common Stock being offered under this prospectus.</w:t>
      </w:r>
    </w:p>
    <w:p>
      <w:pPr>
        <w:spacing w:after="0" w:line="175" w:lineRule="exact"/>
        <w:rPr>
          <w:rFonts w:ascii="Times New Roman" w:cs="Times New Roman" w:eastAsia="Times New Roman" w:hAnsi="Times New Roman"/>
          <w:sz w:val="18"/>
          <w:szCs w:val="18"/>
          <w:color w:val="auto"/>
        </w:rPr>
      </w:pPr>
    </w:p>
    <w:p>
      <w:pPr>
        <w:ind w:left="340" w:right="8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Brendan O’Neil and Keith Coulston are the managers of Ionic Ventures, LLC and in such capacity have joint voting and dispositive power over shares held by Ionic Ventures, LLC. Mr. O’Neil and Mr. Coulston each disclaim beneficial ownership of the reported shares of Common Stock except to the extent of their pecuniary interest therein. Ionic Ventures, LLC is not a licensed broker dealer or an affiliate of a licensed broker dealer. The address of Ionic Ventures, LLC is 3053 Fillmore Street, Ste. 256, San Francisco, CA 94123.</w:t>
      </w:r>
    </w:p>
    <w:p>
      <w:pPr>
        <w:spacing w:after="0" w:line="179"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the selling stockholder prior to and after this offering is limited by the restriction on its ability to beneficially own more than 4.99% of our outstanding Common Stock pursuant to the ELOC Purchase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INFORMATION FOR SECURITIES AND DIVIDEND POLICY</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Nasdaq under the symbol “AGFY”. On October 18, 2024, the last reported sale price of our Common Stock as reported by Nasdaq was $4.0056 per share. As of such date, we had approximately 58 stockholders of record.</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prospectus may also contain trademarks, service marks and trade names of other companies,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some of the copyrights, trade names and trademarks referred to in this prospectus are listed without their, ©, ® and ™ symbols, but we will assert, to the fullest extent under applicable law, our rights to our copyrights, trade names and trademarks. All other trademarks are the property of their respective owners.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October 9, 2024, there were 58 holders of record of our Common Stock. Such numbers do not include beneficial owners holding shares of our Common Stock in nominee or “street” name through various brokerage firms.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after considering our financial condition, results of operations, capital requirements, business prospects and other factors the Board deems relevant, and subject to the restrictions contained in our current or future financing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35,000,000 shares of Common Stock, par value $0.001 per share, and 3,000,000 shares of preferred stock, par value $0.001 per share. The only equity securities currently outstanding are shares of Common Stock. As of October 9, 2024, there were</w:t>
      </w:r>
    </w:p>
    <w:p>
      <w:pPr>
        <w:ind w:right="160"/>
        <w:spacing w:after="0" w:line="255" w:lineRule="auto"/>
        <w:rPr>
          <w:sz w:val="20"/>
          <w:szCs w:val="20"/>
          <w:color w:val="auto"/>
        </w:rPr>
      </w:pPr>
      <w:r>
        <w:rPr>
          <w:rFonts w:ascii="Times New Roman" w:cs="Times New Roman" w:eastAsia="Times New Roman" w:hAnsi="Times New Roman"/>
          <w:sz w:val="18"/>
          <w:szCs w:val="18"/>
          <w:color w:val="auto"/>
        </w:rPr>
        <w:t>1,331,790 shares of Common Stock outstanding, warrants outstanding to purchase 6,308,434 shares of our Common Stock, 668 shares of Common Stock subject to outstanding stock options, 149,977 shares of Common Stock subject to unvested restricted stock units, and 619,893 shares of Common Stock underlying convertible notes.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 and By-laws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Nevada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0" w:name="page41"/>
    <w:bookmarkEnd w:id="40"/>
    <w:p>
      <w:pPr>
        <w:ind w:firstLine="648"/>
        <w:spacing w:after="0" w:line="253" w:lineRule="auto"/>
        <w:rPr>
          <w:sz w:val="20"/>
          <w:szCs w:val="20"/>
          <w:color w:val="auto"/>
        </w:rPr>
      </w:pPr>
      <w:r>
        <w:rPr>
          <w:rFonts w:ascii="Times New Roman" w:cs="Times New Roman" w:eastAsia="Times New Roman" w:hAnsi="Times New Roman"/>
          <w:sz w:val="18"/>
          <w:szCs w:val="18"/>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94"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w:t>
      </w:r>
    </w:p>
    <w:p>
      <w:pPr>
        <w:spacing w:after="0" w:line="1" w:lineRule="exact"/>
        <w:rPr>
          <w:sz w:val="20"/>
          <w:szCs w:val="20"/>
          <w:color w:val="auto"/>
        </w:rPr>
      </w:pPr>
    </w:p>
    <w:p>
      <w:pPr>
        <w:ind w:firstLine="8"/>
        <w:spacing w:after="0" w:line="253"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prior to the date the interested stockholder obtained such status; or the combination is approved by the Board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19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business combination provisions do not apply to a person after the expiration of four years after the person first became an interested stockholder.</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“control share” provisions of Sections 78.378 to 78.3793, inclusive, of the NRS, apply to “issuing corporations” that are Nevada corporations with at least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1" w:name="page42"/>
    <w:bookmarkEnd w:id="41"/>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92"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1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transfer agent for our Common Stock is Broadridge Corporate Issuer Solutions, Inc., 51 Mercedes Way, Edgewood, New York 11717.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shares of Common Stock are listed on Nasdaq under the symbol “AGFY.”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Common Stock listed in the table appearing under “Selling Stockholder” are being registered to permit the resale of Common Stock by the selling stockholder from time to time after the date of this prospectus. There can be no assurance that the selling stockholder will sell any or all of the Common Stock offered hereby. We will not receive any of the proceeds from the sale of the Common Stock by the selling stockholder.</w:t>
      </w:r>
    </w:p>
    <w:p>
      <w:pPr>
        <w:spacing w:after="0" w:line="17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selling stockholder may sell all or a portion of the Common Stock offered hereby from time to time directly to purchasers or through one or more underwriters, broker-dealers or agents, at market prices prevailing at the time of sale (but not at a fixed price), by a variety of methods including the following:</w:t>
      </w:r>
    </w:p>
    <w:p>
      <w:pPr>
        <w:spacing w:after="0" w:line="176"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over-the-counter market on which the Common Stock may be listed or quoted at the time of sale;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52"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a broker-dealer may attempt to sell the shares as agent but may position and resell a portion of the block as principal to facilitate the transaction;</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a subsequent resale by the broker-dealer for its account;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to or through market makers into an existing market for Common Stock;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negotiation transactions;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such exchanges or in the over-the-counter market;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under applicable law.</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will pay the reasonable expenses incident to the registration and offering of the Common Stock offered hereby. We have agreed to indemnify Ionic and certain other persons against certain liabilities in connection with the offering of shares offered hereby, including liabilities arising under the Securities Act or if such indemnity is unavailable, to contribute amounts required to be paid in respect of such liabilities. Ionic has agreed to indemnify us against liabilities under the Securities Act that may arise from certain written information furnished to us by Ionic specifically for use in this prospectus or, if such indemnity is unavailable, to contribute amounts required to be paid in respect of such liabilities.</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 and any broker-dealers or agents that are involved in selling the shares of Common Stock registered hereunder may be deemed to be “underwriters” within the meaning of the Securities Act in connection with such sales. In such event, any commissions received by such broker-dealers or agents and any profit on the resale of the shares of Common Stock purchased by them may be deemed to be underwriting commissions or discounts under the Securities Act. The selling stockholder have informed us that it does not have any written or oral agreement or understanding, directly or indirectly, with any person to distribute the shares of Common Stock.</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Ionic has represented to us that at no time prior to the ELOC Purchase Agreement has Ionic or its agents, representatives or affiliates engaged in or effected, in any manner whatsoever, directly or indirectly, any short sale (as such term is defined in Rule 200 of Regulation SHO of the Exchange Act) of our Ionic or any hedging transaction, which establishes a net short position with respect to our Common Stock.</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have advised Ionic that it is required to comply with Regulation M promulgated under the Exchange Act. With certain exceptions, Regulation M precludes a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Certain legal matters with respect to the validity of the shares of Common Stock offered by this prospectus will be passed upon for us by Fennemore Craig, P.C., Las Vegas, Nevada. Sullivan &amp; Worcester LLP, New York, New York is acting as counsel to the selling stockholder in connection with this offering.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Marcum LLP, our former independent registered public accounting firm, has audited our consolidated financial statements as of December 31, 2023 and 2022 and for the years then ended, which includes an explanatory paragraph relating to the Company's ability to continue as a going concern, contained in this registration statement given on their authority as experts in accounting and auditing.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The SEC allows us to “incorporate by reference” information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5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001-39946):</w:t>
      </w:r>
    </w:p>
    <w:p>
      <w:pPr>
        <w:spacing w:after="0" w:line="162" w:lineRule="exact"/>
        <w:rPr>
          <w:sz w:val="20"/>
          <w:szCs w:val="20"/>
          <w:color w:val="auto"/>
        </w:rPr>
      </w:pPr>
    </w:p>
    <w:p>
      <w:pPr>
        <w:ind w:left="980" w:right="260" w:hanging="324"/>
        <w:spacing w:after="0" w:line="282" w:lineRule="auto"/>
        <w:tabs>
          <w:tab w:leader="none" w:pos="980" w:val="left"/>
        </w:tabs>
        <w:numPr>
          <w:ilvl w:val="0"/>
          <w:numId w:val="21"/>
        </w:numPr>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auto"/>
          </w:rPr>
          <w:t xml:space="preserve">Our Annual Report on Form 10-K for the fiscal year ended December 31, 2023 filed with the SEC on </w:t>
        </w:r>
        <w:r>
          <w:rPr>
            <w:rFonts w:ascii="Times New Roman" w:cs="Times New Roman" w:eastAsia="Times New Roman" w:hAnsi="Times New Roman"/>
            <w:sz w:val="18"/>
            <w:szCs w:val="18"/>
            <w:u w:val="single" w:color="auto"/>
            <w:color w:val="0000EE"/>
          </w:rPr>
          <w:t>April 15, 2024</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29, 2024</w:t>
        </w:r>
        <w:r>
          <w:rPr>
            <w:rFonts w:ascii="Times New Roman" w:cs="Times New Roman" w:eastAsia="Times New Roman" w:hAnsi="Times New Roman"/>
            <w:sz w:val="18"/>
            <w:szCs w:val="18"/>
            <w:color w:val="000000"/>
          </w:rPr>
          <w:t>;</w:t>
        </w:r>
      </w:hyperlink>
    </w:p>
    <w:p>
      <w:pPr>
        <w:spacing w:after="0" w:line="188" w:lineRule="exact"/>
        <w:rPr>
          <w:rFonts w:ascii="Times New Roman" w:cs="Times New Roman" w:eastAsia="Times New Roman" w:hAnsi="Times New Roman"/>
          <w:sz w:val="18"/>
          <w:szCs w:val="18"/>
          <w:color w:val="0000EE"/>
        </w:rPr>
      </w:pPr>
    </w:p>
    <w:p>
      <w:pPr>
        <w:ind w:left="980" w:right="260" w:hanging="324"/>
        <w:spacing w:after="0" w:line="282" w:lineRule="auto"/>
        <w:tabs>
          <w:tab w:leader="none" w:pos="980" w:val="left"/>
        </w:tabs>
        <w:numPr>
          <w:ilvl w:val="0"/>
          <w:numId w:val="21"/>
        </w:numPr>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auto"/>
          </w:rPr>
          <w:t xml:space="preserve">Our Quarterly Report on Form 10-Q for the quarter ended March 31, 2024 filed with the SEC on </w:t>
        </w:r>
        <w:r>
          <w:rPr>
            <w:rFonts w:ascii="Times New Roman" w:cs="Times New Roman" w:eastAsia="Times New Roman" w:hAnsi="Times New Roman"/>
            <w:sz w:val="18"/>
            <w:szCs w:val="18"/>
            <w:u w:val="single" w:color="auto"/>
            <w:color w:val="0000EE"/>
          </w:rPr>
          <w:t>May 21, 2024</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August 14,</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our Quarterly Report on Form 10-Q for the quarter ended June 30, 2024 filed with the SEC on</w:t>
        </w:r>
        <w:r>
          <w:rPr>
            <w:rFonts w:ascii="Times New Roman" w:cs="Times New Roman" w:eastAsia="Times New Roman" w:hAnsi="Times New Roman"/>
            <w:sz w:val="18"/>
            <w:szCs w:val="18"/>
            <w:color w:val="0000EE"/>
          </w:rPr>
          <w:t xml:space="preserve"> </w:t>
        </w:r>
      </w:hyperlink>
      <w:hyperlink r:id="rId65">
        <w:r>
          <w:rPr>
            <w:rFonts w:ascii="Times New Roman" w:cs="Times New Roman" w:eastAsia="Times New Roman" w:hAnsi="Times New Roman"/>
            <w:sz w:val="18"/>
            <w:szCs w:val="18"/>
            <w:u w:val="single" w:color="auto"/>
            <w:color w:val="0000EE"/>
          </w:rPr>
          <w:t>August 14, 2024</w:t>
        </w:r>
      </w:hyperlink>
      <w:hyperlink r:id="rId64">
        <w:r>
          <w:rPr>
            <w:rFonts w:ascii="Times New Roman" w:cs="Times New Roman" w:eastAsia="Times New Roman" w:hAnsi="Times New Roman"/>
            <w:sz w:val="18"/>
            <w:szCs w:val="18"/>
            <w:color w:val="000000"/>
          </w:rPr>
          <w:t>;</w:t>
        </w:r>
      </w:hyperlink>
    </w:p>
    <w:p>
      <w:pPr>
        <w:spacing w:after="0" w:line="188" w:lineRule="exact"/>
        <w:rPr>
          <w:rFonts w:ascii="Times New Roman" w:cs="Times New Roman" w:eastAsia="Times New Roman" w:hAnsi="Times New Roman"/>
          <w:sz w:val="18"/>
          <w:szCs w:val="18"/>
          <w:color w:val="0000EE"/>
        </w:rPr>
      </w:pPr>
    </w:p>
    <w:p>
      <w:pPr>
        <w:ind w:left="980" w:hanging="324"/>
        <w:spacing w:after="0" w:line="258" w:lineRule="auto"/>
        <w:tabs>
          <w:tab w:leader="none" w:pos="980" w:val="left"/>
        </w:tabs>
        <w:numPr>
          <w:ilvl w:val="0"/>
          <w:numId w:val="2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66">
        <w:r>
          <w:rPr>
            <w:rFonts w:ascii="Times New Roman" w:cs="Times New Roman" w:eastAsia="Times New Roman" w:hAnsi="Times New Roman"/>
            <w:sz w:val="18"/>
            <w:szCs w:val="18"/>
            <w:u w:val="single" w:color="auto"/>
            <w:color w:val="0000EE"/>
          </w:rPr>
          <w:t>January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as set forth therein), </w:t>
      </w:r>
      <w:hyperlink r:id="rId67">
        <w:r>
          <w:rPr>
            <w:rFonts w:ascii="Times New Roman" w:cs="Times New Roman" w:eastAsia="Times New Roman" w:hAnsi="Times New Roman"/>
            <w:sz w:val="18"/>
            <w:szCs w:val="18"/>
            <w:u w:val="single" w:color="auto"/>
            <w:color w:val="0000EE"/>
          </w:rPr>
          <w:t>January 25, 2024</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January 31, 2024</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February 21,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as set forth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22,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as set forth therein)</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16,</w:t>
        </w:r>
      </w:hyperlink>
      <w:r>
        <w:rPr>
          <w:rFonts w:ascii="Times New Roman" w:cs="Times New Roman" w:eastAsia="Times New Roman" w:hAnsi="Times New Roman"/>
          <w:sz w:val="18"/>
          <w:szCs w:val="18"/>
          <w:color w:val="0000EE"/>
        </w:rPr>
        <w:t xml:space="preserve"> </w:t>
      </w:r>
      <w:hyperlink r:id="rId7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as set forth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20,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as set forth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22,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as set forth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26,</w:t>
        </w:r>
      </w:hyperlink>
      <w:r>
        <w:rPr>
          <w:rFonts w:ascii="Times New Roman" w:cs="Times New Roman" w:eastAsia="Times New Roman" w:hAnsi="Times New Roman"/>
          <w:sz w:val="18"/>
          <w:szCs w:val="18"/>
          <w:color w:val="0000EE"/>
        </w:rPr>
        <w:t xml:space="preserve"> </w:t>
      </w:r>
      <w:hyperlink r:id="rId7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1">
        <w:r>
          <w:rPr>
            <w:rFonts w:ascii="Times New Roman" w:cs="Times New Roman" w:eastAsia="Times New Roman" w:hAnsi="Times New Roman"/>
            <w:sz w:val="18"/>
            <w:szCs w:val="18"/>
            <w:u w:val="single" w:color="auto"/>
            <w:color w:val="0000EE"/>
          </w:rPr>
          <w:t>July 3, 2024</w:t>
        </w:r>
      </w:hyperlink>
      <w:hyperlink r:id="rId7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2">
        <w:r>
          <w:rPr>
            <w:rFonts w:ascii="Times New Roman" w:cs="Times New Roman" w:eastAsia="Times New Roman" w:hAnsi="Times New Roman"/>
            <w:sz w:val="18"/>
            <w:szCs w:val="18"/>
            <w:u w:val="single" w:color="auto"/>
            <w:color w:val="0000EE"/>
          </w:rPr>
          <w:t>July 22, 2024</w:t>
        </w:r>
      </w:hyperlink>
      <w:hyperlink r:id="rId7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3">
        <w:r>
          <w:rPr>
            <w:rFonts w:ascii="Times New Roman" w:cs="Times New Roman" w:eastAsia="Times New Roman" w:hAnsi="Times New Roman"/>
            <w:sz w:val="18"/>
            <w:szCs w:val="18"/>
            <w:u w:val="single" w:color="auto"/>
            <w:color w:val="0000EE"/>
          </w:rPr>
          <w:t>August 9, 2024</w:t>
        </w:r>
      </w:hyperlink>
      <w:hyperlink r:id="rId7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4">
        <w:r>
          <w:rPr>
            <w:rFonts w:ascii="Times New Roman" w:cs="Times New Roman" w:eastAsia="Times New Roman" w:hAnsi="Times New Roman"/>
            <w:sz w:val="18"/>
            <w:szCs w:val="18"/>
            <w:u w:val="single" w:color="auto"/>
            <w:color w:val="0000EE"/>
          </w:rPr>
          <w:t xml:space="preserve">August 13, 2024 </w:t>
        </w:r>
      </w:hyperlink>
      <w:hyperlink r:id="rId70">
        <w:r>
          <w:rPr>
            <w:rFonts w:ascii="Times New Roman" w:cs="Times New Roman" w:eastAsia="Times New Roman" w:hAnsi="Times New Roman"/>
            <w:sz w:val="18"/>
            <w:szCs w:val="18"/>
            <w:color w:val="000000"/>
          </w:rPr>
          <w:t>(other than as set forth therein),</w:t>
        </w:r>
        <w:r>
          <w:rPr>
            <w:rFonts w:ascii="Times New Roman" w:cs="Times New Roman" w:eastAsia="Times New Roman" w:hAnsi="Times New Roman"/>
            <w:sz w:val="18"/>
            <w:szCs w:val="18"/>
            <w:color w:val="0000EE"/>
          </w:rPr>
          <w:t xml:space="preserve"> </w:t>
        </w:r>
      </w:hyperlink>
      <w:hyperlink r:id="rId75">
        <w:r>
          <w:rPr>
            <w:rFonts w:ascii="Times New Roman" w:cs="Times New Roman" w:eastAsia="Times New Roman" w:hAnsi="Times New Roman"/>
            <w:sz w:val="18"/>
            <w:szCs w:val="18"/>
            <w:u w:val="single" w:color="auto"/>
            <w:color w:val="0000EE"/>
          </w:rPr>
          <w:t>August 14, 2024</w:t>
        </w:r>
      </w:hyperlink>
      <w:hyperlink r:id="rId7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6">
        <w:r>
          <w:rPr>
            <w:rFonts w:ascii="Times New Roman" w:cs="Times New Roman" w:eastAsia="Times New Roman" w:hAnsi="Times New Roman"/>
            <w:sz w:val="18"/>
            <w:szCs w:val="18"/>
            <w:u w:val="single" w:color="auto"/>
            <w:color w:val="0000EE"/>
          </w:rPr>
          <w:t>August 29, 2024</w:t>
        </w:r>
      </w:hyperlink>
      <w:hyperlink r:id="rId70">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77">
        <w:r>
          <w:rPr>
            <w:rFonts w:ascii="Times New Roman" w:cs="Times New Roman" w:eastAsia="Times New Roman" w:hAnsi="Times New Roman"/>
            <w:sz w:val="18"/>
            <w:szCs w:val="18"/>
            <w:u w:val="single" w:color="auto"/>
            <w:color w:val="0000EE"/>
          </w:rPr>
          <w:t>September 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8">
        <w:r>
          <w:rPr>
            <w:rFonts w:ascii="Times New Roman" w:cs="Times New Roman" w:eastAsia="Times New Roman" w:hAnsi="Times New Roman"/>
            <w:sz w:val="18"/>
            <w:szCs w:val="18"/>
            <w:u w:val="single" w:color="auto"/>
            <w:color w:val="0000EE"/>
          </w:rPr>
          <w:t>September 6,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9">
        <w:r>
          <w:rPr>
            <w:rFonts w:ascii="Times New Roman" w:cs="Times New Roman" w:eastAsia="Times New Roman" w:hAnsi="Times New Roman"/>
            <w:sz w:val="18"/>
            <w:szCs w:val="18"/>
            <w:u w:val="single" w:color="auto"/>
            <w:color w:val="0000EE"/>
          </w:rPr>
          <w:t>October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0">
        <w:r>
          <w:rPr>
            <w:rFonts w:ascii="Times New Roman" w:cs="Times New Roman" w:eastAsia="Times New Roman" w:hAnsi="Times New Roman"/>
            <w:sz w:val="18"/>
            <w:szCs w:val="18"/>
            <w:u w:val="single" w:color="auto"/>
            <w:color w:val="0000EE"/>
          </w:rPr>
          <w:t xml:space="preserve">October 4,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81">
        <w:r>
          <w:rPr>
            <w:rFonts w:ascii="Times New Roman" w:cs="Times New Roman" w:eastAsia="Times New Roman" w:hAnsi="Times New Roman"/>
            <w:sz w:val="18"/>
            <w:szCs w:val="18"/>
            <w:u w:val="single" w:color="auto"/>
            <w:color w:val="0000EE"/>
          </w:rPr>
          <w:t>October 22, 2024</w:t>
        </w:r>
      </w:hyperlink>
      <w:r>
        <w:rPr>
          <w:rFonts w:ascii="Times New Roman" w:cs="Times New Roman" w:eastAsia="Times New Roman" w:hAnsi="Times New Roman"/>
          <w:sz w:val="18"/>
          <w:szCs w:val="18"/>
          <w:color w:val="000000"/>
        </w:rPr>
        <w:t>;</w:t>
      </w:r>
    </w:p>
    <w:p>
      <w:pPr>
        <w:spacing w:after="0" w:line="210" w:lineRule="exact"/>
        <w:rPr>
          <w:rFonts w:ascii="Times New Roman" w:cs="Times New Roman" w:eastAsia="Times New Roman" w:hAnsi="Times New Roman"/>
          <w:sz w:val="18"/>
          <w:szCs w:val="18"/>
          <w:color w:val="0000EE"/>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82">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July 22, 2024;</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Information Statement on </w:t>
      </w:r>
      <w:hyperlink r:id="rId83">
        <w:r>
          <w:rPr>
            <w:rFonts w:ascii="Times New Roman" w:cs="Times New Roman" w:eastAsia="Times New Roman" w:hAnsi="Times New Roman"/>
            <w:sz w:val="18"/>
            <w:szCs w:val="18"/>
            <w:u w:val="single" w:color="auto"/>
            <w:color w:val="0000EE"/>
          </w:rPr>
          <w:t>Schedule 14C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September 16, 2024; and</w:t>
      </w:r>
    </w:p>
    <w:p>
      <w:pPr>
        <w:spacing w:after="0" w:line="252"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Registered Pursuant to Section 12 of the Securities Exchange Act of 1934 filed with the SEC on April 2, 2021 as </w:t>
      </w:r>
      <w:hyperlink r:id="rId84">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w:t>
      </w:r>
      <w:hyperlink r:id="rId8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w:t>
      </w:r>
    </w:p>
    <w:p>
      <w:pPr>
        <w:spacing w:after="0" w:line="162" w:lineRule="exact"/>
        <w:rPr>
          <w:rFonts w:ascii="Times New Roman" w:cs="Times New Roman" w:eastAsia="Times New Roman" w:hAnsi="Times New Roman"/>
          <w:sz w:val="18"/>
          <w:szCs w:val="18"/>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expressly providing to the contrary) made with the SEC pursuant to Sections 13(a), 13(c), 14 or 15(d) of the Exchange Act, including those made (i) on or after the date of the initial filing of the registration statement of which this prospectus forms a part and prior to effectiveness of such registration statement, and (ii) on or after the date of this prospectus but prior to the termination of the offering (i.e., until the earlier of the date on which all of the shares of Common Stock registered hereunder have been sold or the registration statement of which this prospectus forms a part has been withdrawn).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2468 Industrial Row Dr.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Troy, MI 48084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(617) 896-5243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5"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these documents,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on our website at </w:t>
      </w:r>
      <w:r>
        <w:rPr>
          <w:rFonts w:ascii="Times New Roman" w:cs="Times New Roman" w:eastAsia="Times New Roman" w:hAnsi="Times New Roman"/>
          <w:sz w:val="18"/>
          <w:szCs w:val="18"/>
          <w:i w:val="1"/>
          <w:iCs w:val="1"/>
          <w:color w:val="auto"/>
        </w:rPr>
        <w:t>https://ir.agrify.com/financials-and-filings/sec-filings</w:t>
      </w:r>
      <w:r>
        <w:rPr>
          <w:rFonts w:ascii="Times New Roman" w:cs="Times New Roman" w:eastAsia="Times New Roman" w:hAnsi="Times New Roman"/>
          <w:sz w:val="18"/>
          <w:szCs w:val="18"/>
          <w:color w:val="auto"/>
        </w:rPr>
        <w:t>. The information contained in, or that can be accessed through, our website is not incorporated by reference in, and is not part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or any accompanying prospectus supplement.</w:t>
      </w:r>
    </w:p>
    <w:p>
      <w:pPr>
        <w:spacing w:after="0" w:line="175"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into this prospectus. We are not making offers to sell the securities in any jurisdiction in which such an offer or solicitation is not authorized or in which the person making such offer or solicitation is not qualified to do so or to anyone to whom it is unlawful to make such an offer or solicitation.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being offered by this prospectus. This prospectus does not contain all of the information in the registration statement and its exhibits. For further information with respect to us and the shares of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post on our public website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Our website and the information contained on that site, or connected to that site, are not incorporated into and are not a part of this prospectus.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586105</wp:posOffset>
            </wp:positionV>
            <wp:extent cx="1174115" cy="9861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17411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313,333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1278890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36830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the registrant in connection with the issuance and distribution of the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being registered. All of the amounts shown are estimates, except for the SEC registration fee: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179.66</w:t>
            </w:r>
          </w:p>
        </w:tc>
      </w:tr>
      <w:tr>
        <w:trPr>
          <w:trHeight w:val="237"/>
        </w:trPr>
        <w:tc>
          <w:tcPr>
            <w:tcW w:w="10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tcPr>
          <w:p>
            <w:pPr>
              <w:spacing w:after="0"/>
              <w:rPr>
                <w:sz w:val="20"/>
                <w:szCs w:val="20"/>
                <w:color w:val="auto"/>
              </w:rPr>
            </w:pPr>
          </w:p>
        </w:tc>
      </w:tr>
      <w:tr>
        <w:trPr>
          <w:trHeight w:val="250"/>
        </w:trPr>
        <w:tc>
          <w:tcPr>
            <w:tcW w:w="10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75,829.</w:t>
            </w:r>
            <w:r>
              <w:rPr>
                <w:rFonts w:ascii="Times New Roman" w:cs="Times New Roman" w:eastAsia="Times New Roman" w:hAnsi="Times New Roman"/>
                <w:sz w:val="18"/>
                <w:szCs w:val="18"/>
                <w:u w:val="single" w:color="auto"/>
                <w:color w:val="auto"/>
              </w:rPr>
              <w:t>66</w:t>
            </w:r>
          </w:p>
        </w:tc>
      </w:tr>
      <w:tr>
        <w:trPr>
          <w:trHeight w:val="21"/>
        </w:trPr>
        <w:tc>
          <w:tcPr>
            <w:tcW w:w="10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These agreements require us to indemnify these individuals to the fullest extent permitted under Nevada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 Nevada corporation and generally governed by the Nevada Private Corporations Code, Title 78 of the Nevada Revised Statutes, or NRS.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Discretionary indemnification pursuant to Section 78.7502 may be made as authorized upon determination that the indemnification is proper under the circumstances. Such determination may be made by (i) 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16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the shares of Common Stock and preferred stock and the warrants issued, and options granted, by us in the three years preceding the filing of this registration statement that were not registered under the Securities Act.</w:t>
      </w:r>
    </w:p>
    <w:p>
      <w:pPr>
        <w:spacing w:after="0" w:line="162" w:lineRule="exact"/>
        <w:rPr>
          <w:sz w:val="20"/>
          <w:szCs w:val="20"/>
          <w:color w:val="auto"/>
        </w:rPr>
      </w:pPr>
    </w:p>
    <w:p>
      <w:pPr>
        <w:ind w:left="1040" w:right="640" w:hanging="384"/>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17, 2021, we granted ten-year options to purchase an aggregate of 350 shares of Common Stock pursuant to the Plan to executive officers and directors. The stock options provide for an exercise price per share of $41,520.</w:t>
      </w:r>
    </w:p>
    <w:p>
      <w:pPr>
        <w:spacing w:after="0" w:line="161" w:lineRule="exact"/>
        <w:rPr>
          <w:rFonts w:ascii="Times New Roman" w:cs="Times New Roman" w:eastAsia="Times New Roman" w:hAnsi="Times New Roman"/>
          <w:sz w:val="18"/>
          <w:szCs w:val="18"/>
          <w:color w:val="auto"/>
        </w:rPr>
      </w:pPr>
    </w:p>
    <w:p>
      <w:pPr>
        <w:ind w:left="1040" w:right="460" w:hanging="384"/>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we issued stock options to purchase an aggregate of 3 shares of Common Stock to an employee in consideration of achieving certain milestones from the acquisition of Harbor Mountain Holdings, LLC.</w:t>
      </w:r>
    </w:p>
    <w:p>
      <w:pPr>
        <w:spacing w:after="0" w:line="161" w:lineRule="exact"/>
        <w:rPr>
          <w:rFonts w:ascii="Times New Roman" w:cs="Times New Roman" w:eastAsia="Times New Roman" w:hAnsi="Times New Roman"/>
          <w:sz w:val="18"/>
          <w:szCs w:val="18"/>
          <w:color w:val="auto"/>
        </w:rPr>
      </w:pPr>
    </w:p>
    <w:p>
      <w:pPr>
        <w:ind w:left="1040" w:right="340" w:hanging="384"/>
        <w:spacing w:after="0" w:line="26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we issued an aggregate of 222 shares of our common stock to shareholders of Sinclair Scientific in connection with the acquisition of Precision Extraction Solutions and Cascade Sciences. In addition to the shares issued at the closing of the acquisition, on August 17, 2022, the Company issued an additional 29 shares of its Common Stock to the Precision Extraction Solutions and Cascade Sciences shareholders for contingent liabilities.</w:t>
      </w:r>
    </w:p>
    <w:p>
      <w:pPr>
        <w:spacing w:after="0" w:line="179" w:lineRule="exact"/>
        <w:rPr>
          <w:rFonts w:ascii="Times New Roman" w:cs="Times New Roman" w:eastAsia="Times New Roman" w:hAnsi="Times New Roman"/>
          <w:sz w:val="18"/>
          <w:szCs w:val="18"/>
          <w:color w:val="auto"/>
        </w:rPr>
      </w:pPr>
    </w:p>
    <w:p>
      <w:pPr>
        <w:ind w:left="1040" w:right="160" w:hanging="384"/>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we issued an aggregate of 80 shares of its common stock to the former shareholders of PurePressure in connection with the acquisition of PurePressure. Additionally, we held back 30 shares of common stock, representing 15% of the value of the closing consideration amount. The shares were held back for a period of twelve months for purposes of satisfying any post-closing adjustments.</w:t>
      </w:r>
    </w:p>
    <w:p>
      <w:pPr>
        <w:spacing w:after="0" w:line="175" w:lineRule="exact"/>
        <w:rPr>
          <w:rFonts w:ascii="Times New Roman" w:cs="Times New Roman" w:eastAsia="Times New Roman" w:hAnsi="Times New Roman"/>
          <w:sz w:val="18"/>
          <w:szCs w:val="18"/>
          <w:color w:val="auto"/>
        </w:rPr>
      </w:pPr>
    </w:p>
    <w:p>
      <w:pPr>
        <w:ind w:left="1040" w:hanging="384"/>
        <w:spacing w:after="0" w:line="254"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25, 2022, we entered into a securities purchase agreement with an institutional investor and other accredited investors for the sale by us of (i) 817 shares of Common Stock, (ii) pre-funded warrants to purchase up to an aggregate of 524 shares of Common Stock and (iii) common warrants to purchase up to an aggregate of 1,005 shares of Common Stock in a private placement offering. The combined purchase price for one share of Common Stock (or one pre-funded warrant) and accompanying fraction of a common warrant was $20,400.00. Subject to certain ownership limitations, the common warrants became exercisable six months from issuance. Each pre-funded warrant was exercisable into one share of Common Stock at a price per share of $0.001. Each common warrant is exercisable into one share of Common Stock at a price per share of $22,440 and will expire on the fifth anniversary of the initial exercise date. The gross proceeds to the Company from the private placement approximately $27.3 million, before deducting the placement agent’s fees and other offering expenses, and excluding the proceeds, if any, from the exercise of the warrants.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8" w:name="page49"/>
    <w:bookmarkEnd w:id="48"/>
    <w:p>
      <w:pPr>
        <w:ind w:left="384" w:right="40" w:hanging="384"/>
        <w:spacing w:after="0" w:line="266" w:lineRule="auto"/>
        <w:tabs>
          <w:tab w:leader="none" w:pos="3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 2022, we issued an aggregate of 99 shares of Common Stock to the former shareholders of LS Holdings Corp. (“Lab Society”) in connection with the acquisition of Lab Society. Additionally, as per the purchase agreement, we held back 43 shares of Common Stock for a period of twelve months for purposes of satisfying any post-closing adjustments.</w:t>
      </w:r>
    </w:p>
    <w:p>
      <w:pPr>
        <w:spacing w:after="0" w:line="175" w:lineRule="exact"/>
        <w:rPr>
          <w:rFonts w:ascii="Times New Roman" w:cs="Times New Roman" w:eastAsia="Times New Roman" w:hAnsi="Times New Roman"/>
          <w:sz w:val="18"/>
          <w:szCs w:val="18"/>
          <w:color w:val="auto"/>
        </w:rPr>
      </w:pPr>
    </w:p>
    <w:p>
      <w:pPr>
        <w:ind w:left="384" w:right="420" w:hanging="384"/>
        <w:spacing w:after="0" w:line="272" w:lineRule="auto"/>
        <w:tabs>
          <w:tab w:leader="none" w:pos="38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14, 2022, we entered into a Securities Purchase Agreement with the Former Lender, pursuant to which we sold to the Former Lender, in exchange for the payment by the Former Lender of $65,000,000, less applicable expenses, (i) the SPA Note in an aggregate principal amount of $65,000,000 (the “Original Note”), and (ii) a warrant (the “Original Warrant”) to purchase up to an aggregate of</w:t>
      </w:r>
    </w:p>
    <w:p>
      <w:pPr>
        <w:spacing w:after="0" w:line="1" w:lineRule="exact"/>
        <w:rPr>
          <w:rFonts w:ascii="Times New Roman" w:cs="Times New Roman" w:eastAsia="Times New Roman" w:hAnsi="Times New Roman"/>
          <w:sz w:val="17"/>
          <w:szCs w:val="17"/>
          <w:color w:val="auto"/>
        </w:rPr>
      </w:pPr>
    </w:p>
    <w:p>
      <w:pPr>
        <w:jc w:val="both"/>
        <w:ind w:left="384" w:right="6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2,294 shares of Common Stock. Each warrant had an exercise price of $20,250 per share, subject to adjustment for stock splits, reverse stock splits, stock dividends and similar transactions, was immediately exercisable, has a term of five and one-half years from the date of issuance and will be exercisable on a cash basis, unless there is not an effective registration statement covering the resale of the shares issuable upon exercise of the warrant, in which case the warrant shall also be exercisable on a cashless exercise basis at the holder’s election.</w:t>
      </w:r>
    </w:p>
    <w:p>
      <w:pPr>
        <w:spacing w:after="0" w:line="172" w:lineRule="exact"/>
        <w:rPr>
          <w:rFonts w:ascii="Times New Roman" w:cs="Times New Roman" w:eastAsia="Times New Roman" w:hAnsi="Times New Roman"/>
          <w:sz w:val="17"/>
          <w:szCs w:val="17"/>
          <w:color w:val="auto"/>
        </w:rPr>
      </w:pPr>
    </w:p>
    <w:p>
      <w:pPr>
        <w:ind w:left="384" w:right="200" w:hanging="384"/>
        <w:spacing w:after="0" w:line="282" w:lineRule="auto"/>
        <w:tabs>
          <w:tab w:leader="none" w:pos="3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17, 2022, we issued 29 shares of Common Stock to the Sinclair Scientific in connection with the finalization of the net working capital settlement from the acquisition of Precision Extraction Solutions and Cascade Sciences.</w:t>
      </w:r>
    </w:p>
    <w:p>
      <w:pPr>
        <w:spacing w:after="0" w:line="161" w:lineRule="exact"/>
        <w:rPr>
          <w:rFonts w:ascii="Times New Roman" w:cs="Times New Roman" w:eastAsia="Times New Roman" w:hAnsi="Times New Roman"/>
          <w:sz w:val="18"/>
          <w:szCs w:val="18"/>
          <w:color w:val="auto"/>
        </w:rPr>
      </w:pPr>
    </w:p>
    <w:p>
      <w:pPr>
        <w:ind w:left="384" w:right="60" w:hanging="384"/>
        <w:spacing w:after="0" w:line="253" w:lineRule="auto"/>
        <w:tabs>
          <w:tab w:leader="none" w:pos="3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18, 2022, we entered into the August 2022 Exchange Agreement with the Former Lender, pursuant to which we partially prepaid $35.2 million under the Original Note and exchanged the remaining balance of the Original Note for (i) a new senior secured note (the “Exchange Note”) with an aggregate original principal amount of $35.0 million and (ii) the Note Exchange Warrant. Additionally, we exchanged the Original Warrant for a new warrant for the same number of underlying shares but with a reduced exercise price (the “Warrant Exchange Warrant”). The Warrant Exchange Warrant has an exercise price of $6,450 per share, subject to adjustment for stock splits, reverse stock splits, stock dividends and similar transactions, will be exercisable on and after the six-month anniversary of issuance, has a term of five and one-half years from the date of issuance and is exercisable on a cash basis, unless there is not an effective registration statement covering the resale of the shares issuable upon exercise of the Warrant Exchange Warrant, in which case the Warrant Exchange Warrant will also be exercisable on a cashless exercise basis at the holder’s election. The Note Exchange Warrant has an exercise price of $3,690 per share, subject to adjustment for stock splits, reverse stock splits, stock dividends and similar transactions, was exercisable upon issuance, has a term of five and one-half years from the date of issuance and is exercisable on a cash basis, unless there is not an effective registration statement covering the resale of the shares issuable upon exercise of the warrant, in which case the Note Exchange Warrant will also be exercisable on a cashless exercise basis at the holder’s election.</w:t>
      </w:r>
    </w:p>
    <w:p>
      <w:pPr>
        <w:spacing w:after="0" w:line="187" w:lineRule="exact"/>
        <w:rPr>
          <w:rFonts w:ascii="Times New Roman" w:cs="Times New Roman" w:eastAsia="Times New Roman" w:hAnsi="Times New Roman"/>
          <w:sz w:val="18"/>
          <w:szCs w:val="18"/>
          <w:color w:val="auto"/>
        </w:rPr>
      </w:pPr>
    </w:p>
    <w:p>
      <w:pPr>
        <w:ind w:left="384" w:right="160" w:hanging="384"/>
        <w:spacing w:after="0" w:line="261" w:lineRule="auto"/>
        <w:tabs>
          <w:tab w:leader="none" w:pos="3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8, 2023, we entered into a Securities Exchange Agreement with the Former Lender, pursuant to which we prepaid approximately $10.3 million in principal amount under the Exchange Note and exchanged $10.0 in principal amount of the remaining balance of the Exchange Note for a new senior secured convertible note with an original principal amount of $10.0 million. At issuance, the conversion price under the new senior secured convertible note was $114.60.</w:t>
      </w:r>
    </w:p>
    <w:p>
      <w:pPr>
        <w:spacing w:after="0" w:line="179" w:lineRule="exact"/>
        <w:rPr>
          <w:rFonts w:ascii="Times New Roman" w:cs="Times New Roman" w:eastAsia="Times New Roman" w:hAnsi="Times New Roman"/>
          <w:sz w:val="18"/>
          <w:szCs w:val="18"/>
          <w:color w:val="auto"/>
        </w:rPr>
      </w:pPr>
    </w:p>
    <w:p>
      <w:pPr>
        <w:ind w:left="384" w:hanging="384"/>
        <w:spacing w:after="0" w:line="256" w:lineRule="auto"/>
        <w:tabs>
          <w:tab w:leader="none" w:pos="3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we entered into a letter agreement with the Former Lender, pursuant to which we agreed to exchange $2.0 million of the remaining outstanding principal amount under the Exchange Note for 29,680 shares (the “Exchange Shares”) of Common Stock. To the extent that receipt of Exchange Shares would cause the Former Lender to beneficially own in excess of 4.99% of Common Stock immediately after such exchange, we will only issue that number of Exchange Shares that would not cause the Former Lender to exceed the beneficial ownership limitation, with the balance to be held in abeyance until such balance (or a portion thereof) may be issued in compliance with the beneficial ownership limitation.</w:t>
      </w:r>
    </w:p>
    <w:p>
      <w:pPr>
        <w:spacing w:after="0" w:line="200" w:lineRule="exact"/>
        <w:rPr>
          <w:sz w:val="20"/>
          <w:szCs w:val="20"/>
          <w:color w:val="auto"/>
        </w:rPr>
      </w:pPr>
    </w:p>
    <w:p>
      <w:pPr>
        <w:spacing w:after="0" w:line="203"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9" w:name="page50"/>
    <w:bookmarkEnd w:id="49"/>
    <w:p>
      <w:pPr>
        <w:ind w:left="384" w:right="80" w:hanging="384"/>
        <w:spacing w:after="0" w:line="254" w:lineRule="auto"/>
        <w:tabs>
          <w:tab w:leader="none" w:pos="3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12, 2023, we issued a promissory note with an original principal amount of $500,000 in favor of GIC Acquisition, an entity that is owned and managed by Raymond Chang, our Chairman and Chief Executive Officer. On January 25, 2024, GIC and the Company amended and restated the promissory note to increase the principal amount thereunder to $1.0 million and to extend the maturity date until June 30, 2024. On May 21, 2024, GIC and the Company amended and restated the promissory note to increase the aggregate principal amount to approximately $2.29 million, extend the maturity date to December 31, 2025, and provide that the promissory note may be converted into Common Stock of the Company or, at GIC’s election, pre-funded warrants, in each case at a conversion price of $4.65. Immediately following the execution of the of the amendment and restatement of the promissory note, GIC elected to convert all of the outstanding principal and accrued but unpaid interest under the promissory note into a pre-funded warrant exercisable at issuance for up to 492,204 shares of Common Stock.</w:t>
      </w:r>
    </w:p>
    <w:p>
      <w:pPr>
        <w:spacing w:after="0" w:line="188" w:lineRule="exact"/>
        <w:rPr>
          <w:rFonts w:ascii="Times New Roman" w:cs="Times New Roman" w:eastAsia="Times New Roman" w:hAnsi="Times New Roman"/>
          <w:sz w:val="18"/>
          <w:szCs w:val="18"/>
          <w:color w:val="auto"/>
        </w:rPr>
      </w:pPr>
    </w:p>
    <w:p>
      <w:pPr>
        <w:ind w:left="384" w:right="160" w:hanging="384"/>
        <w:spacing w:after="0" w:line="258" w:lineRule="auto"/>
        <w:tabs>
          <w:tab w:leader="none" w:pos="3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2023, we issued a junior secured promissory note to the New Lender, an entity that is owned and managed by Raymond Chang, our Chairman and Chief Executive Officer, and I-Tseng Jenny Chan, a member of our Board. Pursuant to the note, the New Lender will lend up to $3,000,000. On December 4, 2023, the New Lender and the Company amended and restated the junior secured promissory note. Pursuant to the terms of the amended and restated junior secured promissory note, the maximum principal amount that may be loaned by the New Lender to the Company was increased to $4,000,000.</w:t>
      </w:r>
    </w:p>
    <w:p>
      <w:pPr>
        <w:spacing w:after="0" w:line="183" w:lineRule="exact"/>
        <w:rPr>
          <w:rFonts w:ascii="Times New Roman" w:cs="Times New Roman" w:eastAsia="Times New Roman" w:hAnsi="Times New Roman"/>
          <w:sz w:val="18"/>
          <w:szCs w:val="18"/>
          <w:color w:val="auto"/>
        </w:rPr>
      </w:pPr>
    </w:p>
    <w:p>
      <w:pPr>
        <w:ind w:left="384" w:right="240" w:hanging="384"/>
        <w:spacing w:after="0" w:line="258" w:lineRule="auto"/>
        <w:tabs>
          <w:tab w:leader="none" w:pos="3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2023, and with an effective date as of October 18, 2023, we entered into a Modification and Settlement Agreement with Mack Molding Company. As part of the Modification Agreement, we issued to Mack a warrant to purchase 50,000 shares of the Common Stock. The warrant has an exercise price of $60.00 per share, was exercisable upon issuance, has a term of three years from the date of issuance and is exercisable on a cash basis unless at the time of exercise there is no effective registration statement for the resale of the underlying shares, in which case the warrant may be exercised on a cashless exercise basis at the holder’s election.</w:t>
      </w:r>
    </w:p>
    <w:p>
      <w:pPr>
        <w:spacing w:after="0" w:line="183" w:lineRule="exact"/>
        <w:rPr>
          <w:rFonts w:ascii="Times New Roman" w:cs="Times New Roman" w:eastAsia="Times New Roman" w:hAnsi="Times New Roman"/>
          <w:sz w:val="18"/>
          <w:szCs w:val="18"/>
          <w:color w:val="auto"/>
        </w:rPr>
      </w:pPr>
    </w:p>
    <w:p>
      <w:pPr>
        <w:ind w:left="384" w:hanging="384"/>
        <w:spacing w:after="0" w:line="256" w:lineRule="auto"/>
        <w:tabs>
          <w:tab w:leader="none" w:pos="3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2023, we entered into a letter agreement with the Former Lender, pursuant to which we agreed to exchange $3.0 million in principal and approximately $1.1 million in accrued but unpaid interest outstanding under the Exchange Note for a warrant to purchase 187,312 shares of Common Stock. Additionally, we agreed to exchange the 25,042 shares of Common Stock held in abeyance for the Former Lender as Exchange Shares under the April 26, 2023 letter agreement for a warrant to purchase 25,042 shares of Common Stock. Each warrant has an exercise price of $0.001 per share, was exercisable upon issuance, has a term of five years from the date of issuance and is exercisable on a cash basis or on a cashless exercise basis at the holder’s election.</w:t>
      </w:r>
    </w:p>
    <w:p>
      <w:pPr>
        <w:spacing w:after="0" w:line="187" w:lineRule="exact"/>
        <w:rPr>
          <w:rFonts w:ascii="Times New Roman" w:cs="Times New Roman" w:eastAsia="Times New Roman" w:hAnsi="Times New Roman"/>
          <w:sz w:val="18"/>
          <w:szCs w:val="18"/>
          <w:color w:val="auto"/>
        </w:rPr>
      </w:pPr>
    </w:p>
    <w:p>
      <w:pPr>
        <w:ind w:left="384" w:hanging="384"/>
        <w:spacing w:after="0" w:line="252" w:lineRule="auto"/>
        <w:tabs>
          <w:tab w:leader="none" w:pos="3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25, 2024, we consolidated the outstanding principal and interest due under the Junior Secured Note and the Exchange Note with the New Lender into the Restated Note, with an outstanding principal amount of approximately $18.9 million at the time of issuance of the Restated Note. The Restated Note amended the terms of the convertible note by, among other things, (i) reducing the conversion price to $21.90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the Company may issue shares as payments-in-kind at a conversion price equal to the higher of (i) $21.90 or (ii) a 20% discount to its trailing seven-day volume weighted average price as of the date of interest payment. Immediately following the execution of the Restated Note, the New Lender immediately elected to convert approximately $3.9 million of outstanding principal into an aggregate of 178,109 shares of Common Stock, and assigned its rights to receive such shares to entities affiliated with Mr. Chang and Ms. Chan. Following the conversion, there was $15.0 million in principal amount outstanding under the Restated Note. On May 21, 2024, the Company and New Lender entered into an amendment to the Restated Note, pursuant to which the New Lender may elect, in lieu of shares of Common Stock issuable upon conversion of the Convertible Note, to instead receive pre-funded warrants. The conversion price applicable to the pre-funded warrants will remain unchanged at $21.90. Immediately following the execution of the amendment to the Restated Note, the New Lender elected to convert $11.5 million of outstanding principal into a pre-funded warrant exercisable at issuance for up to 525,115 shares of Common Stock.</w:t>
      </w:r>
    </w:p>
    <w:p>
      <w:pPr>
        <w:spacing w:after="0" w:line="200" w:lineRule="exact"/>
        <w:rPr>
          <w:sz w:val="20"/>
          <w:szCs w:val="20"/>
          <w:color w:val="auto"/>
        </w:rPr>
      </w:pPr>
    </w:p>
    <w:p>
      <w:pPr>
        <w:spacing w:after="0" w:line="209"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50" w:name="page51"/>
    <w:bookmarkEnd w:id="50"/>
    <w:p>
      <w:pPr>
        <w:ind w:left="1040" w:right="40" w:hanging="384"/>
        <w:spacing w:after="0" w:line="255"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14, 2024, we issued a junior secured promissory note in favor of the New Lender. Pursuant to the junior secured promissory note, the New Lender will lend up to $1,500,000 to the Company. The junior secured promissory note bears interest at a rate of 10% per annum, will mature in full on July 1, 2025, and may be prepaid without any fee or penalty. The junior secured promissory note is secured by the Company’s assets and ranks junior to existing secured indebtedness of the Company. The junior secured promissory note may be converted into Common Stock of the Company or, at the New Lender’s election, pre-funded warrants with an exercise price of $0.001 per share, in each case at a conversion price of $3.9495. On October 18, 2024, the Company and the New Lender entered into an amendment to the junior secured promissory note to increase the principal sum to a maximum of $3,000,000.</w:t>
      </w:r>
    </w:p>
    <w:p>
      <w:pPr>
        <w:spacing w:after="0" w:line="188" w:lineRule="exact"/>
        <w:rPr>
          <w:rFonts w:ascii="Times New Roman" w:cs="Times New Roman" w:eastAsia="Times New Roman" w:hAnsi="Times New Roman"/>
          <w:sz w:val="18"/>
          <w:szCs w:val="18"/>
          <w:color w:val="auto"/>
        </w:rPr>
      </w:pPr>
    </w:p>
    <w:p>
      <w:pPr>
        <w:ind w:left="1040" w:hanging="384"/>
        <w:spacing w:after="0" w:line="258"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28, 2024, we entered into the ELOC Purchase Agreement with the Ionic, pursuant to which Ionic has committed to purchase up to an aggregate of $15.0 million of the Company’s Common Stock, subject to certain limitations, from time to time and at the Company’s sole discretion over the term of the ELOC Purchase Agreement. The ELOC Purchase Agreement also permits the Company to deliver an exemption purchase notice for $400,000 on the date of signing, with the shares so purchased to be delivered following the Commencement Date, and the Company delivered an exemption purchase notice for $400,000 for the purchase by Ionic of 189,645 shares of Common Stock.</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in this Item 15 were deemed to be exempt from registration under the Securities Act in reliance on Section 4(a)(2) of the Securities Act and Rule 506 promulgated under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to this registration statement, which immediately precedes the Signature Page and which Exhibit Index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340" w:hanging="332"/>
        <w:spacing w:after="0" w:line="254"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shares of Common Stock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980" w:right="80" w:hanging="324"/>
        <w:spacing w:after="0" w:line="255" w:lineRule="auto"/>
        <w:tabs>
          <w:tab w:leader="none" w:pos="9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shares of Common Stock offered (if the total dollar value of shares of Common Stock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1" w:name="page52"/>
    <w:bookmarkEnd w:id="51"/>
    <w:p>
      <w:pPr>
        <w:ind w:left="648" w:right="480" w:hanging="324"/>
        <w:spacing w:after="0" w:line="282"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ind w:left="328" w:hanging="328"/>
        <w:spacing w:after="0" w:line="266" w:lineRule="auto"/>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328" w:right="160" w:hanging="328"/>
        <w:spacing w:after="0" w:line="258" w:lineRule="auto"/>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in the initial distribution of the shares of Common Stock, the undersigned registrant undertakes that in a primary offering of shares of Common Stock of the undersigned registrant pursuant to this registration statement, regardless of the method used to sell the shares of Common Stock to the purchaser, if the shares of Common Stock are offered or sold to such purchaser by means of any of the following communications, the undersigned registrant will be a seller to the purchaser and will be considered to offer or sell such shares of Common Stock to such purchaser:</w:t>
      </w:r>
    </w:p>
    <w:p>
      <w:pPr>
        <w:spacing w:after="0" w:line="183"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 of the Securities Act;</w:t>
      </w:r>
    </w:p>
    <w:p>
      <w:pPr>
        <w:spacing w:after="0" w:line="161" w:lineRule="exact"/>
        <w:rPr>
          <w:rFonts w:ascii="Times New Roman" w:cs="Times New Roman" w:eastAsia="Times New Roman" w:hAnsi="Times New Roman"/>
          <w:sz w:val="18"/>
          <w:szCs w:val="18"/>
          <w:color w:val="auto"/>
        </w:rPr>
      </w:pPr>
    </w:p>
    <w:p>
      <w:pPr>
        <w:ind w:left="648" w:right="560" w:hanging="324"/>
        <w:spacing w:after="0" w:line="282" w:lineRule="auto"/>
        <w:tabs>
          <w:tab w:leader="none" w:pos="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328" w:hanging="328"/>
        <w:spacing w:after="0" w:line="266" w:lineRule="auto"/>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ind w:left="328" w:right="20" w:hanging="328"/>
        <w:spacing w:after="0" w:line="266" w:lineRule="auto"/>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92"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904" w:right="37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20" w:type="dxa"/>
            <w:vAlign w:val="bottom"/>
            <w:gridSpan w:val="27"/>
          </w:tcPr>
          <w:p>
            <w:pPr>
              <w:ind w:left="1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20" w:type="dxa"/>
            <w:vAlign w:val="bottom"/>
            <w:gridSpan w:val="27"/>
          </w:tcPr>
          <w:p>
            <w:pPr>
              <w:ind w:left="2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Plan of Merger and Equity Purchase Agreement, dated as of September 29, 2021, among the Registrant, Sinclair Scientific, LLC,</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70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Mass2Media, LLC dba PX2 Holdings, LLC, and each of the equity holders of Sinclair Scientific, LLC named therein (incorporated by</w:t>
              </w:r>
            </w:hyperlink>
          </w:p>
        </w:tc>
        <w:tc>
          <w:tcPr>
            <w:tcW w:w="400" w:type="dxa"/>
            <w:vAlign w:val="bottom"/>
            <w:tcBorders>
              <w:bottom w:val="single" w:sz="8" w:color="CCEEFF"/>
            </w:tcBorders>
            <w:gridSpan w:val="10"/>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reference to Exhibit 2.1 to the Registrant’s Current Report on Form 8-K filed with the Securities and Exchange Commission on October 5,</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2021)</w:t>
              </w:r>
            </w:hyperlink>
          </w:p>
        </w:tc>
        <w:tc>
          <w:tcPr>
            <w:tcW w:w="80" w:type="dxa"/>
            <w:vAlign w:val="bottom"/>
            <w:tcBorders>
              <w:top w:val="single" w:sz="8" w:color="0000EE"/>
            </w:tcBorders>
            <w:shd w:val="clear" w:color="auto" w:fill="CCEEFF"/>
          </w:tcPr>
          <w:p>
            <w:pPr>
              <w:spacing w:after="0"/>
              <w:rPr>
                <w:sz w:val="17"/>
                <w:szCs w:val="17"/>
                <w:color w:val="auto"/>
              </w:rPr>
            </w:pPr>
          </w:p>
        </w:tc>
        <w:tc>
          <w:tcPr>
            <w:tcW w:w="3480" w:type="dxa"/>
            <w:vAlign w:val="bottom"/>
            <w:tcBorders>
              <w:top w:val="single" w:sz="8" w:color="0000EE"/>
            </w:tcBorders>
            <w:shd w:val="clear" w:color="auto" w:fill="CCEEFF"/>
          </w:tcPr>
          <w:p>
            <w:pPr>
              <w:spacing w:after="0"/>
              <w:rPr>
                <w:sz w:val="17"/>
                <w:szCs w:val="17"/>
                <w:color w:val="auto"/>
              </w:rPr>
            </w:pPr>
          </w:p>
        </w:tc>
        <w:tc>
          <w:tcPr>
            <w:tcW w:w="106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5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Amendment to Plan of Merger and Equity Purchase Agreement, dated as of October 1, 2021, between the Registrant and Sinclair Scientific,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LLC (incorporated by reference to Exhibit 2.2 to the Registrant’s Current Report on Form 8-K filed with the Securities and Exchange</w:t>
              </w:r>
            </w:hyperlink>
          </w:p>
        </w:tc>
        <w:tc>
          <w:tcPr>
            <w:tcW w:w="480" w:type="dxa"/>
            <w:vAlign w:val="bottom"/>
            <w:gridSpan w:val="11"/>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0"/>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Commission on October 4,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Membership Interest Purchase Agreement, dated as of December 31, 2021, among the Registrant, PurePressure, LLC, Benjamin Britton as</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30"/>
            <w:shd w:val="clear" w:color="auto" w:fill="CCEEFF"/>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Member Representative, and each of the equity holders of PurePressure, LLC named therein (incorporated by reference to Exhibit 2.1 to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Registrant’s Current Report on Form 8-K filed with the Securities and Exchange Commission on January 5, 2022)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5"/>
                <w:szCs w:val="15"/>
                <w:color w:val="auto"/>
              </w:rPr>
            </w:pPr>
          </w:p>
        </w:tc>
        <w:tc>
          <w:tcPr>
            <w:tcW w:w="946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Merger Agreement, dated as of February 1, 2022, among the Registrant, LS Holdings Corp., Lab Society NewCo, LLC, Michael S.</w:t>
              </w:r>
            </w:hyperlink>
          </w:p>
        </w:tc>
        <w:tc>
          <w:tcPr>
            <w:tcW w:w="640" w:type="dxa"/>
            <w:vAlign w:val="bottom"/>
            <w:gridSpan w:val="12"/>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Maibach Jr. as Owner Representative, and each of the Owners named therein (incorporated by reference to Exhibit 2.1 to the Registrant’s</w:t>
              </w:r>
            </w:hyperlink>
          </w:p>
        </w:tc>
        <w:tc>
          <w:tcPr>
            <w:tcW w:w="22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0"/>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Current Report on Form 8-K filed with the Securities and Exchange Commission on February 2,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Articles of Incorporation of the Registrant, as amended (incorporated by reference to Exhibit 3.1 to the Registrant’s Amendment No. 1 to</w:t>
              </w:r>
            </w:hyperlink>
          </w:p>
        </w:tc>
        <w:tc>
          <w:tcPr>
            <w:tcW w:w="220" w:type="dxa"/>
            <w:vAlign w:val="bottom"/>
            <w:tcBorders>
              <w:bottom w:val="single" w:sz="8" w:color="CCEEFF"/>
            </w:tcBorders>
            <w:gridSpan w:val="6"/>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Registration Statement on Form S-1 filed with the Securities and Exchange Commission on January 13, 2021)</w:t>
              </w:r>
            </w:hyperlink>
          </w:p>
        </w:tc>
        <w:tc>
          <w:tcPr>
            <w:tcW w:w="2160" w:type="dxa"/>
            <w:vAlign w:val="bottom"/>
            <w:tcBorders>
              <w:bottom w:val="single" w:sz="8" w:color="CCEEFF"/>
            </w:tcBorders>
            <w:gridSpan w:val="23"/>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Third Amended and Restated Certificate of Designations of the Series A Convertible Preferred Stock of the Registrant (incorporated by</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0"/>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reference to Exhibit 3.2 to the Registrant’s Amendment No. 1 to Registration Statement on Form S-1 filed with the Securities and Exchange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Commission on January 13, 2021)</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Amended and Restated Bylaws of the Registrant (incorporated by reference to Exhibit 3.3 to the Registrant’s Amendment No. 2 to</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940" w:type="dxa"/>
            <w:vAlign w:val="bottom"/>
            <w:tcBorders>
              <w:top w:val="single" w:sz="8" w:color="0000EE"/>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Registration Statement on Form S-1 filed with the Securities and Exchange Commission on January 26, 2021)</w:t>
              </w:r>
            </w:hyperlink>
          </w:p>
        </w:tc>
        <w:tc>
          <w:tcPr>
            <w:tcW w:w="146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700" w:type="dxa"/>
            <w:vAlign w:val="bottom"/>
            <w:tcBorders>
              <w:top w:val="single" w:sz="8" w:color="CCEEFF"/>
              <w:bottom w:val="single" w:sz="8" w:color="CCEEFF"/>
            </w:tcBorders>
            <w:gridSpan w:val="13"/>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5"/>
                <w:szCs w:val="15"/>
                <w:color w:val="auto"/>
              </w:rPr>
            </w:pPr>
          </w:p>
        </w:tc>
        <w:tc>
          <w:tcPr>
            <w:tcW w:w="10020" w:type="dxa"/>
            <w:vAlign w:val="bottom"/>
            <w:tcBorders>
              <w:bottom w:val="single" w:sz="8" w:color="0000EE"/>
            </w:tcBorders>
            <w:gridSpan w:val="28"/>
          </w:tcPr>
          <w:p>
            <w:pPr>
              <w:spacing w:after="0" w:line="17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Certificate of Amendment to the Articles of Incorporation of the Registrant, filed July 11, 2022 (incorporated by reference to Exhibit 3.1 to</w:t>
              </w:r>
            </w:hyperlink>
          </w:p>
        </w:tc>
        <w:tc>
          <w:tcPr>
            <w:tcW w:w="80" w:type="dxa"/>
            <w:vAlign w:val="bottom"/>
            <w:gridSpan w:val="2"/>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0"/>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the Registrant’s Current Report on Form 8-K filed with the Securities and Exchange Commission on July 14, 2022).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Certificate of Amendment to the Articles of Incorporation of the Registrant, filed October 17, 2022 (incorporated by reference to Exhibit</w:t>
              </w:r>
            </w:hyperlink>
          </w:p>
        </w:tc>
        <w:tc>
          <w:tcPr>
            <w:tcW w:w="240" w:type="dxa"/>
            <w:vAlign w:val="bottom"/>
            <w:tcBorders>
              <w:bottom w:val="single" w:sz="8" w:color="CCEEFF"/>
            </w:tcBorders>
            <w:gridSpan w:val="7"/>
            <w:shd w:val="clear" w:color="auto" w:fill="CCEEFF"/>
          </w:tcPr>
          <w:p>
            <w:pPr>
              <w:spacing w:after="0"/>
              <w:rPr>
                <w:sz w:val="15"/>
                <w:szCs w:val="15"/>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10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Current Report on Form 8-K filed with the Securities and Exchange Commission on October 17, 2022).</w:t>
              </w:r>
            </w:hyperlink>
          </w:p>
        </w:tc>
        <w:tc>
          <w:tcPr>
            <w:tcW w:w="1000" w:type="dxa"/>
            <w:vAlign w:val="bottom"/>
            <w:tcBorders>
              <w:bottom w:val="single" w:sz="8" w:color="CCEEFF"/>
            </w:tcBorders>
            <w:gridSpan w:val="16"/>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5"/>
                <w:szCs w:val="15"/>
                <w:color w:val="auto"/>
              </w:rPr>
            </w:pPr>
          </w:p>
        </w:tc>
        <w:tc>
          <w:tcPr>
            <w:tcW w:w="9920" w:type="dxa"/>
            <w:vAlign w:val="bottom"/>
            <w:tcBorders>
              <w:bottom w:val="single" w:sz="8" w:color="0000EE"/>
            </w:tcBorders>
            <w:gridSpan w:val="25"/>
          </w:tcPr>
          <w:p>
            <w:pPr>
              <w:spacing w:after="0" w:line="17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Certificate of Amendment to the Articles of Incorporation of the Registrant, filed March 1, 2023 (incorporated by reference to Exhibit 3.1</w:t>
              </w:r>
            </w:hyperlink>
          </w:p>
        </w:tc>
        <w:tc>
          <w:tcPr>
            <w:tcW w:w="180" w:type="dxa"/>
            <w:vAlign w:val="bottom"/>
            <w:gridSpan w:val="5"/>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0"/>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to the Registrant’s Current Report on Form 8-K filed with the Securities and Exchange Commission on March 3,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Certificate of Change to Articles of Incorporation of Agrify Corporation, filed June 30, 2023 (incorporated by reference to Exhibit 3.1 to</w:t>
              </w:r>
            </w:hyperlink>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80" w:type="dxa"/>
            <w:vAlign w:val="bottom"/>
            <w:tcBorders>
              <w:top w:val="single" w:sz="8" w:color="0000EE"/>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the Registrant’s Current Report on Form 8-K filed with the Securities and Exchange Commission on July 3, 2023).</w:t>
              </w:r>
            </w:hyperlink>
          </w:p>
        </w:tc>
        <w:tc>
          <w:tcPr>
            <w:tcW w:w="1560" w:type="dxa"/>
            <w:vAlign w:val="bottom"/>
            <w:tcBorders>
              <w:top w:val="single" w:sz="8" w:color="0000EE"/>
              <w:bottom w:val="single" w:sz="8" w:color="CCEEFF"/>
            </w:tcBorders>
            <w:gridSpan w:val="13"/>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8"/>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Certificate of Amendment to the Articles of Incorporation of the Registrant, filed January 22, 2024 (incorporated by reference to Exhibit 3.1</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0"/>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to the Registrant’s Current Report on Form 8-K filed with the Securities and Exchange Commission on January 25,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Second Amended and Restated Bylaws of the Registrant (incorporated by reference to Exhibit 3.1 to the Registrant’s Current Report on</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76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8-K filed with the Securities and Exchange Commission on August 9, 2024).</w:t>
              </w:r>
            </w:hyperlink>
          </w:p>
        </w:tc>
        <w:tc>
          <w:tcPr>
            <w:tcW w:w="340" w:type="dxa"/>
            <w:vAlign w:val="bottom"/>
            <w:tcBorders>
              <w:top w:val="single" w:sz="8" w:color="CCEEFF"/>
            </w:tcBorders>
            <w:gridSpan w:val="9"/>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5"/>
                <w:szCs w:val="15"/>
                <w:color w:val="auto"/>
              </w:rPr>
            </w:pP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Certificate of Amendment to Articles of Incorporation of Agrify Corporation, filed October 3, 2024 (incorporated by reference to Exhibit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with the Securities and Exchange Commission on October 4, 2024).</w:t>
              </w:r>
            </w:hyperlink>
          </w:p>
        </w:tc>
        <w:tc>
          <w:tcPr>
            <w:tcW w:w="220" w:type="dxa"/>
            <w:vAlign w:val="bottom"/>
            <w:gridSpan w:val="6"/>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Form of Common Stock Certificate (incorporated by reference to Exhibit 4.1 to the Registrant’s Amendment No. 2 to Registration</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38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Statement on Form S-1 filed with the Securities and Exchange Commission on January 26, 2021)</w:t>
              </w:r>
            </w:hyperlink>
          </w:p>
        </w:tc>
        <w:tc>
          <w:tcPr>
            <w:tcW w:w="720" w:type="dxa"/>
            <w:vAlign w:val="bottom"/>
            <w:tcBorders>
              <w:top w:val="single" w:sz="8" w:color="CCEEFF"/>
            </w:tcBorders>
            <w:gridSpan w:val="14"/>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0100" w:type="dxa"/>
            <w:vAlign w:val="bottom"/>
            <w:gridSpan w:val="33"/>
            <w:shd w:val="clear" w:color="auto" w:fill="CCEEFF"/>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Representative’s Warrant dated February 19, 2021 (incorporated by reference to Exhibit 4.2 to the Registrant’s Registration</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7100" w:type="dxa"/>
            <w:vAlign w:val="bottom"/>
            <w:tcBorders>
              <w:top w:val="single" w:sz="8" w:color="0000EE"/>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Statement on Form S-1 filed with the Securities and Exchange Commission on February 11, 2021)</w:t>
              </w:r>
            </w:hyperlink>
          </w:p>
        </w:tc>
        <w:tc>
          <w:tcPr>
            <w:tcW w:w="240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600" w:type="dxa"/>
            <w:vAlign w:val="bottom"/>
            <w:tcBorders>
              <w:top w:val="single" w:sz="8" w:color="CCEEFF"/>
              <w:bottom w:val="single" w:sz="8" w:color="CCEEFF"/>
            </w:tcBorders>
            <w:gridSpan w:val="16"/>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60" w:type="dxa"/>
            <w:vAlign w:val="bottom"/>
            <w:tcBorders>
              <w:bottom w:val="single" w:sz="8" w:color="0000EE"/>
            </w:tcBorders>
            <w:gridSpan w:val="32"/>
          </w:tcPr>
          <w:p>
            <w:pPr>
              <w:spacing w:after="0" w:line="17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Form of Representative’s Warrant dated January 27, 2021 (incorporated by reference to Exhibit 4.2 to the Registrant’s Amendment No. 2 to</w:t>
              </w:r>
            </w:hyperlink>
          </w:p>
        </w:tc>
        <w:tc>
          <w:tcPr>
            <w:tcW w:w="4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3"/>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Registration Statement on Form S-1 filed with the Securities and Exchange Commission on January 26, 2021)</w:t>
              </w:r>
            </w:hyperlink>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982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Form of Warrant issued to Noteholders (incorporated by reference to Exhibit 4.3 to the Registrant’s Registration Statement on Form S-1</w:t>
              </w:r>
            </w:hyperlink>
          </w:p>
        </w:tc>
        <w:tc>
          <w:tcPr>
            <w:tcW w:w="280" w:type="dxa"/>
            <w:vAlign w:val="bottom"/>
            <w:tcBorders>
              <w:bottom w:val="single" w:sz="8" w:color="CCEEFF"/>
            </w:tcBorders>
            <w:gridSpan w:val="8"/>
            <w:shd w:val="clear" w:color="auto" w:fill="CCEEFF"/>
          </w:tcPr>
          <w:p>
            <w:pPr>
              <w:spacing w:after="0"/>
              <w:rPr>
                <w:sz w:val="15"/>
                <w:szCs w:val="15"/>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548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filed with the Securities and Exchange Commission on December 22, 2020)</w:t>
              </w:r>
            </w:hyperlink>
          </w:p>
        </w:tc>
        <w:tc>
          <w:tcPr>
            <w:tcW w:w="4620" w:type="dxa"/>
            <w:vAlign w:val="bottom"/>
            <w:tcBorders>
              <w:bottom w:val="single" w:sz="8" w:color="CCEEFF"/>
            </w:tcBorders>
            <w:gridSpan w:val="25"/>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996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Description of Registrant’s Securities (incorporated by reference to Exhibit 4.5 to the Registrant’s Annual Report on Form 10-K filed with</w:t>
              </w:r>
            </w:hyperlink>
          </w:p>
        </w:tc>
        <w:tc>
          <w:tcPr>
            <w:tcW w:w="140" w:type="dxa"/>
            <w:vAlign w:val="bottom"/>
            <w:gridSpan w:val="3"/>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3"/>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the Securities and Exchange Commission on April 2, 2021)</w:t>
              </w:r>
            </w:hyperlink>
          </w:p>
        </w:tc>
      </w:tr>
      <w:tr>
        <w:trPr>
          <w:trHeight w:val="21"/>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972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Form of Common Stock Purchase Warrant dated January 28, 2022 (incorporated by reference to Exhibit 4.2 to the Registrant’s Current</w:t>
              </w:r>
            </w:hyperlink>
          </w:p>
        </w:tc>
        <w:tc>
          <w:tcPr>
            <w:tcW w:w="380" w:type="dxa"/>
            <w:vAlign w:val="bottom"/>
            <w:tcBorders>
              <w:bottom w:val="single" w:sz="8" w:color="CCEEFF"/>
            </w:tcBorders>
            <w:gridSpan w:val="12"/>
            <w:shd w:val="clear" w:color="auto" w:fill="CCEEFF"/>
          </w:tcPr>
          <w:p>
            <w:pPr>
              <w:spacing w:after="0"/>
              <w:rPr>
                <w:sz w:val="15"/>
                <w:szCs w:val="15"/>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682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Report on Form 8-K filed with the Securities and Exchange Commission on January 26, 2022)</w:t>
              </w:r>
            </w:hyperlink>
          </w:p>
        </w:tc>
        <w:tc>
          <w:tcPr>
            <w:tcW w:w="3280" w:type="dxa"/>
            <w:vAlign w:val="bottom"/>
            <w:tcBorders>
              <w:bottom w:val="single" w:sz="8" w:color="CCEEFF"/>
            </w:tcBorders>
            <w:gridSpan w:val="22"/>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958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Form of Senior Secured Note (incorporated by reference to Exhibit 4.1 to the Registrant’s Current Report on Form 8-K filed with the</w:t>
              </w:r>
            </w:hyperlink>
          </w:p>
        </w:tc>
        <w:tc>
          <w:tcPr>
            <w:tcW w:w="520" w:type="dxa"/>
            <w:vAlign w:val="bottom"/>
            <w:gridSpan w:val="14"/>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3"/>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Securities and Exchange Commission on August 19, 2022).</w:t>
              </w:r>
            </w:hyperlink>
          </w:p>
        </w:tc>
      </w:tr>
      <w:tr>
        <w:trPr>
          <w:trHeight w:val="21"/>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040" w:type="dxa"/>
            <w:vAlign w:val="bottom"/>
            <w:tcBorders>
              <w:bottom w:val="single" w:sz="8" w:color="0000EE"/>
            </w:tcBorders>
            <w:gridSpan w:val="31"/>
            <w:shd w:val="clear" w:color="auto" w:fill="CCEEFF"/>
          </w:tcPr>
          <w:p>
            <w:pPr>
              <w:spacing w:after="0" w:line="17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Form of Warrant Exchange Warrant (incorporated by reference to Exhibit 4.2 to the Registrant’s Current Report on Form 8-K filed with the</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30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Securities and Exchange Commission on August 19, 2022).</w:t>
              </w:r>
            </w:hyperlink>
          </w:p>
        </w:tc>
        <w:tc>
          <w:tcPr>
            <w:tcW w:w="5800" w:type="dxa"/>
            <w:vAlign w:val="bottom"/>
            <w:tcBorders>
              <w:bottom w:val="single" w:sz="8" w:color="CCEEFF"/>
            </w:tcBorders>
            <w:gridSpan w:val="29"/>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9820" w:type="dxa"/>
            <w:vAlign w:val="bottom"/>
            <w:tcBorders>
              <w:bottom w:val="single" w:sz="8" w:color="0000EE"/>
            </w:tcBorders>
            <w:gridSpan w:val="25"/>
          </w:tcPr>
          <w:p>
            <w:pPr>
              <w:spacing w:after="0" w:line="17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Form of Note Exchange Warrant (incorporated by reference to Exhibit 4.3 to the Registrant’s Current Report on Form 8-K filed with the</w:t>
              </w:r>
            </w:hyperlink>
          </w:p>
        </w:tc>
        <w:tc>
          <w:tcPr>
            <w:tcW w:w="280" w:type="dxa"/>
            <w:vAlign w:val="bottom"/>
            <w:gridSpan w:val="8"/>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3"/>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Securities and Exchange Commission on August 19, 2022).</w:t>
              </w:r>
            </w:hyperlink>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1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Form of Pre-Funded Warrant (incorporated by reference to Exhibit 4.1 to the Registrant’s Current Report on Form 8-K filed with the</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954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Securities and Exchange Commission on December 16, 2022)</w:t>
              </w:r>
            </w:hyperlink>
          </w:p>
        </w:tc>
        <w:tc>
          <w:tcPr>
            <w:tcW w:w="560" w:type="dxa"/>
            <w:vAlign w:val="bottom"/>
            <w:tcBorders>
              <w:top w:val="single" w:sz="8" w:color="CCEEFF"/>
            </w:tcBorders>
            <w:gridSpan w:val="15"/>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938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Form of Common Warrant (incorporated by reference to Exhibit 4.2 to the Registrant’s Current Report on Form 8-K filed with the</w:t>
              </w:r>
            </w:hyperlink>
          </w:p>
        </w:tc>
        <w:tc>
          <w:tcPr>
            <w:tcW w:w="720" w:type="dxa"/>
            <w:vAlign w:val="bottom"/>
            <w:gridSpan w:val="17"/>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3"/>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Securities and Exchange Commission on December 16, 2022)</w:t>
              </w:r>
            </w:hyperlink>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1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Senior Secured Convertible Note (incorporated by reference to Exhibit 4.1 to the Registrant’s Current Report on Form 8-K filed</w:t>
              </w:r>
            </w:hyperlink>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4740" w:type="dxa"/>
            <w:vAlign w:val="bottom"/>
            <w:tcBorders>
              <w:top w:val="single" w:sz="8" w:color="0000EE"/>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with the Securities and Exchange Commission on March 9, 2023)</w:t>
              </w:r>
            </w:hyperlink>
          </w:p>
        </w:tc>
        <w:tc>
          <w:tcPr>
            <w:tcW w:w="5100" w:type="dxa"/>
            <w:vAlign w:val="bottom"/>
            <w:tcBorders>
              <w:top w:val="single" w:sz="8" w:color="0000EE"/>
              <w:bottom w:val="single" w:sz="8" w:color="CCEEFF"/>
            </w:tcBorders>
            <w:gridSpan w:val="20"/>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7"/>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100" w:type="dxa"/>
            <w:vAlign w:val="bottom"/>
            <w:gridSpan w:val="33"/>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Amendment to Senior Secured Note (incorporated by reference to Exhibit 4.2 to the Registrant’s Current Report on Form 8-K filed with the</w:t>
              </w:r>
            </w:hyperlink>
          </w:p>
        </w:tc>
      </w:tr>
      <w:tr>
        <w:trPr>
          <w:trHeight w:val="196"/>
        </w:trPr>
        <w:tc>
          <w:tcPr>
            <w:tcW w:w="1140" w:type="dxa"/>
            <w:vAlign w:val="bottom"/>
          </w:tcPr>
          <w:p>
            <w:pPr>
              <w:spacing w:after="0"/>
              <w:rPr>
                <w:sz w:val="17"/>
                <w:szCs w:val="17"/>
                <w:color w:val="auto"/>
              </w:rPr>
            </w:pPr>
          </w:p>
        </w:tc>
        <w:tc>
          <w:tcPr>
            <w:tcW w:w="1006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Securities and Exchange Commission on March 9, 2023)</w:t>
              </w:r>
            </w:hyperlink>
          </w:p>
        </w:tc>
        <w:tc>
          <w:tcPr>
            <w:tcW w:w="4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994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Exchange Warrant, dated October 27, 2023 (incorporated by reference to Exhibit 4.1 to the Registrant’s Current Report on Form 8-K filed</w:t>
              </w:r>
            </w:hyperlink>
          </w:p>
        </w:tc>
        <w:tc>
          <w:tcPr>
            <w:tcW w:w="16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94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with the Securities and Exchange Commission on October 30, 2023)</w:t>
              </w:r>
            </w:hyperlink>
          </w:p>
        </w:tc>
        <w:tc>
          <w:tcPr>
            <w:tcW w:w="5160" w:type="dxa"/>
            <w:vAlign w:val="bottom"/>
            <w:tcBorders>
              <w:bottom w:val="single" w:sz="8" w:color="CCEEFF"/>
            </w:tcBorders>
            <w:gridSpan w:val="26"/>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9920" w:type="dxa"/>
            <w:vAlign w:val="bottom"/>
            <w:tcBorders>
              <w:bottom w:val="single" w:sz="8" w:color="0000EE"/>
            </w:tcBorders>
            <w:gridSpan w:val="28"/>
          </w:tcPr>
          <w:p>
            <w:pPr>
              <w:spacing w:after="0" w:line="17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Common Stock Purchase Warrant, dated October 27, 2023 (incorporated by reference to Exhibit 4.3 to the Registrant’s Current Report on</w:t>
              </w:r>
            </w:hyperlink>
          </w:p>
        </w:tc>
        <w:tc>
          <w:tcPr>
            <w:tcW w:w="180" w:type="dxa"/>
            <w:vAlign w:val="bottom"/>
            <w:gridSpan w:val="5"/>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3"/>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8-K filed with the Securities and Exchange Commission on October 30, 2023)</w:t>
              </w:r>
            </w:hyperlink>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01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Amended and Restated Junior Secured Promissory Note (incorporated by reference to Exhibit 4.4 to the Registrant’s Current Report on</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6080" w:type="dxa"/>
            <w:vAlign w:val="bottom"/>
            <w:tcBorders>
              <w:top w:val="single" w:sz="8" w:color="0000EE"/>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Form 8-K filed with the Securities and Exchange Commission on October 30, 2023)</w:t>
              </w:r>
            </w:hyperlink>
          </w:p>
        </w:tc>
        <w:tc>
          <w:tcPr>
            <w:tcW w:w="3660" w:type="dxa"/>
            <w:vAlign w:val="bottom"/>
            <w:tcBorders>
              <w:top w:val="single" w:sz="8" w:color="0000EE"/>
              <w:bottom w:val="single" w:sz="8" w:color="CCEEFF"/>
            </w:tcBorders>
            <w:gridSpan w:val="12"/>
            <w:shd w:val="clear" w:color="auto" w:fill="CCEEFF"/>
          </w:tcPr>
          <w:p>
            <w:pPr>
              <w:spacing w:after="0"/>
              <w:rPr>
                <w:sz w:val="18"/>
                <w:szCs w:val="18"/>
                <w:color w:val="auto"/>
              </w:rPr>
            </w:pPr>
          </w:p>
        </w:tc>
        <w:tc>
          <w:tcPr>
            <w:tcW w:w="360" w:type="dxa"/>
            <w:vAlign w:val="bottom"/>
            <w:tcBorders>
              <w:top w:val="single" w:sz="8" w:color="CCEEFF"/>
              <w:bottom w:val="single" w:sz="8" w:color="CCEEFF"/>
            </w:tcBorders>
            <w:gridSpan w:val="11"/>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9800" w:type="dxa"/>
            <w:vAlign w:val="bottom"/>
            <w:tcBorders>
              <w:bottom w:val="single" w:sz="8" w:color="0000EE"/>
            </w:tcBorders>
            <w:gridSpan w:val="24"/>
          </w:tcPr>
          <w:p>
            <w:pPr>
              <w:spacing w:after="0" w:line="17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Junior Secured Promissory Note (incorporated by reference to Exhibit 4.5 to the Registrant’s Current Report on Form 8-K filed with the</w:t>
              </w:r>
            </w:hyperlink>
          </w:p>
        </w:tc>
        <w:tc>
          <w:tcPr>
            <w:tcW w:w="300" w:type="dxa"/>
            <w:vAlign w:val="bottom"/>
            <w:gridSpan w:val="9"/>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3"/>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Securities and Exchange Commission on October 30, 2023)</w:t>
              </w:r>
            </w:hyperlink>
          </w:p>
        </w:tc>
      </w:tr>
      <w:tr>
        <w:trPr>
          <w:trHeight w:val="21"/>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1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Amendment to Junior Secured Promissory Note, dated December 4, 2023, between Agrify Corporation and CP Acquisitions, LLC</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938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(incorporated by reference to Exhibit 4.1 to the Registrant’s Current Report on Form 8-K filed with the Securities and Exchange</w:t>
              </w:r>
            </w:hyperlink>
          </w:p>
        </w:tc>
        <w:tc>
          <w:tcPr>
            <w:tcW w:w="720" w:type="dxa"/>
            <w:vAlign w:val="bottom"/>
            <w:tcBorders>
              <w:top w:val="single" w:sz="8" w:color="CCEEFF"/>
            </w:tcBorders>
            <w:gridSpan w:val="17"/>
            <w:shd w:val="clear" w:color="auto" w:fill="CCEEFF"/>
          </w:tcPr>
          <w:p>
            <w:pPr>
              <w:spacing w:after="0"/>
              <w:rPr>
                <w:sz w:val="17"/>
                <w:szCs w:val="17"/>
                <w:color w:val="auto"/>
              </w:rPr>
            </w:pP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62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Commission on December 6, 2023).</w:t>
              </w:r>
            </w:hyperlink>
          </w:p>
        </w:tc>
        <w:tc>
          <w:tcPr>
            <w:tcW w:w="660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880" w:type="dxa"/>
            <w:vAlign w:val="bottom"/>
            <w:tcBorders>
              <w:top w:val="single" w:sz="8" w:color="CCEEFF"/>
              <w:bottom w:val="single" w:sz="8" w:color="CCEEFF"/>
            </w:tcBorders>
            <w:gridSpan w:val="18"/>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9860" w:type="dxa"/>
            <w:vAlign w:val="bottom"/>
            <w:tcBorders>
              <w:bottom w:val="single" w:sz="8" w:color="0000EE"/>
            </w:tcBorders>
            <w:gridSpan w:val="27"/>
          </w:tcPr>
          <w:p>
            <w:pPr>
              <w:spacing w:after="0" w:line="17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Senior Secured Amended, Restated and Consolidated Convertible Promissory Note dated January 25, 2024 (incorporated by reference to</w:t>
              </w:r>
            </w:hyperlink>
          </w:p>
        </w:tc>
        <w:tc>
          <w:tcPr>
            <w:tcW w:w="240" w:type="dxa"/>
            <w:vAlign w:val="bottom"/>
            <w:gridSpan w:val="6"/>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3"/>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Exhibit 4.1 to the Registrant’s Current Report on Form 8-K filed with the Securities and Exchange Commission on January 25, 2024).</w:t>
              </w:r>
            </w:hyperlink>
          </w:p>
        </w:tc>
      </w:tr>
      <w:tr>
        <w:trPr>
          <w:trHeight w:val="20"/>
        </w:trPr>
        <w:tc>
          <w:tcPr>
            <w:tcW w:w="114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97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Second Amended and Restated Junior Secured Promissory Note dated January 25, 2024 (incorporated by reference to Exhibit 4.2 to the</w:t>
              </w:r>
            </w:hyperlink>
          </w:p>
        </w:tc>
        <w:tc>
          <w:tcPr>
            <w:tcW w:w="320" w:type="dxa"/>
            <w:vAlign w:val="bottom"/>
            <w:tcBorders>
              <w:bottom w:val="single" w:sz="8" w:color="CCEEFF"/>
            </w:tcBorders>
            <w:gridSpan w:val="10"/>
            <w:shd w:val="clear" w:color="auto" w:fill="CCEEFF"/>
          </w:tcPr>
          <w:p>
            <w:pPr>
              <w:spacing w:after="0"/>
              <w:rPr>
                <w:sz w:val="15"/>
                <w:szCs w:val="15"/>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836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Registrant’s Current Report on Form 8-K filed with the Securities and Exchange Commission on January 25, 2024).</w:t>
              </w:r>
            </w:hyperlink>
          </w:p>
        </w:tc>
        <w:tc>
          <w:tcPr>
            <w:tcW w:w="1740" w:type="dxa"/>
            <w:vAlign w:val="bottom"/>
            <w:tcBorders>
              <w:bottom w:val="single" w:sz="8" w:color="CCEEFF"/>
            </w:tcBorders>
            <w:gridSpan w:val="19"/>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4.21</w:t>
            </w:r>
          </w:p>
        </w:tc>
        <w:tc>
          <w:tcPr>
            <w:tcW w:w="10100" w:type="dxa"/>
            <w:vAlign w:val="bottom"/>
            <w:gridSpan w:val="33"/>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Pre-Funded Common Stock Purchase Warrant (incorporated by reference to Exhibit 4.21 to the Registrant’s Registration Statement on</w:t>
              </w:r>
            </w:hyperlink>
          </w:p>
        </w:tc>
      </w:tr>
      <w:tr>
        <w:trPr>
          <w:trHeight w:val="196"/>
        </w:trPr>
        <w:tc>
          <w:tcPr>
            <w:tcW w:w="1140" w:type="dxa"/>
            <w:vAlign w:val="bottom"/>
          </w:tcPr>
          <w:p>
            <w:pPr>
              <w:spacing w:after="0"/>
              <w:rPr>
                <w:sz w:val="17"/>
                <w:szCs w:val="17"/>
                <w:color w:val="auto"/>
              </w:rPr>
            </w:pPr>
          </w:p>
        </w:tc>
        <w:tc>
          <w:tcPr>
            <w:tcW w:w="96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S-1 filed with the Securities and Exchange Commission on February 8, 2024)</w:t>
              </w:r>
            </w:hyperlink>
          </w:p>
        </w:tc>
        <w:tc>
          <w:tcPr>
            <w:tcW w:w="440" w:type="dxa"/>
            <w:vAlign w:val="bottom"/>
            <w:gridSpan w:val="1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4.22</w:t>
            </w:r>
          </w:p>
        </w:tc>
        <w:tc>
          <w:tcPr>
            <w:tcW w:w="9940" w:type="dxa"/>
            <w:vAlign w:val="bottom"/>
            <w:tcBorders>
              <w:bottom w:val="single" w:sz="8" w:color="0000EE"/>
            </w:tcBorders>
            <w:gridSpan w:val="23"/>
            <w:shd w:val="clear" w:color="auto" w:fill="CCEEFF"/>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Form of Placement Agent Warrant (incorporated by reference to Exhibit 4.22 to the Registrant’s Registration Statement on Form S-1 filed</w:t>
              </w:r>
            </w:hyperlink>
          </w:p>
        </w:tc>
        <w:tc>
          <w:tcPr>
            <w:tcW w:w="160" w:type="dxa"/>
            <w:vAlign w:val="bottom"/>
            <w:tcBorders>
              <w:bottom w:val="single" w:sz="8" w:color="CCEEFF"/>
            </w:tcBorders>
            <w:gridSpan w:val="4"/>
            <w:shd w:val="clear" w:color="auto" w:fill="CCEEFF"/>
          </w:tcPr>
          <w:p>
            <w:pPr>
              <w:spacing w:after="0"/>
              <w:rPr>
                <w:sz w:val="17"/>
                <w:szCs w:val="17"/>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92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with the Securities and Exchange Commission on February 8, 2024)</w:t>
              </w:r>
            </w:hyperlink>
          </w:p>
        </w:tc>
        <w:tc>
          <w:tcPr>
            <w:tcW w:w="5180" w:type="dxa"/>
            <w:vAlign w:val="bottom"/>
            <w:tcBorders>
              <w:bottom w:val="single" w:sz="8" w:color="CCEEFF"/>
            </w:tcBorders>
            <w:gridSpan w:val="23"/>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4.23</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Amendment to CP Pre-Funded Common Stock Purchase Warrant (incorporated by reference to Exhibit 4.1 to the Registrant’s Current</w:t>
              </w:r>
            </w:hyperlink>
          </w:p>
        </w:tc>
      </w:tr>
      <w:tr>
        <w:trPr>
          <w:trHeight w:val="196"/>
        </w:trPr>
        <w:tc>
          <w:tcPr>
            <w:tcW w:w="1140" w:type="dxa"/>
            <w:vAlign w:val="bottom"/>
          </w:tcPr>
          <w:p>
            <w:pPr>
              <w:spacing w:after="0"/>
              <w:rPr>
                <w:sz w:val="17"/>
                <w:szCs w:val="17"/>
                <w:color w:val="auto"/>
              </w:rPr>
            </w:pPr>
          </w:p>
        </w:tc>
        <w:tc>
          <w:tcPr>
            <w:tcW w:w="96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Report on Form 8-K filed with the Securities and Exchange Commission on July 3, 2024).</w:t>
              </w:r>
            </w:hyperlink>
          </w:p>
        </w:tc>
        <w:tc>
          <w:tcPr>
            <w:tcW w:w="460" w:type="dxa"/>
            <w:vAlign w:val="bottom"/>
            <w:gridSpan w:val="1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4.24</w:t>
            </w:r>
          </w:p>
        </w:tc>
        <w:tc>
          <w:tcPr>
            <w:tcW w:w="974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Amendment to GIC Pre-Funded Common Stock Purchase Warrant (incorporated by reference to Exhibit 4.2 to the Registrant’s Current</w:t>
              </w:r>
            </w:hyperlink>
          </w:p>
        </w:tc>
        <w:tc>
          <w:tcPr>
            <w:tcW w:w="360" w:type="dxa"/>
            <w:vAlign w:val="bottom"/>
            <w:tcBorders>
              <w:bottom w:val="single" w:sz="8" w:color="CCEEFF"/>
            </w:tcBorders>
            <w:gridSpan w:val="11"/>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Report on Form 8-K filed with the Securities and Exchange Commission on July 3, 2024).</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4.25</w:t>
            </w:r>
          </w:p>
        </w:tc>
        <w:tc>
          <w:tcPr>
            <w:tcW w:w="1006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Junior Secured Convertible Promissory Note (incorporated by reference to Exhibit 4.1 to the Registrant’s Current Report on Form 8-K filed</w:t>
              </w:r>
            </w:hyperlink>
          </w:p>
        </w:tc>
        <w:tc>
          <w:tcPr>
            <w:tcW w:w="4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7"/>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with the Securities and Exchange Commission on August 14, 2024).</w:t>
              </w:r>
            </w:hyperlink>
          </w:p>
        </w:tc>
      </w:tr>
      <w:tr>
        <w:trPr>
          <w:trHeight w:val="21"/>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3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4.26</w:t>
            </w:r>
          </w:p>
        </w:tc>
        <w:tc>
          <w:tcPr>
            <w:tcW w:w="932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Amendment to Junior Secured Promissory Note, dated October 18, 2024, between Agrify Corporation and CP Acquisitions, LLC</w:t>
              </w:r>
            </w:hyperlink>
          </w:p>
        </w:tc>
        <w:tc>
          <w:tcPr>
            <w:tcW w:w="780" w:type="dxa"/>
            <w:vAlign w:val="bottom"/>
            <w:tcBorders>
              <w:bottom w:val="single" w:sz="8" w:color="CCEEFF"/>
            </w:tcBorders>
            <w:gridSpan w:val="15"/>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(incorporated by reference to Exhibit 4.1 to the Registrant’s Current Report on Form 8-K filed with the Securities and Exchange</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922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Commission on October 22, 2024).</w:t>
              </w:r>
            </w:hyperlink>
          </w:p>
        </w:tc>
        <w:tc>
          <w:tcPr>
            <w:tcW w:w="880" w:type="dxa"/>
            <w:vAlign w:val="bottom"/>
            <w:tcBorders>
              <w:top w:val="single" w:sz="8" w:color="CCEEFF"/>
            </w:tcBorders>
            <w:gridSpan w:val="16"/>
            <w:shd w:val="clear" w:color="auto" w:fill="CCEEFF"/>
          </w:tcPr>
          <w:p>
            <w:pPr>
              <w:spacing w:after="0"/>
              <w:rPr>
                <w:sz w:val="18"/>
                <w:szCs w:val="18"/>
                <w:color w:val="auto"/>
              </w:rPr>
            </w:pP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54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Opinion of Fennemore Craig, P.C.</w:t>
            </w:r>
          </w:p>
        </w:tc>
        <w:tc>
          <w:tcPr>
            <w:tcW w:w="7560" w:type="dxa"/>
            <w:vAlign w:val="bottom"/>
            <w:tcBorders>
              <w:top w:val="single" w:sz="8" w:color="CCEEFF"/>
            </w:tcBorders>
            <w:gridSpan w:val="24"/>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952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Operating Agreement of Agrify-Valiant, LLC dated December 8, 2019 (incorporated by reference to Exhibit 10.1 to the Registrant’s</w:t>
              </w:r>
            </w:hyperlink>
          </w:p>
        </w:tc>
        <w:tc>
          <w:tcPr>
            <w:tcW w:w="580" w:type="dxa"/>
            <w:vAlign w:val="bottom"/>
            <w:tcBorders>
              <w:bottom w:val="single" w:sz="8" w:color="CCEEFF"/>
            </w:tcBorders>
            <w:gridSpan w:val="13"/>
            <w:shd w:val="clear" w:color="auto" w:fill="CCEEFF"/>
          </w:tcPr>
          <w:p>
            <w:pPr>
              <w:spacing w:after="0"/>
              <w:rPr>
                <w:sz w:val="15"/>
                <w:szCs w:val="15"/>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812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Registration Statement on Form S-1 filed with the Securities and Exchange Commission on December 22, 2020)</w:t>
              </w:r>
            </w:hyperlink>
          </w:p>
        </w:tc>
        <w:tc>
          <w:tcPr>
            <w:tcW w:w="1980" w:type="dxa"/>
            <w:vAlign w:val="bottom"/>
            <w:tcBorders>
              <w:bottom w:val="single" w:sz="8" w:color="CCEEFF"/>
            </w:tcBorders>
            <w:gridSpan w:val="19"/>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Distribution Agreement dated June 7, 2019 between the Registrant and Bluezone Products, Inc.± (incorporated by reference to Exhibit 10.2</w:t>
              </w:r>
            </w:hyperlink>
          </w:p>
        </w:tc>
      </w:tr>
      <w:tr>
        <w:trPr>
          <w:trHeight w:val="196"/>
        </w:trPr>
        <w:tc>
          <w:tcPr>
            <w:tcW w:w="1140" w:type="dxa"/>
            <w:vAlign w:val="bottom"/>
          </w:tcPr>
          <w:p>
            <w:pPr>
              <w:spacing w:after="0"/>
              <w:rPr>
                <w:sz w:val="17"/>
                <w:szCs w:val="17"/>
                <w:color w:val="auto"/>
              </w:rPr>
            </w:pPr>
          </w:p>
        </w:tc>
        <w:tc>
          <w:tcPr>
            <w:tcW w:w="1004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to the Registrant’s Registration Statement on Form S-1 filed with the Securities and Exchange Commission on December 22, 2020)</w:t>
              </w:r>
            </w:hyperlink>
          </w:p>
        </w:tc>
        <w:tc>
          <w:tcPr>
            <w:tcW w:w="6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Distribution Agreement dated March 9, 2020 between the Registrant and Enozo Technologies Inc.± (incorporated by reference to Exhibit</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860" w:type="dxa"/>
            <w:vAlign w:val="bottom"/>
            <w:tcBorders>
              <w:top w:val="single" w:sz="8" w:color="0000EE"/>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to the Registrant’s Registration Statement on Form S-1 filed with the Securities and Exchange Commission on December 22, 2020)</w:t>
              </w:r>
            </w:hyperlink>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6"/>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992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Purchase Agreement dated as of July 28, 2020 between the Registrant and 4D Bios Inc.± (incorporated by reference to Exhibit 10.4 to the</w:t>
              </w:r>
            </w:hyperlink>
          </w:p>
        </w:tc>
        <w:tc>
          <w:tcPr>
            <w:tcW w:w="180" w:type="dxa"/>
            <w:vAlign w:val="bottom"/>
            <w:gridSpan w:val="5"/>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7"/>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Registrant’s Registration Statement on Form S-1 filed with the Securities and Exchange Commission on December 22, 2020)</w:t>
              </w:r>
            </w:hyperlink>
          </w:p>
        </w:tc>
      </w:tr>
      <w:tr>
        <w:trPr>
          <w:trHeight w:val="20"/>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Employment Agreement dated as of January 4, 2021 between the Registrant and Raymond Chang (incorporated by reference to Exhibit</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976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EE"/>
                </w:rPr>
                <w:t xml:space="preserve"> to the Registrant’s Annual Report on Form 10-K filed with the Securities and Exchange Commission on April 2, 2021)</w:t>
              </w:r>
            </w:hyperlink>
          </w:p>
        </w:tc>
        <w:tc>
          <w:tcPr>
            <w:tcW w:w="340" w:type="dxa"/>
            <w:vAlign w:val="bottom"/>
            <w:tcBorders>
              <w:top w:val="single" w:sz="8" w:color="CCEEFF"/>
            </w:tcBorders>
            <w:gridSpan w:val="10"/>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984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2020 Omnibus Equity Incentive Plan (incorporated by reference to Exhibit 10.13 to the Registrant’s Registration Statement on Form S-1</w:t>
              </w:r>
            </w:hyperlink>
          </w:p>
        </w:tc>
        <w:tc>
          <w:tcPr>
            <w:tcW w:w="260" w:type="dxa"/>
            <w:vAlign w:val="bottom"/>
            <w:gridSpan w:val="8"/>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7"/>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filed with the Securities and Exchange Commission on December 22, 2020)</w:t>
              </w:r>
            </w:hyperlink>
          </w:p>
        </w:tc>
      </w:tr>
      <w:tr>
        <w:trPr>
          <w:trHeight w:val="21"/>
        </w:trPr>
        <w:tc>
          <w:tcPr>
            <w:tcW w:w="1140" w:type="dxa"/>
            <w:vAlign w:val="bottom"/>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98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Intellectual Property Assignment and Transfer Agreement by and among the Registrant, Agrify Brands, LLC and The Holden Company</w:t>
              </w:r>
            </w:hyperlink>
          </w:p>
        </w:tc>
        <w:tc>
          <w:tcPr>
            <w:tcW w:w="300" w:type="dxa"/>
            <w:vAlign w:val="bottom"/>
            <w:tcBorders>
              <w:bottom w:val="single" w:sz="8" w:color="CCEEFF"/>
            </w:tcBorders>
            <w:gridSpan w:val="9"/>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effective as of January 1, 2020 (incorporated by reference to Exhibit 10.16 to the Registrant’s Registration Statement on Form S-1 filed</w:t>
              </w:r>
            </w:hyperlink>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5100" w:type="dxa"/>
            <w:vAlign w:val="bottom"/>
            <w:tcBorders>
              <w:top w:val="single" w:sz="8" w:color="0000EE"/>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with the Securities and Exchange Commission on December 22, 2020)</w:t>
              </w:r>
            </w:hyperlink>
          </w:p>
        </w:tc>
        <w:tc>
          <w:tcPr>
            <w:tcW w:w="4640" w:type="dxa"/>
            <w:vAlign w:val="bottom"/>
            <w:tcBorders>
              <w:top w:val="single" w:sz="8" w:color="0000EE"/>
              <w:bottom w:val="single" w:sz="8" w:color="CCEEFF"/>
            </w:tcBorders>
            <w:gridSpan w:val="11"/>
            <w:shd w:val="clear" w:color="auto" w:fill="CCEEFF"/>
          </w:tcPr>
          <w:p>
            <w:pPr>
              <w:spacing w:after="0"/>
              <w:rPr>
                <w:sz w:val="18"/>
                <w:szCs w:val="18"/>
                <w:color w:val="auto"/>
              </w:rPr>
            </w:pPr>
          </w:p>
        </w:tc>
        <w:tc>
          <w:tcPr>
            <w:tcW w:w="360" w:type="dxa"/>
            <w:vAlign w:val="bottom"/>
            <w:tcBorders>
              <w:top w:val="single" w:sz="8" w:color="CCEEFF"/>
              <w:bottom w:val="single" w:sz="8" w:color="CCEEFF"/>
            </w:tcBorders>
            <w:gridSpan w:val="11"/>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Supply Agreement by and among the Registrant and Mack Molding Co. dated December 7, 2020± (incorporated by reference to Exhibit</w:t>
              </w:r>
            </w:hyperlink>
          </w:p>
        </w:tc>
      </w:tr>
      <w:tr>
        <w:trPr>
          <w:trHeight w:val="20"/>
        </w:trPr>
        <w:tc>
          <w:tcPr>
            <w:tcW w:w="11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500" w:type="dxa"/>
            <w:vAlign w:val="bottom"/>
            <w:gridSpan w:val="17"/>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7"/>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0000EE"/>
                </w:rPr>
                <w:t xml:space="preserve"> to the Registrant’s Amendment No. 1 to Registration Statement on Form S-1 filed with the Securities and Exchange Commission on</w:t>
              </w:r>
            </w:hyperlink>
          </w:p>
        </w:tc>
      </w:tr>
      <w:tr>
        <w:trPr>
          <w:trHeight w:val="196"/>
        </w:trPr>
        <w:tc>
          <w:tcPr>
            <w:tcW w:w="1140" w:type="dxa"/>
            <w:vAlign w:val="bottom"/>
          </w:tcPr>
          <w:p>
            <w:pPr>
              <w:spacing w:after="0"/>
              <w:rPr>
                <w:sz w:val="17"/>
                <w:szCs w:val="17"/>
                <w:color w:val="auto"/>
              </w:rPr>
            </w:pPr>
          </w:p>
        </w:tc>
        <w:tc>
          <w:tcPr>
            <w:tcW w:w="13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January 13, 2021)</w:t>
              </w:r>
            </w:hyperlink>
          </w:p>
        </w:tc>
        <w:tc>
          <w:tcPr>
            <w:tcW w:w="8660" w:type="dxa"/>
            <w:vAlign w:val="bottom"/>
            <w:tcBorders>
              <w:top w:val="single" w:sz="8" w:color="0000EE"/>
            </w:tcBorders>
            <w:gridSpan w:val="23"/>
          </w:tcPr>
          <w:p>
            <w:pPr>
              <w:spacing w:after="0"/>
              <w:rPr>
                <w:sz w:val="17"/>
                <w:szCs w:val="17"/>
                <w:color w:val="auto"/>
              </w:rPr>
            </w:pPr>
          </w:p>
        </w:tc>
        <w:tc>
          <w:tcPr>
            <w:tcW w:w="140" w:type="dxa"/>
            <w:vAlign w:val="bottom"/>
            <w:gridSpan w:val="3"/>
          </w:tcPr>
          <w:p>
            <w:pPr>
              <w:spacing w:after="0"/>
              <w:rPr>
                <w:sz w:val="17"/>
                <w:szCs w:val="17"/>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10.9</w:t>
            </w:r>
          </w:p>
        </w:tc>
        <w:tc>
          <w:tcPr>
            <w:tcW w:w="10000" w:type="dxa"/>
            <w:vAlign w:val="bottom"/>
            <w:tcBorders>
              <w:bottom w:val="single" w:sz="8" w:color="0000EE"/>
            </w:tcBorders>
            <w:gridSpan w:val="25"/>
            <w:shd w:val="clear" w:color="auto" w:fill="CCEEFF"/>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Amended and Restated Operating Agreement of Agrify Brands, LLC effective as of August 12, 2020 (incorporated by reference to Exhibit</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0000EE"/>
                </w:rPr>
                <w:t xml:space="preserve"> to the Registrant’s Registration Statement on Form S-1 filed with the Securities and Exchange Commission on December 22, 2020)</w:t>
              </w:r>
            </w:hyperlink>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9840" w:type="dxa"/>
            <w:vAlign w:val="bottom"/>
            <w:tcBorders>
              <w:top w:val="single" w:sz="8" w:color="0000EE"/>
              <w:bottom w:val="single" w:sz="8" w:color="0000EE"/>
            </w:tcBorders>
            <w:gridSpan w:val="19"/>
          </w:tcPr>
          <w:p>
            <w:pPr>
              <w:spacing w:after="0" w:line="17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Indemnification Agreement with directors and executive officers (incorporated by reference to Exhibit 10.18 to the Registrant’s</w:t>
              </w:r>
            </w:hyperlink>
          </w:p>
        </w:tc>
        <w:tc>
          <w:tcPr>
            <w:tcW w:w="80" w:type="dxa"/>
            <w:vAlign w:val="bottom"/>
            <w:tcBorders>
              <w:top w:val="single" w:sz="8" w:color="0000EE"/>
            </w:tcBorders>
            <w:gridSpan w:val="3"/>
          </w:tcPr>
          <w:p>
            <w:pPr>
              <w:spacing w:after="0"/>
              <w:rPr>
                <w:sz w:val="15"/>
                <w:szCs w:val="15"/>
                <w:color w:val="auto"/>
              </w:rPr>
            </w:pPr>
          </w:p>
        </w:tc>
        <w:tc>
          <w:tcPr>
            <w:tcW w:w="180" w:type="dxa"/>
            <w:vAlign w:val="bottom"/>
            <w:tcBorders>
              <w:top w:val="single" w:sz="8" w:color="CCEEFF"/>
            </w:tcBorders>
            <w:gridSpan w:val="7"/>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9"/>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Registration Statement on Form S-1 filed with the Securities and Exchange Commission on February 11, 2021)</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Employment Agreement, dated as of November 10, 2021, between the Registrant and Timothy Oakes† (incorporated by reference to</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9900" w:type="dxa"/>
            <w:vAlign w:val="bottom"/>
            <w:tcBorders>
              <w:bottom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Exhibit 10.2 to the Registrant’s Current Report on Form 8-K filed with the Securities and Exchange Commission on November 15, 2021)</w:t>
              </w:r>
            </w:hyperlink>
          </w:p>
        </w:tc>
        <w:tc>
          <w:tcPr>
            <w:tcW w:w="200" w:type="dxa"/>
            <w:vAlign w:val="bottom"/>
            <w:tcBorders>
              <w:bottom w:val="single" w:sz="8" w:color="CCEEFF"/>
            </w:tcBorders>
            <w:gridSpan w:val="8"/>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Form of Securities Purchase Agreement, dated as of January 25, 2022, between the Registrant and the Purchasers party thereto</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(incorporated by reference to Exhibit 10.1 to the Registrant’s Current Report on Form 8-K filed with the Securities and Exchange</w:t>
              </w:r>
            </w:hyperlink>
          </w:p>
        </w:tc>
        <w:tc>
          <w:tcPr>
            <w:tcW w:w="780" w:type="dxa"/>
            <w:vAlign w:val="bottom"/>
            <w:gridSpan w:val="1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9"/>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Commission on January 26, 2022)</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95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of Securities Purchase Agreement, dated as of March 14, 2022, between the Registrant and High Trail Special Situations LLC</w:t>
              </w:r>
            </w:hyperlink>
          </w:p>
        </w:tc>
        <w:tc>
          <w:tcPr>
            <w:tcW w:w="600" w:type="dxa"/>
            <w:vAlign w:val="bottom"/>
            <w:tcBorders>
              <w:bottom w:val="single" w:sz="8" w:color="CCEEFF"/>
            </w:tcBorders>
            <w:gridSpan w:val="16"/>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932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(incorporated by reference to Exhibit 10.1 to the Registrant’s Current Report on Form 8-K filed with the Securities and Exchange</w:t>
              </w:r>
            </w:hyperlink>
          </w:p>
        </w:tc>
        <w:tc>
          <w:tcPr>
            <w:tcW w:w="780" w:type="dxa"/>
            <w:vAlign w:val="bottom"/>
            <w:tcBorders>
              <w:bottom w:val="single" w:sz="8" w:color="CCEEFF"/>
            </w:tcBorders>
            <w:gridSpan w:val="18"/>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Commission on March 18, 2022)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Agrify Corporation 2022 Omnibus Equity Incentive Plan (incorporated by reference to Appendix A to the Registrant’s Definitive Proxy</w:t>
              </w:r>
            </w:hyperlink>
          </w:p>
        </w:tc>
      </w:tr>
      <w:tr>
        <w:trPr>
          <w:trHeight w:val="196"/>
        </w:trPr>
        <w:tc>
          <w:tcPr>
            <w:tcW w:w="1140" w:type="dxa"/>
            <w:vAlign w:val="bottom"/>
          </w:tcPr>
          <w:p>
            <w:pPr>
              <w:spacing w:after="0"/>
              <w:rPr>
                <w:sz w:val="17"/>
                <w:szCs w:val="17"/>
                <w:color w:val="auto"/>
              </w:rPr>
            </w:pPr>
          </w:p>
        </w:tc>
        <w:tc>
          <w:tcPr>
            <w:tcW w:w="97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Statement on Schedule 14A filed with the Securities and Exchange Commission on April 29, 2022)</w:t>
              </w:r>
            </w:hyperlink>
          </w:p>
        </w:tc>
        <w:tc>
          <w:tcPr>
            <w:tcW w:w="320" w:type="dxa"/>
            <w:vAlign w:val="bottom"/>
            <w:gridSpan w:val="1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976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Agrify Corporation 2022 Employee Stock Purchase Plan (incorporated by reference to Appendix B to the Registrant’s Definitive Proxy</w:t>
              </w:r>
            </w:hyperlink>
          </w:p>
        </w:tc>
        <w:tc>
          <w:tcPr>
            <w:tcW w:w="340" w:type="dxa"/>
            <w:vAlign w:val="bottom"/>
            <w:tcBorders>
              <w:bottom w:val="single" w:sz="8" w:color="CCEEFF"/>
            </w:tcBorders>
            <w:gridSpan w:val="13"/>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Statement on Schedule 14A filed with the Securities and Exchange Commission on April 29, 2022)</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982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Separation Agreement of Thomas Massie, dated as of July 8, 2022 (incorporated by reference to Exhibit 10.2 to the Registrant’s Current</w:t>
              </w:r>
            </w:hyperlink>
          </w:p>
        </w:tc>
        <w:tc>
          <w:tcPr>
            <w:tcW w:w="280" w:type="dxa"/>
            <w:vAlign w:val="bottom"/>
            <w:gridSpan w:val="11"/>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9"/>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Report on Form 8-K filed with the Securities and Exchange Commission on July 14, 2022).</w:t>
              </w:r>
            </w:hyperlink>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1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Employment Agreement, dated as of July 14, 2022, between the Registrant and Stuart Wilcox (incorporated by reference to Exhibit 10.1 to</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the Registrant’s Current Report on Form 8-K filed with the Securities and Exchange Commission on July 14, 2022).</w:t>
              </w:r>
            </w:hyperlink>
          </w:p>
        </w:tc>
        <w:tc>
          <w:tcPr>
            <w:tcW w:w="100" w:type="dxa"/>
            <w:vAlign w:val="bottom"/>
            <w:tcBorders>
              <w:top w:val="single" w:sz="8" w:color="CCEEFF"/>
            </w:tcBorders>
            <w:gridSpan w:val="4"/>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Exchange Agreement, dated as of August 18, 2022, between the Registrant and High Trail Special Situations LLC (incorporated by</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60" w:type="dxa"/>
            <w:vAlign w:val="bottom"/>
            <w:gridSpan w:val="7"/>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reference to Exhibit 10.1 to the Registrant’s Current Report on Form 8-K filed with the Securities and Exchange Commission on August 19,</w:t>
              </w:r>
            </w:hyperlink>
          </w:p>
        </w:tc>
      </w:tr>
      <w:tr>
        <w:trPr>
          <w:trHeight w:val="196"/>
        </w:trPr>
        <w:tc>
          <w:tcPr>
            <w:tcW w:w="1140" w:type="dxa"/>
            <w:vAlign w:val="bottom"/>
          </w:tcPr>
          <w:p>
            <w:pPr>
              <w:spacing w:after="0"/>
              <w:rPr>
                <w:sz w:val="17"/>
                <w:szCs w:val="17"/>
                <w:color w:val="auto"/>
              </w:rPr>
            </w:pPr>
          </w:p>
        </w:tc>
        <w:tc>
          <w:tcPr>
            <w:tcW w:w="700" w:type="dxa"/>
            <w:vAlign w:val="bottom"/>
            <w:gridSpan w:val="2"/>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2022).</w:t>
              </w:r>
            </w:hyperlink>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954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Equity Distribution Agreement, dated as of October 18, 2022, between the Registrant and Canaccord Genuity LLC (incorporated by</w:t>
              </w:r>
            </w:hyperlink>
          </w:p>
        </w:tc>
        <w:tc>
          <w:tcPr>
            <w:tcW w:w="560" w:type="dxa"/>
            <w:vAlign w:val="bottom"/>
            <w:tcBorders>
              <w:bottom w:val="single" w:sz="8" w:color="CCEEFF"/>
            </w:tcBorders>
            <w:gridSpan w:val="15"/>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reference to Exhibit 1.1 to the Registrant’s Current Report on Form 8-K filed with the Securities and Exchange Commission on October 18,</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2022).</w:t>
              </w:r>
            </w:hyperlink>
          </w:p>
        </w:tc>
        <w:tc>
          <w:tcPr>
            <w:tcW w:w="16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120" w:type="dxa"/>
            <w:vAlign w:val="bottom"/>
            <w:tcBorders>
              <w:top w:val="single" w:sz="8" w:color="0000EE"/>
            </w:tcBorders>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86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right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060" w:type="dxa"/>
            <w:vAlign w:val="bottom"/>
            <w:tcBorders>
              <w:bottom w:val="single" w:sz="8" w:color="0000EE"/>
            </w:tcBorders>
            <w:gridSpan w:val="27"/>
          </w:tcPr>
          <w:p>
            <w:pPr>
              <w:spacing w:after="0" w:line="17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Employment Agreement, dated as of July 25, 2022, between the Registrant and Timothy Hayden (incorporated by reference to Exhibit 10.1</w:t>
              </w:r>
            </w:hyperlink>
          </w:p>
        </w:tc>
        <w:tc>
          <w:tcPr>
            <w:tcW w:w="40" w:type="dxa"/>
            <w:vAlign w:val="bottom"/>
            <w:gridSpan w:val="2"/>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9"/>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to the Registrant’s Current Report on Form 8-K filed with the Securities and Exchange Commission on January 24, 2023)</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04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Exchange Agreement, dated as of March 8, 2023, between the Registrant and High Trail Special Situations LLC (incorporated by reference</w:t>
              </w:r>
            </w:hyperlink>
          </w:p>
        </w:tc>
        <w:tc>
          <w:tcPr>
            <w:tcW w:w="60" w:type="dxa"/>
            <w:vAlign w:val="bottom"/>
            <w:tcBorders>
              <w:bottom w:val="single" w:sz="8" w:color="CCEEFF"/>
            </w:tcBorders>
            <w:gridSpan w:val="3"/>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to Exhibit 10.1 to the Registrant’s Current Report on Form 8-K filed with the Securities and Exchange Commission on March 9, 2023)</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9980" w:type="dxa"/>
            <w:vAlign w:val="bottom"/>
            <w:tcBorders>
              <w:bottom w:val="single" w:sz="8" w:color="0000EE"/>
            </w:tcBorders>
            <w:gridSpan w:val="24"/>
          </w:tcPr>
          <w:p>
            <w:pPr>
              <w:spacing w:after="0" w:line="17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Company and Investor Acknowledgment, dated as of October 27, 2023, between the Registrant and CP acquisitions LLC (incorporated by</w:t>
              </w:r>
            </w:hyperlink>
          </w:p>
        </w:tc>
        <w:tc>
          <w:tcPr>
            <w:tcW w:w="120" w:type="dxa"/>
            <w:vAlign w:val="bottom"/>
            <w:gridSpan w:val="5"/>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9"/>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reference to Exhibit 10.1 to the Registrant’s Current Report on Form 8-K filed with the Securities and Exchange Commission on October</w:t>
              </w:r>
            </w:hyperlink>
          </w:p>
        </w:tc>
      </w:tr>
      <w:tr>
        <w:trPr>
          <w:trHeight w:val="196"/>
        </w:trPr>
        <w:tc>
          <w:tcPr>
            <w:tcW w:w="1140" w:type="dxa"/>
            <w:vAlign w:val="bottom"/>
          </w:tcPr>
          <w:p>
            <w:pPr>
              <w:spacing w:after="0"/>
              <w:rPr>
                <w:sz w:val="17"/>
                <w:szCs w:val="17"/>
                <w:color w:val="auto"/>
              </w:rPr>
            </w:pPr>
          </w:p>
        </w:tc>
        <w:tc>
          <w:tcPr>
            <w:tcW w:w="23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30, 2023)</w:t>
              </w:r>
            </w:hyperlink>
          </w:p>
        </w:tc>
        <w:tc>
          <w:tcPr>
            <w:tcW w:w="100" w:type="dxa"/>
            <w:vAlign w:val="bottom"/>
            <w:tcBorders>
              <w:top w:val="single" w:sz="8" w:color="0000EE"/>
            </w:tcBorders>
          </w:tcPr>
          <w:p>
            <w:pPr>
              <w:spacing w:after="0"/>
              <w:rPr>
                <w:sz w:val="17"/>
                <w:szCs w:val="17"/>
                <w:color w:val="auto"/>
              </w:rPr>
            </w:pPr>
          </w:p>
        </w:tc>
        <w:tc>
          <w:tcPr>
            <w:tcW w:w="4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996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Letter Agreement, dated as of October 27, 2023, between the Registrant and High Trail Special Situations LLC (incorporated by reference</w:t>
              </w:r>
            </w:hyperlink>
          </w:p>
        </w:tc>
        <w:tc>
          <w:tcPr>
            <w:tcW w:w="140" w:type="dxa"/>
            <w:vAlign w:val="bottom"/>
            <w:tcBorders>
              <w:bottom w:val="single" w:sz="8" w:color="CCEEFF"/>
            </w:tcBorders>
            <w:gridSpan w:val="6"/>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to Exhibit 10.2 to the Registrant’s Current Report on Form 8-K filed with the Securities and Exchange Commission on October 30, 2023)</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0060" w:type="dxa"/>
            <w:vAlign w:val="bottom"/>
            <w:tcBorders>
              <w:bottom w:val="single" w:sz="8" w:color="0000EE"/>
            </w:tcBorders>
            <w:gridSpan w:val="27"/>
          </w:tcPr>
          <w:p>
            <w:pPr>
              <w:spacing w:after="0" w:line="17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Modification Agreement, effective as of October 18, 2023, between the Registrant and Mack Molding Company (incorporated by reference</w:t>
              </w:r>
            </w:hyperlink>
          </w:p>
        </w:tc>
        <w:tc>
          <w:tcPr>
            <w:tcW w:w="40" w:type="dxa"/>
            <w:vAlign w:val="bottom"/>
            <w:gridSpan w:val="2"/>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9"/>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to Exhibit 10.3 to the Registrant’s Current Report on Form 8-K filed with the Securities and Exchange Commission on October 30, 2023)</w:t>
              </w:r>
            </w:hyperlink>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004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Purchase Agreement, dated as of August 28, 2024, by and between Agrify Corporation and Ionic Ventures, LLC (incorporated by reference</w:t>
              </w:r>
            </w:hyperlink>
          </w:p>
        </w:tc>
        <w:tc>
          <w:tcPr>
            <w:tcW w:w="60" w:type="dxa"/>
            <w:vAlign w:val="bottom"/>
            <w:tcBorders>
              <w:bottom w:val="single" w:sz="8" w:color="CCEEFF"/>
            </w:tcBorders>
            <w:gridSpan w:val="3"/>
            <w:shd w:val="clear" w:color="auto" w:fill="CCEEFF"/>
          </w:tcPr>
          <w:p>
            <w:pPr>
              <w:spacing w:after="0"/>
              <w:rPr>
                <w:sz w:val="15"/>
                <w:szCs w:val="15"/>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to Exhibit 10.1 to the Registrant’s Current Report on Form 8-K filed with the Securities and Exchange Commission on August 29, 2024)</w:t>
              </w:r>
            </w:hyperlink>
          </w:p>
        </w:tc>
      </w:tr>
      <w:tr>
        <w:trPr>
          <w:trHeight w:val="682"/>
        </w:trPr>
        <w:tc>
          <w:tcPr>
            <w:tcW w:w="114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6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7360" w:type="dxa"/>
            <w:vAlign w:val="bottom"/>
            <w:tcBorders>
              <w:top w:val="single" w:sz="8" w:color="0000EE"/>
              <w:bottom w:val="single" w:sz="8" w:color="auto"/>
            </w:tcBorders>
            <w:gridSpan w:val="15"/>
          </w:tcPr>
          <w:p>
            <w:pPr>
              <w:ind w:left="1820"/>
              <w:spacing w:after="0"/>
              <w:rPr>
                <w:sz w:val="20"/>
                <w:szCs w:val="20"/>
                <w:color w:val="auto"/>
              </w:rPr>
            </w:pPr>
            <w:r>
              <w:rPr>
                <w:rFonts w:ascii="Times New Roman" w:cs="Times New Roman" w:eastAsia="Times New Roman" w:hAnsi="Times New Roman"/>
                <w:sz w:val="18"/>
                <w:szCs w:val="18"/>
                <w:color w:val="auto"/>
              </w:rPr>
              <w:t>II-10</w:t>
            </w:r>
          </w:p>
        </w:tc>
        <w:tc>
          <w:tcPr>
            <w:tcW w:w="260" w:type="dxa"/>
            <w:vAlign w:val="bottom"/>
            <w:tcBorders>
              <w:top w:val="single" w:sz="8" w:color="CCEEFF"/>
              <w:bottom w:val="single" w:sz="8" w:color="auto"/>
            </w:tcBorders>
            <w:gridSpan w:val="10"/>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10.26</w:t>
            </w:r>
          </w:p>
        </w:tc>
        <w:tc>
          <w:tcPr>
            <w:tcW w:w="10080" w:type="dxa"/>
            <w:vAlign w:val="bottom"/>
            <w:tcBorders>
              <w:bottom w:val="single" w:sz="8" w:color="0000EE"/>
            </w:tcBorders>
            <w:gridSpan w:val="15"/>
            <w:shd w:val="clear" w:color="auto" w:fill="CCEEFF"/>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Registration Rights Agreement, dated as of August 28, 2024, by and between Agrify Corporation and Ionic Ventures, LLC (incorporated by</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reference to Exhibit 10.2 to the Registrant’s Current Report on Form 8-K filed with the Securities and Exchange Commission on August 29,</w:t>
              </w:r>
            </w:hyperlink>
          </w:p>
        </w:tc>
      </w:tr>
      <w:tr>
        <w:trPr>
          <w:trHeight w:val="196"/>
        </w:trPr>
        <w:tc>
          <w:tcPr>
            <w:tcW w:w="1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2024)</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10100" w:type="dxa"/>
            <w:vAlign w:val="bottom"/>
            <w:gridSpan w:val="16"/>
          </w:tcPr>
          <w:p>
            <w:pPr>
              <w:spacing w:after="0" w:line="17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Amendment to Pre-Funded Common Stock Purchase Warrant, dated as of August 28, 2024, by and between Agrify Corporation and CP</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Acquisitions, LLC (incorporated by reference to Exhibit 10.3 to the Registrant’s Current Report on Form 8-K filed with the Securities and</w:t>
              </w:r>
            </w:hyperlink>
          </w:p>
        </w:tc>
      </w:tr>
      <w:tr>
        <w:trPr>
          <w:trHeight w:val="196"/>
        </w:trPr>
        <w:tc>
          <w:tcPr>
            <w:tcW w:w="1140" w:type="dxa"/>
            <w:vAlign w:val="bottom"/>
          </w:tcPr>
          <w:p>
            <w:pPr>
              <w:spacing w:after="0"/>
              <w:rPr>
                <w:sz w:val="17"/>
                <w:szCs w:val="17"/>
                <w:color w:val="auto"/>
              </w:rPr>
            </w:pPr>
          </w:p>
        </w:tc>
        <w:tc>
          <w:tcPr>
            <w:tcW w:w="99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Exchange Commission on August 29, 2024)</w:t>
              </w:r>
            </w:hyperlink>
          </w:p>
        </w:tc>
        <w:tc>
          <w:tcPr>
            <w:tcW w:w="160" w:type="dxa"/>
            <w:vAlign w:val="bottom"/>
            <w:gridSpan w:val="4"/>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988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Amendment to Pre-Funded Common Stock Purchase Warrant, dated as of August 28, 2024, by and between Agrify Corporation and GIC</w:t>
              </w:r>
            </w:hyperlink>
          </w:p>
        </w:tc>
        <w:tc>
          <w:tcPr>
            <w:tcW w:w="220" w:type="dxa"/>
            <w:vAlign w:val="bottom"/>
            <w:tcBorders>
              <w:bottom w:val="single" w:sz="8" w:color="CCEEFF"/>
            </w:tcBorders>
            <w:gridSpan w:val="6"/>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984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Acquisition LLC (incorporated by reference to Exhibit 10.4 to the Registrant’s Current Report on Form 8-K filed with the Securities and</w:t>
              </w:r>
            </w:hyperlink>
          </w:p>
        </w:tc>
        <w:tc>
          <w:tcPr>
            <w:tcW w:w="260" w:type="dxa"/>
            <w:vAlign w:val="bottom"/>
            <w:tcBorders>
              <w:bottom w:val="single" w:sz="8" w:color="CCEEFF"/>
            </w:tcBorders>
            <w:gridSpan w:val="7"/>
            <w:shd w:val="clear" w:color="auto" w:fill="CCEEFF"/>
          </w:tcPr>
          <w:p>
            <w:pPr>
              <w:spacing w:after="0"/>
              <w:rPr>
                <w:sz w:val="17"/>
                <w:szCs w:val="17"/>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Exchange Commission on August 29, 2024)</w:t>
              </w:r>
            </w:hyperlink>
          </w:p>
        </w:tc>
        <w:tc>
          <w:tcPr>
            <w:tcW w:w="6900" w:type="dxa"/>
            <w:vAlign w:val="bottom"/>
            <w:tcBorders>
              <w:bottom w:val="single" w:sz="8" w:color="CCEEFF"/>
            </w:tcBorders>
            <w:gridSpan w:val="11"/>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10100" w:type="dxa"/>
            <w:vAlign w:val="bottom"/>
            <w:gridSpan w:val="16"/>
          </w:tcPr>
          <w:p>
            <w:pPr>
              <w:spacing w:after="0" w:line="17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First Amendment to Modification and Settlement Agreement, dated as of August 30, 2024, by and between Agrify Corporation and Mack</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60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Molding Company (incorporated by reference to Exhibit 10.1 to the Registrant’s Current Report on Form 8-K filed with the Securities and</w:t>
              </w:r>
            </w:hyperlink>
          </w:p>
        </w:tc>
        <w:tc>
          <w:tcPr>
            <w:tcW w:w="1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Exchange Commission on September 4, 2024)</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Subsidiaries of the Registrant (previously filed as an exhibit to the Registrant’s Registration Statement on Form S-1 filed on September 27,</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2024 and incorporated by reference thereto).</w:t>
              </w:r>
            </w:hyperlink>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32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LLP</w:t>
            </w:r>
          </w:p>
        </w:tc>
        <w:tc>
          <w:tcPr>
            <w:tcW w:w="6900" w:type="dxa"/>
            <w:vAlign w:val="bottom"/>
            <w:tcBorders>
              <w:top w:val="single" w:sz="8" w:color="CCEEFF"/>
            </w:tcBorders>
            <w:gridSpan w:val="11"/>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Fennemore Craig, P.C. (included in Exhibit 5.1).</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100" w:type="dxa"/>
            <w:vAlign w:val="bottom"/>
            <w:gridSpan w:val="16"/>
          </w:tcPr>
          <w:p>
            <w:pPr>
              <w:spacing w:after="0" w:line="17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Power of Attorney (previously filed as an exhibit to the Registrant’s Registration Statement on Form S-1 filed on September 27, 2024 and</w:t>
              </w:r>
            </w:hyperlink>
          </w:p>
        </w:tc>
      </w:tr>
      <w:tr>
        <w:trPr>
          <w:trHeight w:val="196"/>
        </w:trPr>
        <w:tc>
          <w:tcPr>
            <w:tcW w:w="1140" w:type="dxa"/>
            <w:vAlign w:val="bottom"/>
          </w:tcPr>
          <w:p>
            <w:pPr>
              <w:spacing w:after="0"/>
              <w:rPr>
                <w:sz w:val="17"/>
                <w:szCs w:val="17"/>
                <w:color w:val="auto"/>
              </w:rPr>
            </w:pPr>
          </w:p>
        </w:tc>
        <w:tc>
          <w:tcPr>
            <w:tcW w:w="99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incorporated by reference thereto).</w:t>
              </w:r>
            </w:hyperlink>
          </w:p>
        </w:tc>
        <w:tc>
          <w:tcPr>
            <w:tcW w:w="180" w:type="dxa"/>
            <w:vAlign w:val="bottom"/>
            <w:gridSpan w:val="5"/>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Calculation of Registration Fee</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omitted from this exhibit in reliance upon Item 601(a)(5) of Regulation S-K.</w:t>
      </w:r>
    </w:p>
    <w:p>
      <w:pPr>
        <w:spacing w:after="0" w:line="27" w:lineRule="exact"/>
        <w:rPr>
          <w:rFonts w:ascii="Times New Roman" w:cs="Times New Roman" w:eastAsia="Times New Roman" w:hAnsi="Times New Roman"/>
          <w:sz w:val="18"/>
          <w:szCs w:val="18"/>
          <w:color w:val="auto"/>
        </w:rPr>
      </w:pPr>
    </w:p>
    <w:p>
      <w:pPr>
        <w:ind w:right="58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compensatory plan, or arrangement. * Filed herewith.</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648"/>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Troy, State of Michigan, on this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October, 2024.</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2885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74">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63" w:lineRule="exact"/>
        <w:rPr>
          <w:sz w:val="20"/>
          <w:szCs w:val="20"/>
          <w:color w:val="auto"/>
        </w:rPr>
      </w:pPr>
    </w:p>
    <w:p>
      <w:pPr>
        <w:ind w:right="1120"/>
        <w:spacing w:after="0" w:line="313" w:lineRule="auto"/>
        <w:rPr>
          <w:sz w:val="20"/>
          <w:szCs w:val="20"/>
          <w:color w:val="auto"/>
        </w:rPr>
      </w:pPr>
      <w:r>
        <w:rPr>
          <w:rFonts w:ascii="Times New Roman" w:cs="Times New Roman" w:eastAsia="Times New Roman" w:hAnsi="Times New Roman"/>
          <w:sz w:val="18"/>
          <w:szCs w:val="18"/>
          <w:color w:val="auto"/>
        </w:rPr>
        <w:t>/s/ Raymond Nobu Chang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22885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5">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6">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I-Tseng Jenny Chan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7">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 Holtzman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8">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Mahoney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9">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Krishnan Varier</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17145</wp:posOffset>
            </wp:positionV>
            <wp:extent cx="19202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80">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5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2024</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and</w:t>
            </w:r>
          </w:p>
        </w:tc>
        <w:tc>
          <w:tcPr>
            <w:tcW w:w="2480" w:type="dxa"/>
            <w:vAlign w:val="bottom"/>
          </w:tcPr>
          <w:p>
            <w:pPr>
              <w:spacing w:after="0"/>
              <w:rPr>
                <w:sz w:val="18"/>
                <w:szCs w:val="18"/>
                <w:color w:val="auto"/>
              </w:rPr>
            </w:pPr>
          </w:p>
        </w:tc>
      </w:tr>
      <w:tr>
        <w:trPr>
          <w:trHeight w:val="23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2480" w:type="dxa"/>
            <w:vAlign w:val="bottom"/>
          </w:tcPr>
          <w:p>
            <w:pPr>
              <w:spacing w:after="0"/>
              <w:rPr>
                <w:sz w:val="20"/>
                <w:szCs w:val="20"/>
                <w:color w:val="auto"/>
              </w:rPr>
            </w:pPr>
          </w:p>
        </w:tc>
      </w:tr>
      <w:tr>
        <w:trPr>
          <w:trHeight w:val="445"/>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2024</w:t>
            </w:r>
          </w:p>
        </w:tc>
      </w:tr>
      <w:tr>
        <w:trPr>
          <w:trHeight w:val="675"/>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2024</w:t>
            </w:r>
          </w:p>
        </w:tc>
      </w:tr>
      <w:tr>
        <w:trPr>
          <w:trHeight w:val="675"/>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2024</w:t>
            </w:r>
          </w:p>
        </w:tc>
      </w:tr>
      <w:tr>
        <w:trPr>
          <w:trHeight w:val="675"/>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2024</w:t>
            </w:r>
          </w:p>
        </w:tc>
      </w:tr>
    </w:tbl>
    <w:p>
      <w:pPr>
        <w:spacing w:after="0" w:line="1311" w:lineRule="exact"/>
        <w:rPr>
          <w:sz w:val="20"/>
          <w:szCs w:val="20"/>
          <w:color w:val="auto"/>
        </w:rPr>
      </w:pPr>
    </w:p>
    <w:p>
      <w:pPr>
        <w:sectPr>
          <w:pgSz w:w="11900" w:h="16838" w:orient="portrait"/>
          <w:cols w:equalWidth="0" w:num="2">
            <w:col w:w="3000" w:space="720"/>
            <w:col w:w="7520"/>
          </w:cols>
          <w:pgMar w:left="320" w:top="900" w:right="3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9275 W. Russell Road, Suite 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-119380</wp:posOffset>
            </wp:positionV>
            <wp:extent cx="8255" cy="548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2">
                      <a:extLst>
                        <a:ext uri="{28A0092B-C50C-407E-A947-70E740481C1C}"/>
                      </a:extLst>
                    </a:blip>
                    <a:srcRect/>
                    <a:stretch>
                      <a:fillRect/>
                    </a:stretch>
                  </pic:blipFill>
                  <pic:spPr bwMode="auto">
                    <a:xfrm>
                      <a:off x="0" y="0"/>
                      <a:ext cx="8255"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1071245" cy="316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83">
                      <a:extLst>
                        <a:ext uri="{28A0092B-C50C-407E-A947-70E740481C1C}"/>
                      </a:extLst>
                    </a:blip>
                    <a:srcRect/>
                    <a:stretch>
                      <a:fillRect/>
                    </a:stretch>
                  </pic:blipFill>
                  <pic:spPr bwMode="auto">
                    <a:xfrm>
                      <a:off x="0" y="0"/>
                      <a:ext cx="1071245" cy="316865"/>
                    </a:xfrm>
                    <a:prstGeom prst="rect">
                      <a:avLst/>
                    </a:prstGeom>
                    <a:noFill/>
                  </pic:spPr>
                </pic:pic>
              </a:graphicData>
            </a:graphic>
          </wp:anchor>
        </w:drawing>
      </w:r>
    </w:p>
    <w:p>
      <w:pPr>
        <w:spacing w:after="0" w:line="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Las Vegas, Nevada 89148</w:t>
      </w:r>
    </w:p>
    <w:p>
      <w:pPr>
        <w:spacing w:after="0" w:line="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PH (702) 692-8000 | FX (702) 692- 8099</w:t>
      </w:r>
    </w:p>
    <w:p>
      <w:pPr>
        <w:spacing w:after="0" w:line="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fennemorelaw.com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2468 Industrial Row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Michigan 48084</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Re:</w:t>
      </w:r>
      <w:r>
        <w:rPr>
          <w:sz w:val="20"/>
          <w:szCs w:val="20"/>
          <w:color w:val="auto"/>
        </w:rPr>
        <w:tab/>
      </w:r>
      <w:r>
        <w:rPr>
          <w:rFonts w:ascii="Times New Roman" w:cs="Times New Roman" w:eastAsia="Times New Roman" w:hAnsi="Times New Roman"/>
          <w:sz w:val="18"/>
          <w:szCs w:val="18"/>
          <w:b w:val="1"/>
          <w:bCs w:val="1"/>
          <w:i w:val="1"/>
          <w:iCs w:val="1"/>
          <w:color w:val="auto"/>
        </w:rPr>
        <w:t>Agrify Corporation/Registration Statement on Form S-1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have acted as special Nevada counsel to Agrify Corporation, a Nevada corporation (the “Company”), in connection with the issuance and sale by the Company of up to an aggregate of 313,333 shares of the Company’s common stock, $0.001 par value per share (the “Common Stock”), which may be issued pursuant to a purchase agreement dated as of August 28, 2024 (the “ELOC Purchase Agreement”), by and between the Company and Ionic Ventures, LLC (“Ionic”), which provides that, upon the terms and subject to the conditions and limitations set forth therein, the Company has the right to direct Ionic to purchase up to an aggregate of $15,000,000 of shares of the Company’s Common Stock (the “Shares”) over the 36-month term of the ELOC Purchase Agreement.</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Shares are being registered under a Registration Statement on Form S-1 (Registration No. 333-282387) (the “Registration Statement”) as filed with the Securities and Exchange Commission (the “Commission”) under the Securities Act of 1933, as amended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these opinions, we have examined originals or copies, certified or otherwise identified to our satisfaction, of:</w:t>
      </w:r>
    </w:p>
    <w:p>
      <w:pPr>
        <w:spacing w:after="0" w:line="225" w:lineRule="exact"/>
        <w:rPr>
          <w:sz w:val="20"/>
          <w:szCs w:val="20"/>
          <w:color w:val="auto"/>
        </w:rPr>
      </w:pPr>
    </w:p>
    <w:p>
      <w:pPr>
        <w:ind w:left="900" w:hanging="244"/>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ELOC Purchase Agreement;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dated August 28, 2024 by and between Agrify and Iconic;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23" w:lineRule="exact"/>
        <w:rPr>
          <w:sz w:val="20"/>
          <w:szCs w:val="20"/>
          <w:color w:val="auto"/>
        </w:rPr>
      </w:pPr>
    </w:p>
    <w:p>
      <w:pPr>
        <w:ind w:firstLine="656"/>
        <w:spacing w:after="0" w:line="253" w:lineRule="auto"/>
        <w:tabs>
          <w:tab w:leader="none" w:pos="9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Incorporation of the Company filed with the Nevada Secretary of State on June 6, 2016, as amended by the Certificate of Change Pursuant to NRS 78.209 filed with the Nevada Secretary of State on May 24, 2019, the Certificate of Amendment filed with the Nevada Secretary of State on January 7, 2020, the Certificate of Designation filed with the Nevada Secretary of State on January 9, 2020, the Certificate of Correction filed with the Nevada Secretary of State on January 9, 2020, the Certificate of Amendment to Certificate of Designation filed with the Nevada Secretary of State on March 19, 2020, the Certificate of Correction filed with the Nevada Secretary of State on August 11, 2020, the Certificate of Amendment to Designation filed with the Nevada Secretary of State on November 10, 2020, the Certificate of Amendment to Designation filed with the Nevada Secretary of State on January 12, 2021, the Certificate of Amendment filed with the Nevada Secretary of State on January 12, 2021, the Certificate of Correction filed with the Nevada Secretary of State on November 30, 2021, the Certificate of Amendment filed with the Nevada Secretary of State on July 11, 2022, the Certificate of Amendment filed with the Nevada Secretary of State on October 17, 2022, the Certificate of Amendment filed with the Nevada Secretary of State on March 1, 2023, the Certificate of Change Pursuant to NRS 78.209 filed with the Secretary of State of Nevada on June 30, 2023, and the Certificate of Amendment filed with the Nevada Secretary of State on January, 22, 2024;</w:t>
      </w:r>
    </w:p>
    <w:p>
      <w:pPr>
        <w:spacing w:after="0" w:line="19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Bylaws of the Company, adopted on August 9, 2024; and</w:t>
      </w:r>
    </w:p>
    <w:p>
      <w:pPr>
        <w:spacing w:after="0" w:line="225" w:lineRule="exact"/>
        <w:rPr>
          <w:rFonts w:ascii="Times New Roman" w:cs="Times New Roman" w:eastAsia="Times New Roman" w:hAnsi="Times New Roman"/>
          <w:sz w:val="18"/>
          <w:szCs w:val="18"/>
          <w:color w:val="auto"/>
        </w:rPr>
      </w:pPr>
    </w:p>
    <w:p>
      <w:pPr>
        <w:ind w:firstLine="656"/>
        <w:spacing w:after="0" w:line="312" w:lineRule="auto"/>
        <w:tabs>
          <w:tab w:leader="none" w:pos="87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resolutions of the Board of Directors and such other matters as relevant related to the (i) approval of the ELOC Purchase Agreement and authorization of the Company to execute, deliver, and perform its obligations under the ELOC Purchase Agreement and (ii) such other matters as relevant.</w:t>
      </w:r>
    </w:p>
    <w:p>
      <w:pPr>
        <w:spacing w:after="0" w:line="14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have also examined such other corporate documents, records, certificates, and instruments (collectively with the documents identified in (a) through (f) above, the “Documents”) as we deem necessary or advisable to render the opinions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our examination, we have assumed:</w:t>
      </w:r>
    </w:p>
    <w:p>
      <w:pPr>
        <w:spacing w:after="0" w:line="225" w:lineRule="exact"/>
        <w:rPr>
          <w:sz w:val="20"/>
          <w:szCs w:val="20"/>
          <w:color w:val="auto"/>
        </w:rPr>
      </w:pPr>
    </w:p>
    <w:p>
      <w:pPr>
        <w:ind w:left="900" w:hanging="244"/>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capacity and competency of all natural persons executing the Documents;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the Documents;</w:t>
      </w:r>
    </w:p>
    <w:p>
      <w:pPr>
        <w:spacing w:after="0" w:line="225" w:lineRule="exact"/>
        <w:rPr>
          <w:rFonts w:ascii="Times New Roman" w:cs="Times New Roman" w:eastAsia="Times New Roman" w:hAnsi="Times New Roman"/>
          <w:sz w:val="18"/>
          <w:szCs w:val="18"/>
          <w:color w:val="auto"/>
        </w:rPr>
      </w:pPr>
    </w:p>
    <w:p>
      <w:pPr>
        <w:ind w:right="100" w:firstLine="656"/>
        <w:spacing w:after="0" w:line="282" w:lineRule="auto"/>
        <w:tabs>
          <w:tab w:leader="none" w:pos="8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all Documents submitted to us as originals, and the conformity to original documents of all Documents submitted to us as copies or forms;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parties to such documents, other than the Company, had the power, corporate or other, to enter into and perform all obligations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ELOC Purchase Agreement is enforceable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323"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left="880" w:hanging="22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issuance of any Shares, the Company validly exists and is duly qualified and in good standing under the laws of Nevada; and</w:t>
      </w:r>
    </w:p>
    <w:p>
      <w:pPr>
        <w:spacing w:after="0" w:line="225" w:lineRule="exact"/>
        <w:rPr>
          <w:rFonts w:ascii="Times New Roman" w:cs="Times New Roman" w:eastAsia="Times New Roman" w:hAnsi="Times New Roman"/>
          <w:sz w:val="18"/>
          <w:szCs w:val="18"/>
          <w:color w:val="auto"/>
        </w:rPr>
      </w:pPr>
    </w:p>
    <w:p>
      <w:pPr>
        <w:ind w:right="460" w:firstLine="656"/>
        <w:spacing w:after="0" w:line="282" w:lineRule="auto"/>
        <w:tabs>
          <w:tab w:leader="none" w:pos="9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the Company, the due authorization by all requisite action, corporate or other, the execution and delivery by all parties of the documents, and the validity and binding effect thereof on such parties.</w:t>
      </w:r>
    </w:p>
    <w:p>
      <w:pPr>
        <w:spacing w:after="0" w:line="162"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We have relied upon the accuracy and completeness of the information, factual matters, representations, and warranties contained in such Documents.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note that the Company has reserved, and assume that it will continue to reserve, sufficient authorized shares of its Common Stock to allow for the issuance of its shares of Common Stock upon sale of the Shares.</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Based on the foregoing and in reliance thereon, and subject to the assumptions, limitations, and qualifications set forth herein, we are of the opinion that the Shares have been duly authorized, and when issued under the terms as set forth in the ELOC Purchase Agreement, will be validly issued, fully paid, and non-assessable.</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herein are limited to the matters specifically set forth herein and no other opinion shall be inferred beyond the matters expressly stated. We disclaim any undertaking to advise you of any subsequent changes in the facts stated or assumed herein or any changes in applicable law that may come to our attention after the date the Registration Statement is declared effective.</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While certain members of this firm are admitted to practice in certain jurisdictions other than Nevada, in rendering the foregoing opinions we have not examined the laws of any jurisdiction other than Nevada. Accordingly, the opinions we express herein are limited to matters involving the laws of the State of Nevada (other than the securities laws and regulations of the State of Nevada, as to which we express no opinion). We express no opinion regarding the effect of the laws of any other jurisdiction or state, including any securities laws related to the issuance and sale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we consent to the reference of our name under the caption “Legal Matters” in the Registration Statement. In giving the foregoing consent, we do not hereby admit that we are 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Fennemore Craig, P.C.</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FENNEMORE CRAIG,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tmor/cdol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323" w:right="5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Agrify Corporation and Subsidiaries on Form S-1 Amendment No. 1 of our report dated April 15, 2024, which includes an explanatory paragraph as to Agrify Corporation and Subsidiaries ability to continue as a going concern, with respect to our audits of the consolidated financial statements of Agrify Corporation and Subsidiaries as of December 31, 2023 and 2022 and for the two years in the period ended December 31, 2023, which report is incorporated by reference in the Prospectus, which is part of this Registration Statement. We were dismissed as auditors on June 20, 2024 and, accordingly, we have not performed any audit or review procedures with respect to any financial statements appearing in the Prospectus for the periods after the date of our June 20, 2024. We also consent to the reference to our Firm under the heading “Experts” in such Prospectus.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arcum</w:t>
      </w:r>
      <w:r>
        <w:rPr>
          <w:rFonts w:ascii="Times New Roman" w:cs="Times New Roman" w:eastAsia="Times New Roman" w:hAnsi="Times New Roman"/>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2024</w:t>
      </w:r>
    </w:p>
    <w:p>
      <w:pPr>
        <w:sectPr>
          <w:pgSz w:w="11900" w:h="16838" w:orient="portrait"/>
          <w:cols w:equalWidth="0" w:num="1">
            <w:col w:w="11240"/>
          </w:cols>
          <w:pgMar w:left="320" w:top="117" w:right="339" w:bottom="1440" w:gutter="0" w:footer="0" w:header="0"/>
        </w:sectPr>
      </w:pPr>
    </w:p>
    <w:bookmarkStart w:id="63" w:name="page64"/>
    <w:bookmarkEnd w:id="63"/>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19685</wp:posOffset>
            </wp:positionV>
            <wp:extent cx="17830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53975</wp:posOffset>
            </wp:positionV>
            <wp:extent cx="32061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9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Carry</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9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r>
      <w:tr>
        <w:trPr>
          <w:trHeight w:val="277"/>
        </w:trPr>
        <w:tc>
          <w:tcPr>
            <w:tcW w:w="96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2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2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10"/>
              <w:spacing w:after="0" w:line="270" w:lineRule="exact"/>
              <w:rPr>
                <w:sz w:val="20"/>
                <w:szCs w:val="20"/>
                <w:color w:val="auto"/>
              </w:rPr>
            </w:pPr>
            <w:r>
              <w:rPr>
                <w:rFonts w:ascii="Times New Roman" w:cs="Times New Roman" w:eastAsia="Times New Roman" w:hAnsi="Times New Roman"/>
                <w:sz w:val="18"/>
                <w:szCs w:val="18"/>
                <w:b w:val="1"/>
                <w:bCs w:val="1"/>
                <w:color w:val="auto"/>
                <w:w w:val="91"/>
              </w:rPr>
              <w:t>Unit</w:t>
            </w:r>
            <w:r>
              <w:rPr>
                <w:rFonts w:ascii="Times New Roman" w:cs="Times New Roman" w:eastAsia="Times New Roman" w:hAnsi="Times New Roman"/>
                <w:sz w:val="29"/>
                <w:szCs w:val="29"/>
                <w:b w:val="1"/>
                <w:bCs w:val="1"/>
                <w:color w:val="auto"/>
                <w:w w:val="91"/>
                <w:vertAlign w:val="superscript"/>
              </w:rPr>
              <w:t>(1)</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 xml:space="preserve">Price </w:t>
            </w:r>
            <w:r>
              <w:rPr>
                <w:rFonts w:ascii="Times New Roman" w:cs="Times New Roman" w:eastAsia="Times New Roman" w:hAnsi="Times New Roman"/>
                <w:sz w:val="29"/>
                <w:szCs w:val="29"/>
                <w:b w:val="1"/>
                <w:bCs w:val="1"/>
                <w:color w:val="auto"/>
                <w:w w:val="92"/>
                <w:vertAlign w:val="superscript"/>
              </w:rPr>
              <w:t>(1)</w:t>
            </w:r>
          </w:p>
        </w:tc>
        <w:tc>
          <w:tcPr>
            <w:tcW w:w="200" w:type="dxa"/>
            <w:vAlign w:val="bottom"/>
          </w:tcPr>
          <w:p>
            <w:pPr>
              <w:spacing w:after="0"/>
              <w:rPr>
                <w:sz w:val="24"/>
                <w:szCs w:val="24"/>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50"/>
              <w:spacing w:after="0" w:line="270" w:lineRule="exact"/>
              <w:rPr>
                <w:sz w:val="20"/>
                <w:szCs w:val="20"/>
                <w:color w:val="auto"/>
              </w:rPr>
            </w:pPr>
            <w:r>
              <w:rPr>
                <w:rFonts w:ascii="Times New Roman" w:cs="Times New Roman" w:eastAsia="Times New Roman" w:hAnsi="Times New Roman"/>
                <w:sz w:val="18"/>
                <w:szCs w:val="18"/>
                <w:b w:val="1"/>
                <w:bCs w:val="1"/>
                <w:color w:val="auto"/>
                <w:w w:val="88"/>
              </w:rPr>
              <w:t>Fee</w:t>
            </w:r>
            <w:r>
              <w:rPr>
                <w:rFonts w:ascii="Times New Roman" w:cs="Times New Roman" w:eastAsia="Times New Roman" w:hAnsi="Times New Roman"/>
                <w:sz w:val="29"/>
                <w:szCs w:val="29"/>
                <w:b w:val="1"/>
                <w:bCs w:val="1"/>
                <w:color w:val="auto"/>
                <w:w w:val="88"/>
                <w:vertAlign w:val="superscript"/>
              </w:rPr>
              <w:t>(1)</w:t>
            </w:r>
          </w:p>
        </w:tc>
        <w:tc>
          <w:tcPr>
            <w:tcW w:w="100" w:type="dxa"/>
            <w:vAlign w:val="bottom"/>
            <w:gridSpan w:val="2"/>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3"/>
          </w:tcPr>
          <w:p>
            <w:pPr>
              <w:ind w:left="9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Newly Registered</w:t>
            </w:r>
          </w:p>
        </w:tc>
        <w:tc>
          <w:tcPr>
            <w:tcW w:w="220" w:type="dxa"/>
            <w:vAlign w:val="bottom"/>
            <w:gridSpan w:val="2"/>
          </w:tcPr>
          <w:p>
            <w:pPr>
              <w:spacing w:after="0"/>
              <w:rPr>
                <w:sz w:val="17"/>
                <w:szCs w:val="17"/>
                <w:color w:val="auto"/>
              </w:rPr>
            </w:pPr>
          </w:p>
        </w:tc>
        <w:tc>
          <w:tcPr>
            <w:tcW w:w="10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Fees to Be</w:t>
            </w:r>
          </w:p>
        </w:tc>
        <w:tc>
          <w:tcPr>
            <w:tcW w:w="9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1740" w:type="dxa"/>
            <w:vAlign w:val="bottom"/>
            <w:gridSpan w:val="2"/>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9"/>
              </w:rPr>
              <w:t>Common Stock, par</w:t>
            </w:r>
          </w:p>
        </w:tc>
        <w:tc>
          <w:tcPr>
            <w:tcW w:w="11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Rule 457(c)</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$153.10 per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value $0.001 per share</w:t>
            </w: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313,333</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$ 1,173,432.09</w:t>
            </w:r>
          </w:p>
        </w:tc>
        <w:tc>
          <w:tcPr>
            <w:tcW w:w="1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179.66</w:t>
            </w:r>
          </w:p>
        </w:tc>
        <w:tc>
          <w:tcPr>
            <w:tcW w:w="80" w:type="dxa"/>
            <w:vAlign w:val="bottom"/>
            <w:shd w:val="clear" w:color="auto" w:fill="CCEEFF"/>
          </w:tcPr>
          <w:p>
            <w:pPr>
              <w:spacing w:after="0"/>
              <w:rPr>
                <w:sz w:val="20"/>
                <w:szCs w:val="20"/>
                <w:color w:val="auto"/>
              </w:rPr>
            </w:pPr>
          </w:p>
        </w:tc>
      </w:tr>
      <w:tr>
        <w:trPr>
          <w:trHeight w:val="216"/>
        </w:trPr>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9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9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Offering Amounts</w:t>
            </w: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$ 1,173,432.09</w:t>
            </w: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179.66</w:t>
            </w:r>
          </w:p>
        </w:tc>
        <w:tc>
          <w:tcPr>
            <w:tcW w:w="80" w:type="dxa"/>
            <w:vAlign w:val="bottom"/>
            <w:shd w:val="clear" w:color="auto" w:fill="CCEEFF"/>
          </w:tcPr>
          <w:p>
            <w:pPr>
              <w:spacing w:after="0"/>
              <w:rPr>
                <w:sz w:val="20"/>
                <w:szCs w:val="20"/>
                <w:color w:val="auto"/>
              </w:rPr>
            </w:pPr>
          </w:p>
        </w:tc>
      </w:tr>
      <w:tr>
        <w:trPr>
          <w:trHeight w:val="210"/>
        </w:trPr>
        <w:tc>
          <w:tcPr>
            <w:tcW w:w="96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920" w:type="dxa"/>
            <w:vAlign w:val="bottom"/>
            <w:tcBorders>
              <w:top w:val="single" w:sz="8" w:color="CCEEFF"/>
              <w:bottom w:val="single" w:sz="8" w:color="CCEEFF"/>
            </w:tcBorders>
            <w:gridSpan w:val="4"/>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10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9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Net Fee Due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179.66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34"/>
        </w:trPr>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under the Securities Act of 1933, as amended (the “Securities Act”), based on $3.745, the average of the high and low sales prices of the Registrant’s common stock, as reported on the Nasdaq Capital Market on October 18,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lvl>
    <w:lvl w:ilvl="1">
      <w:lvlJc w:val="left"/>
      <w:lvlText w:val="(%2)"/>
      <w:numFmt w:val="lowerRoman"/>
      <w:start w:val="2"/>
    </w:lvl>
    <w:lvl w:ilvl="2">
      <w:lvlJc w:val="left"/>
      <w:lvlText w:val="*"/>
      <w:numFmt w:val="bullet"/>
      <w:start w:val="1"/>
    </w:lvl>
  </w:abstractNum>
  <w:abstractNum w:abstractNumId="16">
    <w:nsid w:val="4353D0CD"/>
    <w:multiLevelType w:val="hybridMultilevel"/>
    <w:lvl w:ilvl="0">
      <w:lvlJc w:val="left"/>
      <w:lvlText w:val="(%1)"/>
      <w:numFmt w:val="decimal"/>
      <w:start w:val="3"/>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6"/>
    </w:lvl>
  </w:abstractNum>
  <w:abstractNum w:abstractNumId="23">
    <w:nsid w:val="2901D82"/>
    <w:multiLevelType w:val="hybridMultilevel"/>
    <w:lvl w:ilvl="0">
      <w:lvlJc w:val="left"/>
      <w:lvlText w:val="(%1)"/>
      <w:numFmt w:val="decimal"/>
      <w:start w:val="12"/>
    </w:lvl>
  </w:abstractNum>
  <w:abstractNum w:abstractNumId="24">
    <w:nsid w:val="3A95F874"/>
    <w:multiLevelType w:val="hybridMultilevel"/>
    <w:lvl w:ilvl="0">
      <w:lvlJc w:val="left"/>
      <w:lvlText w:val="(%1)"/>
      <w:numFmt w:val="decimal"/>
      <w:start w:val="17"/>
    </w:lvl>
  </w:abstractNum>
  <w:abstractNum w:abstractNumId="25">
    <w:nsid w:val="813864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
    <w:nsid w:val="1E7FF521"/>
    <w:multiLevelType w:val="hybridMultilevel"/>
    <w:lvl w:ilvl="0">
      <w:lvlJc w:val="left"/>
      <w:lvlText w:val="%1"/>
      <w:numFmt w:val="decimal"/>
      <w:start w:val="1"/>
    </w:lvl>
    <w:lvl w:ilvl="1">
      <w:lvlJc w:val="left"/>
      <w:lvlText w:val="(%2)"/>
      <w:numFmt w:val="lowerRoman"/>
      <w:start w:val="3"/>
    </w:lvl>
  </w:abstractNum>
  <w:abstractNum w:abstractNumId="27">
    <w:nsid w:val="7C3DBD3D"/>
    <w:multiLevelType w:val="hybridMultilevel"/>
    <w:lvl w:ilvl="0">
      <w:lvlJc w:val="left"/>
      <w:lvlText w:val="(%1)"/>
      <w:numFmt w:val="decimal"/>
      <w:start w:val="2"/>
    </w:lvl>
    <w:lvl w:ilvl="1">
      <w:lvlJc w:val="left"/>
      <w:lvlText w:val="(%2)"/>
      <w:numFmt w:val="lowerRoman"/>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lowerLetter"/>
      <w:start w:val="4"/>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6"/>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jpe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113" Type="http://schemas.openxmlformats.org/officeDocument/2006/relationships/image" Target="media/image68.png"/><Relationship Id="rId133" Type="http://schemas.openxmlformats.org/officeDocument/2006/relationships/image" Target="media/image69.png"/><Relationship Id="rId147" Type="http://schemas.openxmlformats.org/officeDocument/2006/relationships/image" Target="media/image70.png"/><Relationship Id="rId171" Type="http://schemas.openxmlformats.org/officeDocument/2006/relationships/image" Target="media/image71.png"/><Relationship Id="rId172" Type="http://schemas.openxmlformats.org/officeDocument/2006/relationships/image" Target="media/image72.png"/><Relationship Id="rId173" Type="http://schemas.openxmlformats.org/officeDocument/2006/relationships/image" Target="media/image73.png"/><Relationship Id="rId174" Type="http://schemas.openxmlformats.org/officeDocument/2006/relationships/image" Target="media/image74.png"/><Relationship Id="rId175" Type="http://schemas.openxmlformats.org/officeDocument/2006/relationships/image" Target="media/image75.png"/><Relationship Id="rId176" Type="http://schemas.openxmlformats.org/officeDocument/2006/relationships/image" Target="media/image76.png"/><Relationship Id="rId177" Type="http://schemas.openxmlformats.org/officeDocument/2006/relationships/image" Target="media/image77.png"/><Relationship Id="rId178" Type="http://schemas.openxmlformats.org/officeDocument/2006/relationships/image" Target="media/image78.png"/><Relationship Id="rId179" Type="http://schemas.openxmlformats.org/officeDocument/2006/relationships/image" Target="media/image79.png"/><Relationship Id="rId180" Type="http://schemas.openxmlformats.org/officeDocument/2006/relationships/image" Target="media/image80.png"/><Relationship Id="rId181" Type="http://schemas.openxmlformats.org/officeDocument/2006/relationships/image" Target="media/image81.png"/><Relationship Id="rId182" Type="http://schemas.openxmlformats.org/officeDocument/2006/relationships/image" Target="media/image82.png"/><Relationship Id="rId183" Type="http://schemas.openxmlformats.org/officeDocument/2006/relationships/image" Target="media/image83.jpeg"/><Relationship Id="rId184" Type="http://schemas.openxmlformats.org/officeDocument/2006/relationships/image" Target="media/image84.png"/><Relationship Id="rId185" Type="http://schemas.openxmlformats.org/officeDocument/2006/relationships/image" Target="media/image85.jpeg"/><Relationship Id="rId186" Type="http://schemas.openxmlformats.org/officeDocument/2006/relationships/image" Target="media/image86.png"/><Relationship Id="rId187" Type="http://schemas.openxmlformats.org/officeDocument/2006/relationships/image" Target="media/image87.jpeg"/><Relationship Id="rId188" Type="http://schemas.openxmlformats.org/officeDocument/2006/relationships/image" Target="media/image88.png"/><Relationship Id="rId189" Type="http://schemas.openxmlformats.org/officeDocument/2006/relationships/image" Target="media/image89.jpeg"/><Relationship Id="rId190" Type="http://schemas.openxmlformats.org/officeDocument/2006/relationships/image" Target="media/image90.png"/><Relationship Id="rId191" Type="http://schemas.openxmlformats.org/officeDocument/2006/relationships/image" Target="media/image91.png"/><Relationship Id="rId192" Type="http://schemas.openxmlformats.org/officeDocument/2006/relationships/image" Target="media/image92.png"/><Relationship Id="rId63" Type="http://schemas.openxmlformats.org/officeDocument/2006/relationships/hyperlink" Target="http://www.sec.gov/Archives/edgar/data/1800637/000121390024037183/ea0204717-10ka1_agrify.htm" TargetMode="External"/><Relationship Id="rId64" Type="http://schemas.openxmlformats.org/officeDocument/2006/relationships/hyperlink" Target="http://www.sec.gov/Archives/edgar/data/1800637/000121390024069066/ea0211276-10qa1_agrify.htm" TargetMode="External"/><Relationship Id="rId65" Type="http://schemas.openxmlformats.org/officeDocument/2006/relationships/hyperlink" Target="http://www.sec.gov/Archives/edgar/data/1800637/000121390024069081/ea0210884-10q_agrify.htm" TargetMode="External"/><Relationship Id="rId66" Type="http://schemas.openxmlformats.org/officeDocument/2006/relationships/hyperlink" Target="http://www.sec.gov/Archives/edgar/data/1800637/000143774924000875/agfy20240108_8k.htm" TargetMode="External"/><Relationship Id="rId67" Type="http://schemas.openxmlformats.org/officeDocument/2006/relationships/hyperlink" Target="http://www.sec.gov/Archives/edgar/data/1800637/000121390024006275/ea192155-8k_agrify.htm" TargetMode="External"/><Relationship Id="rId68" Type="http://schemas.openxmlformats.org/officeDocument/2006/relationships/hyperlink" Target="http://www.sec.gov/Archives/edgar/data/1800637/000121390024008117/ea192524-8k_agrifycorp.htm" TargetMode="External"/><Relationship Id="rId69" Type="http://schemas.openxmlformats.org/officeDocument/2006/relationships/hyperlink" Target="http://www.sec.gov/Archives/edgar/data/1800637/000121390024043986/ea0206334-8k_agrify.htm" TargetMode="External"/><Relationship Id="rId70" Type="http://schemas.openxmlformats.org/officeDocument/2006/relationships/hyperlink" Target="http://www.sec.gov/Archives/edgar/data/1800637/000121390024056178/ea0208490-8k_agrify.htm" TargetMode="External"/><Relationship Id="rId71" Type="http://schemas.openxmlformats.org/officeDocument/2006/relationships/hyperlink" Target="http://www.sec.gov/Archives/edgar/data/1800637/000121390024058789/ea0208883-8k_agrify.htm" TargetMode="External"/><Relationship Id="rId72" Type="http://schemas.openxmlformats.org/officeDocument/2006/relationships/hyperlink" Target="http://www.sec.gov/Archives/edgar/data/1800637/000101376224000464/ea0209645-8k_agrify.htm" TargetMode="External"/><Relationship Id="rId73" Type="http://schemas.openxmlformats.org/officeDocument/2006/relationships/hyperlink" Target="http://www.sec.gov/Archives/edgar/data/1800637/000121390024067146/ea0210985-8k_agrify.htm" TargetMode="External"/><Relationship Id="rId74" Type="http://schemas.openxmlformats.org/officeDocument/2006/relationships/hyperlink" Target="http://www.sec.gov/Archives/edgar/data/1800637/000121390024068270/ea021128801-8k_agrify.htm" TargetMode="External"/><Relationship Id="rId75" Type="http://schemas.openxmlformats.org/officeDocument/2006/relationships/hyperlink" Target="http://www.sec.gov/Archives/edgar/data/1800637/000121390024069076/ea0211340-8k_agrify.htm" TargetMode="External"/><Relationship Id="rId76" Type="http://schemas.openxmlformats.org/officeDocument/2006/relationships/hyperlink" Target="http://www.sec.gov/Archives/edgar/data/1800637/000121390024073911/ea0212771-8k_agrify.htm" TargetMode="External"/><Relationship Id="rId77" Type="http://schemas.openxmlformats.org/officeDocument/2006/relationships/hyperlink" Target="http://www.sec.gov/Archives/edgar/data/1800637/000121390024075628/ea0213326-8k_agrify.htm" TargetMode="External"/><Relationship Id="rId78" Type="http://schemas.openxmlformats.org/officeDocument/2006/relationships/hyperlink" Target="http://www.sec.gov/Archives/edgar/data/1800637/000121390024076220/ea0213698-8k_agrify.htm" TargetMode="External"/><Relationship Id="rId79" Type="http://schemas.openxmlformats.org/officeDocument/2006/relationships/hyperlink" Target="https://www.sec.gov/Archives/edgar/data/1800637/000121390024084050/ea0216254-8k_agrify.htm" TargetMode="External"/><Relationship Id="rId80" Type="http://schemas.openxmlformats.org/officeDocument/2006/relationships/hyperlink" Target="https://www.sec.gov/Archives/edgar/data/1800637/000121390024085199/ea0216705-8k_agrify.htm" TargetMode="External"/><Relationship Id="rId81" Type="http://schemas.openxmlformats.org/officeDocument/2006/relationships/hyperlink" Target="https://www.sec.gov/Archives/edgar/data/1800637/000121390024089657/ea0218192-8k_agrify.htm" TargetMode="External"/><Relationship Id="rId82" Type="http://schemas.openxmlformats.org/officeDocument/2006/relationships/hyperlink" Target="http://www.sec.gov/Archives/edgar/data/1800637/000101376224000467/ea0209323-02.htm" TargetMode="External"/><Relationship Id="rId83" Type="http://schemas.openxmlformats.org/officeDocument/2006/relationships/hyperlink" Target="http://www.sec.gov/Archives/edgar/data/1800637/000121390024078980/ea0213661-02.htm" TargetMode="External"/><Relationship Id="rId84" Type="http://schemas.openxmlformats.org/officeDocument/2006/relationships/hyperlink" Target="http://www.sec.gov/Archives/edgar/data/1800637/000121390021019992/f10k2020ex4-5_agrifycorp.htm" TargetMode="External"/><Relationship Id="rId85" Type="http://schemas.openxmlformats.org/officeDocument/2006/relationships/hyperlink" Target="https://www.sec.gov/Archives/edgar/data/1800637/000121390021019992/f10k2020_agrifycorporation.htm" TargetMode="External"/><Relationship Id="rId98" Type="http://schemas.openxmlformats.org/officeDocument/2006/relationships/hyperlink" Target="http://www.sec.gov/Archives/edgar/data/1800637/000101376221000191/ea148348ex2-1_agrifycorp.htm" TargetMode="External"/><Relationship Id="rId99" Type="http://schemas.openxmlformats.org/officeDocument/2006/relationships/hyperlink" Target="http://www.sec.gov/Archives/edgar/data/1800637/000101376221000191/ea148348ex2-2_agrifycorp.htm" TargetMode="External"/><Relationship Id="rId100" Type="http://schemas.openxmlformats.org/officeDocument/2006/relationships/hyperlink" Target="http://www.sec.gov/Archives/edgar/data/1800637/000121390022000601/ea153490ex2-1_agrifycorp.htm" TargetMode="External"/><Relationship Id="rId101" Type="http://schemas.openxmlformats.org/officeDocument/2006/relationships/hyperlink" Target="http://www.sec.gov/Archives/edgar/data/1800637/000121390022004925/ea154783ex2-1_agrifycorp.htm" TargetMode="External"/><Relationship Id="rId102" Type="http://schemas.openxmlformats.org/officeDocument/2006/relationships/hyperlink" Target="http://www.sec.gov/Archives/edgar/data/1800637/000121390021001799/fs12020a1ex3-1_agrify.htm" TargetMode="External"/><Relationship Id="rId103" Type="http://schemas.openxmlformats.org/officeDocument/2006/relationships/hyperlink" Target="http://www.sec.gov/Archives/edgar/data/1800637/000121390021001799/fs12020a1ex3-2_agrify.htm" TargetMode="External"/><Relationship Id="rId104" Type="http://schemas.openxmlformats.org/officeDocument/2006/relationships/hyperlink" Target="http://www.sec.gov/Archives/edgar/data/1800637/000121390021004220/fs12021a2ex3-3_agrifycorp.htm" TargetMode="External"/><Relationship Id="rId105" Type="http://schemas.openxmlformats.org/officeDocument/2006/relationships/hyperlink" Target="http://www.sec.gov/Archives/edgar/data/1800637/000121390022039420/ea162872ex3-1_agrify.htm" TargetMode="External"/><Relationship Id="rId106" Type="http://schemas.openxmlformats.org/officeDocument/2006/relationships/hyperlink" Target="http://www.sec.gov/Archives/edgar/data/1800637/000121390022064269/ea167213ex3-1agrifycorp.htm" TargetMode="External"/><Relationship Id="rId107" Type="http://schemas.openxmlformats.org/officeDocument/2006/relationships/hyperlink" Target="http://www.sec.gov/Archives/edgar/data/1800637/000121390023017011/ea174612ex3-1_agrifycorp.htm" TargetMode="External"/><Relationship Id="rId108" Type="http://schemas.openxmlformats.org/officeDocument/2006/relationships/hyperlink" Target="http://www.sec.gov/Archives/edgar/data/1800637/000121390023053790/ea181262ex3-1_agrify.htm" TargetMode="External"/><Relationship Id="rId109" Type="http://schemas.openxmlformats.org/officeDocument/2006/relationships/hyperlink" Target="http://www.sec.gov/Archives/edgar/data/1800637/000121390024006275/ea192155ex3-1_agrify.htm" TargetMode="External"/><Relationship Id="rId110" Type="http://schemas.openxmlformats.org/officeDocument/2006/relationships/hyperlink" Target="http://www.sec.gov/Archives/edgar/data/1800637/000121390024067146/ea021098501ex3-1_agrify.htm" TargetMode="External"/><Relationship Id="rId111" Type="http://schemas.openxmlformats.org/officeDocument/2006/relationships/hyperlink" Target="http://www.sec.gov/Archives/edgar/data/1800637/000121390024085199/ea021670501ex3-1_agrify.htm" TargetMode="External"/><Relationship Id="rId112" Type="http://schemas.openxmlformats.org/officeDocument/2006/relationships/hyperlink" Target="http://www.sec.gov/Archives/edgar/data/1800637/000121390021004220/fs12021a2ex4-1_agrifycorp.htm" TargetMode="External"/><Relationship Id="rId114" Type="http://schemas.openxmlformats.org/officeDocument/2006/relationships/hyperlink" Target="http://www.sec.gov/Archives/edgar/data/1800637/000121390021008530/fs12021ex4-2_agrifycorp.htm" TargetMode="External"/><Relationship Id="rId115" Type="http://schemas.openxmlformats.org/officeDocument/2006/relationships/hyperlink" Target="http://www.sec.gov/Archives/edgar/data/1800637/000121390021004220/fs12021a2ex4-2_agrifycorp.htm" TargetMode="External"/><Relationship Id="rId116" Type="http://schemas.openxmlformats.org/officeDocument/2006/relationships/hyperlink" Target="http://www.sec.gov/Archives/edgar/data/1800637/000121390020044121/fs12020ex4-3_agrifycorp.htm" TargetMode="External"/><Relationship Id="rId117" Type="http://schemas.openxmlformats.org/officeDocument/2006/relationships/hyperlink" Target="http://www.sec.gov/Archives/edgar/data/1800637/000121390022003773/ea154520ex4-2_agrify.htm" TargetMode="External"/><Relationship Id="rId118" Type="http://schemas.openxmlformats.org/officeDocument/2006/relationships/hyperlink" Target="http://www.sec.gov/Archives/edgar/data/1800637/000121390022049494/ea164681ex4-1_agrify.htm" TargetMode="External"/><Relationship Id="rId119" Type="http://schemas.openxmlformats.org/officeDocument/2006/relationships/hyperlink" Target="http://www.sec.gov/Archives/edgar/data/1800637/000121390022049494/ea164681ex4-2_agrify.htm" TargetMode="External"/><Relationship Id="rId120" Type="http://schemas.openxmlformats.org/officeDocument/2006/relationships/hyperlink" Target="http://www.sec.gov/Archives/edgar/data/1800637/000121390022049494/ea164681ex4-3_agrify.htm" TargetMode="External"/><Relationship Id="rId121" Type="http://schemas.openxmlformats.org/officeDocument/2006/relationships/hyperlink" Target="http://www.sec.gov/Archives/edgar/data/1800637/000121390022080562/ea170341ex4-1_agrifycorp.htm" TargetMode="External"/><Relationship Id="rId122" Type="http://schemas.openxmlformats.org/officeDocument/2006/relationships/hyperlink" Target="http://www.sec.gov/Archives/edgar/data/1800637/000121390022080562/ea170341ex4-2_agrifycorp.htm" TargetMode="External"/><Relationship Id="rId123" Type="http://schemas.openxmlformats.org/officeDocument/2006/relationships/hyperlink" Target="http://www.sec.gov/Archives/edgar/data/1800637/000121390023018686/ea174704ex4-1_agrifycorp.htm" TargetMode="External"/><Relationship Id="rId124" Type="http://schemas.openxmlformats.org/officeDocument/2006/relationships/hyperlink" Target="http://www.sec.gov/Archives/edgar/data/1800637/000121390023018686/ea174704ex4-2_agrifycorp.htm" TargetMode="External"/><Relationship Id="rId125" Type="http://schemas.openxmlformats.org/officeDocument/2006/relationships/hyperlink" Target="http://www.sec.gov/Archives/edgar/data/1800637/000121390023083943/ea187778ex4-1_agrifycorp.htm" TargetMode="External"/><Relationship Id="rId126" Type="http://schemas.openxmlformats.org/officeDocument/2006/relationships/hyperlink" Target="http://www.sec.gov/Archives/edgar/data/1800637/000121390023083943/ea187778ex4-3_agrifycorp.htm" TargetMode="External"/><Relationship Id="rId127" Type="http://schemas.openxmlformats.org/officeDocument/2006/relationships/hyperlink" Target="http://www.sec.gov/Archives/edgar/data/1800637/000121390023083943/ea187778ex4-4_agrifycorp.htm" TargetMode="External"/><Relationship Id="rId128" Type="http://schemas.openxmlformats.org/officeDocument/2006/relationships/hyperlink" Target="http://www.sec.gov/Archives/edgar/data/1800637/000121390023083943/ea187778ex4-5_agrifycorp.htm" TargetMode="External"/><Relationship Id="rId129" Type="http://schemas.openxmlformats.org/officeDocument/2006/relationships/hyperlink" Target="http://www.sec.gov/Archives/edgar/data/1800637/000121390023093703/ea189579ex4-1_agrify.htm" TargetMode="External"/><Relationship Id="rId130" Type="http://schemas.openxmlformats.org/officeDocument/2006/relationships/hyperlink" Target="http://www.sec.gov/Archives/edgar/data/1800637/000121390024006275/ea192155ex4-1_agrify.htm" TargetMode="External"/><Relationship Id="rId131" Type="http://schemas.openxmlformats.org/officeDocument/2006/relationships/hyperlink" Target="http://www.sec.gov/Archives/edgar/data/1800637/000121390024006275/ea192155ex4-2_agrify.htm" TargetMode="External"/><Relationship Id="rId132" Type="http://schemas.openxmlformats.org/officeDocument/2006/relationships/hyperlink" Target="http://www.sec.gov/Archives/edgar/data/1800637/000121390024011247/fs12024a1ex4-21_agrifycorp.htm" TargetMode="External"/><Relationship Id="rId134" Type="http://schemas.openxmlformats.org/officeDocument/2006/relationships/hyperlink" Target="http://www.sec.gov/Archives/edgar/data/1800637/000121390024011247/fs12024a1ex4-22_agrifycorp.htm" TargetMode="External"/><Relationship Id="rId135" Type="http://schemas.openxmlformats.org/officeDocument/2006/relationships/hyperlink" Target="http://www.sec.gov/Archives/edgar/data/1800637/000121390024058789/ea020888301ex4-1_agrify.htm" TargetMode="External"/><Relationship Id="rId136" Type="http://schemas.openxmlformats.org/officeDocument/2006/relationships/hyperlink" Target="http://www.sec.gov/Archives/edgar/data/1800637/000121390024058789/ea020888301ex4-2_agrify.htm" TargetMode="External"/><Relationship Id="rId137" Type="http://schemas.openxmlformats.org/officeDocument/2006/relationships/hyperlink" Target="http://www.sec.gov/Archives/edgar/data/1800637/000121390024069076/ea021134001ex4-1_agrify.htm" TargetMode="External"/><Relationship Id="rId138" Type="http://schemas.openxmlformats.org/officeDocument/2006/relationships/hyperlink" Target="https://www.sec.gov/Archives/edgar/data/1800637/000121390024089657/ea021819201ex4-1_agrify.htm" TargetMode="External"/><Relationship Id="rId139" Type="http://schemas.openxmlformats.org/officeDocument/2006/relationships/hyperlink" Target="http://www.sec.gov/Archives/edgar/data/1800637/000121390020044121/fs12020ex10-1_agrifycorp.htm" TargetMode="External"/><Relationship Id="rId140" Type="http://schemas.openxmlformats.org/officeDocument/2006/relationships/hyperlink" Target="http://www.sec.gov/Archives/edgar/data/1800637/000121390020044121/fs12020ex10-2_agrifycorp.htm" TargetMode="External"/><Relationship Id="rId141" Type="http://schemas.openxmlformats.org/officeDocument/2006/relationships/hyperlink" Target="http://www.sec.gov/Archives/edgar/data/1800637/000121390020044121/fs12020ex10-3_agrifycorp.htm" TargetMode="External"/><Relationship Id="rId142" Type="http://schemas.openxmlformats.org/officeDocument/2006/relationships/hyperlink" Target="http://www.sec.gov/Archives/edgar/data/1800637/000121390020044121/fs12020ex10-4_agrifycorp.htm" TargetMode="External"/><Relationship Id="rId143" Type="http://schemas.openxmlformats.org/officeDocument/2006/relationships/hyperlink" Target="http://www.sec.gov/Archives/edgar/data/1800637/000121390021019992/f10k2020ex10-5_agrifycorp.htm" TargetMode="External"/><Relationship Id="rId144" Type="http://schemas.openxmlformats.org/officeDocument/2006/relationships/hyperlink" Target="http://www.sec.gov/Archives/edgar/data/1800637/000121390020044121/fs12020ex10-13_agrifycorp.htm" TargetMode="External"/><Relationship Id="rId145" Type="http://schemas.openxmlformats.org/officeDocument/2006/relationships/hyperlink" Target="http://www.sec.gov/Archives/edgar/data/1800637/000121390020044121/fs12020ex10-16_agrifycorp.htm" TargetMode="External"/><Relationship Id="rId146" Type="http://schemas.openxmlformats.org/officeDocument/2006/relationships/hyperlink" Target="http://www.sec.gov/Archives/edgar/data/1800637/000121390021001799/fs12020a1ex10-15_agrify.htm" TargetMode="External"/><Relationship Id="rId148" Type="http://schemas.openxmlformats.org/officeDocument/2006/relationships/hyperlink" Target="http://www.sec.gov/Archives/edgar/data/1800637/000121390020044121/fs12020ex10-18_agrifycorp.htm" TargetMode="External"/><Relationship Id="rId149" Type="http://schemas.openxmlformats.org/officeDocument/2006/relationships/hyperlink" Target="http://www.sec.gov/Archives/edgar/data/1800637/000121390021008530/fs12021ex10-18_agrifycorp.htm" TargetMode="External"/><Relationship Id="rId150" Type="http://schemas.openxmlformats.org/officeDocument/2006/relationships/hyperlink" Target="http://www.sec.gov/Archives/edgar/data/1800637/000121390021059567/ea150577ex10-2_agrifycorp.htm" TargetMode="External"/><Relationship Id="rId151" Type="http://schemas.openxmlformats.org/officeDocument/2006/relationships/hyperlink" Target="http://www.sec.gov/Archives/edgar/data/1800637/000121390022003773/ea154520ex10-1_agrify.htm" TargetMode="External"/><Relationship Id="rId152" Type="http://schemas.openxmlformats.org/officeDocument/2006/relationships/hyperlink" Target="http://www.sec.gov/Archives/edgar/data/1800637/000121390022013613/ea157101ex10-1_agrifycorp.htm" TargetMode="External"/><Relationship Id="rId153" Type="http://schemas.openxmlformats.org/officeDocument/2006/relationships/hyperlink" Target="http://www.sec.gov/Archives/edgar/data/1800637/000121390022022512/def14a0422_agrify.htm#T99014" TargetMode="External"/><Relationship Id="rId154" Type="http://schemas.openxmlformats.org/officeDocument/2006/relationships/hyperlink" Target="http://www.sec.gov/Archives/edgar/data/1800637/000121390022022512/def14a0422_agrify.htm#T99015" TargetMode="External"/><Relationship Id="rId155" Type="http://schemas.openxmlformats.org/officeDocument/2006/relationships/hyperlink" Target="http://www.sec.gov/Archives/edgar/data/1800637/000121390022039420/ea162872ex10-2_agrify.htm" TargetMode="External"/><Relationship Id="rId156" Type="http://schemas.openxmlformats.org/officeDocument/2006/relationships/hyperlink" Target="http://www.sec.gov/Archives/edgar/data/1800637/000121390022039420/ea162872ex10-1_agrify.htm" TargetMode="External"/><Relationship Id="rId157" Type="http://schemas.openxmlformats.org/officeDocument/2006/relationships/hyperlink" Target="http://www.sec.gov/Archives/edgar/data/1800637/000121390022049494/ea164681ex10-1_agrify.htm" TargetMode="External"/><Relationship Id="rId158" Type="http://schemas.openxmlformats.org/officeDocument/2006/relationships/hyperlink" Target="http://www.sec.gov/Archives/edgar/data/1800637/000121390022064592/ea167238ex1-1_agrifycorp.htm" TargetMode="External"/><Relationship Id="rId159" Type="http://schemas.openxmlformats.org/officeDocument/2006/relationships/hyperlink" Target="http://www.sec.gov/Archives/edgar/data/1800637/000121390023004857/ea172124ex10-1_agrifycorp.htm" TargetMode="External"/><Relationship Id="rId160" Type="http://schemas.openxmlformats.org/officeDocument/2006/relationships/hyperlink" Target="http://www.sec.gov/Archives/edgar/data/1800637/000121390023018686/ea174704ex10-1_agrifycorp.htm" TargetMode="External"/><Relationship Id="rId161" Type="http://schemas.openxmlformats.org/officeDocument/2006/relationships/hyperlink" Target="http://www.sec.gov/Archives/edgar/data/1800637/000121390023083943/ea187778ex10-1_agrifycorp.htm" TargetMode="External"/><Relationship Id="rId162" Type="http://schemas.openxmlformats.org/officeDocument/2006/relationships/hyperlink" Target="http://www.sec.gov/Archives/edgar/data/1800637/000121390023083943/ea187778ex10-2_agrifycorp.htm" TargetMode="External"/><Relationship Id="rId163" Type="http://schemas.openxmlformats.org/officeDocument/2006/relationships/hyperlink" Target="http://www.sec.gov/Archives/edgar/data/1800637/000121390023083943/ea187778ex10-3_agrifycorp.htm" TargetMode="External"/><Relationship Id="rId164" Type="http://schemas.openxmlformats.org/officeDocument/2006/relationships/hyperlink" Target="http://www.sec.gov/Archives/edgar/data/1800637/000121390024073911/ea021277101ex10-1_agrify.htm" TargetMode="External"/><Relationship Id="rId165" Type="http://schemas.openxmlformats.org/officeDocument/2006/relationships/hyperlink" Target="http://www.sec.gov/Archives/edgar/data/1800637/000121390024073911/ea021277101ex10-2_agrify.htm" TargetMode="External"/><Relationship Id="rId166" Type="http://schemas.openxmlformats.org/officeDocument/2006/relationships/hyperlink" Target="http://www.sec.gov/Archives/edgar/data/1800637/000121390024073911/ea021277101ex10-3_agrify.htm" TargetMode="External"/><Relationship Id="rId167" Type="http://schemas.openxmlformats.org/officeDocument/2006/relationships/hyperlink" Target="http://www.sec.gov/Archives/edgar/data/1800637/000121390024073911/ea021277101ex10-4_agrify.htm" TargetMode="External"/><Relationship Id="rId168" Type="http://schemas.openxmlformats.org/officeDocument/2006/relationships/hyperlink" Target="http://www.sec.gov/Archives/edgar/data/1800637/000121390024075628/ea021332601ex10-1_agrify.htm" TargetMode="External"/><Relationship Id="rId169" Type="http://schemas.openxmlformats.org/officeDocument/2006/relationships/hyperlink" Target="http://www.sec.gov/Archives/edgar/data/1800637/000121390024082784/ea021565401ex21-1_agrify.htm" TargetMode="External"/><Relationship Id="rId170" Type="http://schemas.openxmlformats.org/officeDocument/2006/relationships/hyperlink" Target="https://www.sec.gov/Archives/edgar/data/1800637/000121390024082784/ea0215654-s1_agrify.htm#a_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2024-10-23T15:39:54Z</dcterms:created>
  <dcterms:modified xsi:type="dcterms:W3CDTF">2024-10-23T15:39:54Z</dcterms:modified>
</cp:coreProperties>
</file>