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20" w:type="dxa"/>
            <w:vAlign w:val="bottom"/>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55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56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560" w:type="dxa"/>
            <w:vAlign w:val="bottom"/>
          </w:tcPr>
          <w:p>
            <w:pPr>
              <w:spacing w:after="0"/>
              <w:rPr>
                <w:sz w:val="24"/>
                <w:szCs w:val="24"/>
                <w:color w:val="auto"/>
              </w:rPr>
            </w:pPr>
          </w:p>
        </w:tc>
      </w:tr>
      <w:tr>
        <w:trPr>
          <w:trHeight w:val="245"/>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35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183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7680" w:type="dxa"/>
            <w:vAlign w:val="bottom"/>
            <w:gridSpan w:val="3"/>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(855) 420-0020</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reported, on July 12, 2023, Agrify Corporation (the “Company”) issued a junior secured promissory note (the “Note”) in favor of CP Acquisitions LLC (“CP”), an entity that is controlled and partially owned by Raymond Chang, the Company’s Chairman and Chief Executive Officer. The Note provided for a maximum loan amount of $3,000,000, bears interest at 10% per annum, and may be prepaid without any fee or penalty.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4, 2023, CP and the Company amended and restated the Note (the “Note Amendment”). Pursuant to the terms of the Note Amendment, the maximum principal amount that may be loaned by CP to the Company was increased to $4,000,000.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Note Amendment does not purport to be complete, and is qualified in its entirety by reference to a copy of the Note Amendment that is filed as Exhibit 4.1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regarding the Note Amendment is incorporated herein by reference into this Item 2.03.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 2023, the Company received a notice (the “Notice”) from The Nasdaq Stock Market LLC (“Nasdaq”) stating that because the Company reported stockholders’ equity of $(17.17) million in its Quarterly Report on Form 10-Q for the quarter ended March 31, 2023, the Company is no longer in compliance with Nasdaq Listing Rule 5550(b)(1) (the “Listing Rule”), which requires that listed companies maintain a minimum of $2.5 million in stockholders’ equity. The notice has no immediate effect and will not immediately result in the suspension of trading or delisting of the Company’s shares of common stock.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reported, the Company has previously received notices from Nasdaq notifying the Company that it is not in compliance with Nasdaq Listing Rule 5250(c)(1) because the Company had not yet filed its Annual Report on Form 10-K for the fiscal year ended December 31, 2022 and the Quarterly Reports on Form 10-Q for the quarters ended March 31, 2023, June 30, 2023 and September 30, 2023 by their respective due dates (the “Delinquent Reports”). On October 17, 2023, the Company received a Staff Delisting Determination (the “Staff Determination”) from the Listing Qualifications Department of Nasdaq notifying the Company that it was not in compliance with Nasdaq’s continued listing requirements as a result of its failure to file the Delinquent Reports in a timely manner.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receipt of the Staff Determination, the Company timely requested a hearing with the Nasdaq Hearings Panel (the “Panel”)</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Notice noted that the Panel will consider the Company’s non-compliance with the Listing Rule in making its determination regarding the Company’s continued listing on The Nasdaq Capital Market. On November 28, 2023, the Company filed its Annual Report for the fiscal year ended December 31, 2022 and its Quarterly Report for the quarter ended March 31, 2023. The Company intends to complete the remaining Delinquent Reports, after which the financial statements contained in the Delinquent Reports will be subject to review by the Company’s independent registered public accounting firm. Following completion of the review of the remaining Delinquent Reports, the Company plans to file the Delinquent Reports within the period of the extended stay provided by the Panel. However, there can be no assurance that the Company will be able to file the Delinquent Reports prior to the hearing or regarding the outcome of the Panel hearing.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cautions you certain of the statements in this Form 8-K may represent “forward-looking statements” as defined in Section 27A of the United States Securities Act of 1933, as amended, and Section 21E of the United States Securities Exchange Act of 1934, as amended. All statements contained in this Form 8-K that do not relate to matters of historical fact should be considered forward-looking statements including, without limitation, statements relating to the filing of the Delinquent Reports and the Company’s ability to regain compliance with the Nasdaq continued listing standards.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Form 8-K are only predictions. The Company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You should carefully consider the risks and uncertainties that affect the Company’s business, including those described in the Company’s filings with the Securities and Exchange Commission (“SEC”), including under the caption “Risk Factors” in the Company’s Annual Report on Form 10-K filed for the year ended December 31, 2022 with the SEC, which can be obtained on the SEC website at www.sec.gov. These forward-looking statements speak only as of the date of this Form 8-K. Except as required by applicable law, the Company does not plan to publicly update or revise any forward-looking statements, whether as a result of any new information, future events or otherwise. Investors are advised, however, to consult any further disclosures the Company makes on related subjects in its public announcements and filings with the SEC.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files or furnishes, as applicable, the following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Amendment to Junior Secured Promissory Note, dated December 4, 2023, between Agrify Corporation and CP Acquisitions LLC</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Raymond Chang</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December 6,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AMENDMENT TO JUNIOR SECURED PROMISSORY NOTE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Junior Secured Promissory Note, dated October 27, 2023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is made by and between Agrify Corporation, a Nevada corporation (“</w:t>
      </w:r>
      <w:r>
        <w:rPr>
          <w:rFonts w:ascii="Times New Roman" w:cs="Times New Roman" w:eastAsia="Times New Roman" w:hAnsi="Times New Roman"/>
          <w:sz w:val="18"/>
          <w:szCs w:val="18"/>
          <w:u w:val="single" w:color="auto"/>
          <w:color w:val="auto"/>
        </w:rPr>
        <w:t>Maker</w:t>
      </w:r>
      <w:r>
        <w:rPr>
          <w:rFonts w:ascii="Times New Roman" w:cs="Times New Roman" w:eastAsia="Times New Roman" w:hAnsi="Times New Roman"/>
          <w:sz w:val="18"/>
          <w:szCs w:val="18"/>
          <w:color w:val="auto"/>
        </w:rPr>
        <w:t>”), and CP Acquisitions LLC, a Delaware limited liability company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effective as of December 4, 2023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Collectively, both Maker and Holder are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Terms used but not defined herein shall have the meanings ascribed thereto in the Note.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have previously entered into the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wish to amend the Note to increase the maximum principal amount that may be advanced to Maker as set forth below.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promises and mutual covenants contained herein, and for other good, valuable and binding consideration, the receipt and legal sufficiency of which are hereby expressly acknowledged, and intending to be legally bound, the Parties hereby agree to amend the Agreement as follows:</w:t>
      </w:r>
    </w:p>
    <w:p>
      <w:pPr>
        <w:spacing w:after="0" w:line="176" w:lineRule="exact"/>
        <w:rPr>
          <w:sz w:val="20"/>
          <w:szCs w:val="20"/>
          <w:color w:val="auto"/>
        </w:rPr>
      </w:pPr>
    </w:p>
    <w:p>
      <w:pPr>
        <w:jc w:val="both"/>
        <w:ind w:firstLine="656"/>
        <w:spacing w:after="0" w:line="266" w:lineRule="auto"/>
        <w:tabs>
          <w:tab w:leader="none" w:pos="8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Agreement</w:t>
      </w:r>
      <w:r>
        <w:rPr>
          <w:rFonts w:ascii="Times New Roman" w:cs="Times New Roman" w:eastAsia="Times New Roman" w:hAnsi="Times New Roman"/>
          <w:sz w:val="18"/>
          <w:szCs w:val="18"/>
          <w:color w:val="auto"/>
        </w:rPr>
        <w:t>. The Note is hereby amended by increasing the maximum principal amount that may be advanced thereunder to Maker from Three Million Dollars ($3,000,000) to Four Million Dollars ($4,000,000). Throughout the Note, wherever the terms “$3,000,000” or “Three Million Dollars” appears, such terms shall be replaced by “$4,000,000” and “Four Million Dollars”, respectively.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Except as amended hereby, the Note shall remain unchanged and shall be in full force and effect. This Amendment and the Note contain the entire understanding of the Parties with respect to the subject matter, and supersede all previous verbal and written letters, agreements, representations and warranties. In the event of any conflict about the terms and provisions of this Amendment and the Note, this Amendment shall control.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entered into this Second Amendment as of the Amendment Effective Date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tc>
        <w:tc>
          <w:tcPr>
            <w:tcW w:w="616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CP ACQUISITIONS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Savitz</w:t>
            </w:r>
          </w:p>
        </w:tc>
        <w:tc>
          <w:tcPr>
            <w:tcW w:w="16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Joshua Savitz</w:t>
            </w:r>
          </w:p>
        </w:tc>
        <w:tc>
          <w:tcPr>
            <w:tcW w:w="1680" w:type="dxa"/>
            <w:vAlign w:val="bottom"/>
          </w:tcPr>
          <w:p>
            <w:pPr>
              <w:ind w:left="1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16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2023-12-06T15:43:15Z</dcterms:created>
  <dcterms:modified xsi:type="dcterms:W3CDTF">2023-12-06T15:43:15Z</dcterms:modified>
</cp:coreProperties>
</file>