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486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6918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 I-Tseng Jenny</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38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AGRIFY CORPORATION</w:t>
            </w:r>
          </w:p>
        </w:tc>
        <w:tc>
          <w:tcPr>
            <w:tcW w:w="134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2468 INDUSTRIAL DRIVE</w:t>
            </w:r>
          </w:p>
        </w:tc>
        <w:tc>
          <w:tcPr>
            <w:tcW w:w="134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57"/>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4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48084</w:t>
            </w:r>
          </w:p>
        </w:tc>
      </w:tr>
      <w:tr>
        <w:trPr>
          <w:trHeight w:val="147"/>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440" w:type="dxa"/>
            <w:vAlign w:val="bottom"/>
          </w:tcPr>
          <w:p>
            <w:pPr>
              <w:ind w:left="38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Agrify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AGFY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08/14/2024</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08/14/2024</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92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1,500,000</w:t>
            </w:r>
            <w:r>
              <w:rPr>
                <w:rFonts w:ascii="Times New Roman" w:cs="Times New Roman" w:eastAsia="Times New Roman" w:hAnsi="Times New Roman"/>
                <w:sz w:val="21"/>
                <w:szCs w:val="21"/>
                <w:color w:val="008000"/>
                <w:vertAlign w:val="superscript"/>
              </w:rPr>
              <w:t>(1)</w:t>
            </w: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By CP</w:t>
            </w:r>
          </w:p>
        </w:tc>
        <w:tc>
          <w:tcPr>
            <w:tcW w:w="0" w:type="dxa"/>
            <w:vAlign w:val="bottom"/>
          </w:tcPr>
          <w:p>
            <w:pPr>
              <w:spacing w:after="0"/>
              <w:rPr>
                <w:sz w:val="1"/>
                <w:szCs w:val="1"/>
                <w:color w:val="auto"/>
              </w:rPr>
            </w:pPr>
          </w:p>
        </w:tc>
      </w:tr>
      <w:tr>
        <w:trPr>
          <w:trHeight w:val="77"/>
        </w:trPr>
        <w:tc>
          <w:tcPr>
            <w:tcW w:w="74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0.2633</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08/14/2024</w:t>
            </w: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0000FF"/>
              </w:rPr>
              <w:t>0</w:t>
            </w:r>
          </w:p>
        </w:tc>
        <w:tc>
          <w:tcPr>
            <w:tcW w:w="920" w:type="dxa"/>
            <w:vAlign w:val="bottom"/>
            <w:vMerge w:val="continue"/>
          </w:tcPr>
          <w:p>
            <w:pPr>
              <w:spacing w:after="0"/>
              <w:rPr>
                <w:sz w:val="6"/>
                <w:szCs w:val="6"/>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07/01/2025</w:t>
            </w:r>
          </w:p>
        </w:tc>
        <w:tc>
          <w:tcPr>
            <w:tcW w:w="680" w:type="dxa"/>
            <w:vAlign w:val="bottom"/>
            <w:vMerge w:val="continue"/>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Acquisitions,</w:t>
            </w:r>
          </w:p>
        </w:tc>
        <w:tc>
          <w:tcPr>
            <w:tcW w:w="0" w:type="dxa"/>
            <w:vAlign w:val="bottom"/>
          </w:tcPr>
          <w:p>
            <w:pPr>
              <w:spacing w:after="0"/>
              <w:rPr>
                <w:sz w:val="1"/>
                <w:szCs w:val="1"/>
                <w:color w:val="auto"/>
              </w:rPr>
            </w:pPr>
          </w:p>
        </w:tc>
      </w:tr>
      <w:tr>
        <w:trPr>
          <w:trHeight w:val="77"/>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Note</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4"/>
          <w:szCs w:val="24"/>
          <w:color w:val="auto"/>
        </w:rPr>
      </w:pPr>
    </w:p>
    <w:p>
      <w:pPr>
        <w:ind w:left="40" w:right="14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14, 2024, the Issuer issued a junior secured promissory note (the "Junior Note") in favor of CP Acquisitions, LLC ("CP Acquisitions"). Pursuant to the New Junior Note, CP Acquisitions will lend up to $1,500,000 to the Issuer. The New Junior Note bears interest at a rate of 10% per annum, will mature in full on July 1, 2025, and may be prepaid without any fee or penalty. The New Junior Note is secured by the Issuer's assets and ranks junior to existing secured indebtedness of the Issuer. The New Junior Note may be converted into common stock of the Issuer or, at CP Acquisitions's election, pre-funded warrants with an exercise price of $0.001 per share (the "Pre-Funded Warrants"), in each case at a conversion price of $0.2633, and the exercise of such Pre-Funded Warrants is subject to a 49.99% beneficial ownership limitation.</w:t>
      </w:r>
    </w:p>
    <w:p>
      <w:pPr>
        <w:spacing w:after="0" w:line="28" w:lineRule="exact"/>
        <w:rPr>
          <w:rFonts w:ascii="Times New Roman" w:cs="Times New Roman" w:eastAsia="Times New Roman" w:hAnsi="Times New Roman"/>
          <w:sz w:val="13"/>
          <w:szCs w:val="13"/>
          <w:color w:val="008000"/>
        </w:rPr>
      </w:pPr>
    </w:p>
    <w:p>
      <w:pPr>
        <w:jc w:val="both"/>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0000FF"/>
                <w:w w:val="95"/>
              </w:rPr>
              <w:t>/s/ I-Tseng Jenny Chan</w:t>
            </w:r>
          </w:p>
        </w:tc>
        <w:tc>
          <w:tcPr>
            <w:tcW w:w="50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08/16/2024</w:t>
            </w:r>
          </w:p>
        </w:tc>
      </w:tr>
      <w:tr>
        <w:trPr>
          <w:trHeight w:val="20"/>
        </w:trPr>
        <w:tc>
          <w:tcPr>
            <w:tcW w:w="1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9461"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2024-08-16T15:42:30Z</dcterms:created>
  <dcterms:modified xsi:type="dcterms:W3CDTF">2024-08-16T15:42:30Z</dcterms:modified>
</cp:coreProperties>
</file>