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0" w:lineRule="exact"/>
        <w:rPr>
          <w:sz w:val="24"/>
          <w:szCs w:val="24"/>
          <w:color w:val="auto"/>
        </w:rPr>
      </w:pPr>
    </w:p>
    <w:p>
      <w:pPr>
        <w:ind w:left="320" w:right="60"/>
        <w:spacing w:after="0" w:line="27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-179705</wp:posOffset>
            </wp:positionV>
            <wp:extent cx="112395" cy="112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95" cy="112395"/>
                    </a:xfrm>
                    <a:prstGeom prst="rect">
                      <a:avLst/>
                    </a:prstGeom>
                    <a:noFill/>
                  </pic:spPr>
                </pic:pic>
              </a:graphicData>
            </a:graphic>
          </wp:anchor>
        </w:drawing>
      </w:r>
    </w:p>
    <w:p>
      <w:pPr>
        <w:spacing w:after="0" w:line="202" w:lineRule="exact"/>
        <w:rPr>
          <w:sz w:val="24"/>
          <w:szCs w:val="24"/>
          <w:color w:val="auto"/>
        </w:rPr>
      </w:pPr>
    </w:p>
    <w:p>
      <w:pPr>
        <w:ind w:left="320"/>
        <w:spacing w:after="0" w:line="22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-528320</wp:posOffset>
            </wp:positionV>
            <wp:extent cx="112395" cy="112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2395" cy="1123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020" w:type="dxa"/>
            <w:vAlign w:val="bottom"/>
          </w:tcPr>
          <w:p>
            <w:pPr>
              <w:jc w:val="center"/>
              <w:ind w:right="444"/>
              <w:spacing w:after="0"/>
              <w:rPr>
                <w:sz w:val="20"/>
                <w:szCs w:val="20"/>
                <w:color w:val="auto"/>
              </w:rPr>
            </w:pPr>
            <w:r>
              <w:rPr>
                <w:rFonts w:ascii="Arial" w:cs="Arial" w:eastAsia="Arial" w:hAnsi="Arial"/>
                <w:sz w:val="19"/>
                <w:szCs w:val="19"/>
                <w:b w:val="1"/>
                <w:bCs w:val="1"/>
                <w:color w:val="auto"/>
                <w:w w:val="98"/>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20" w:type="dxa"/>
            <w:vAlign w:val="bottom"/>
            <w:vMerge w:val="restart"/>
          </w:tcPr>
          <w:p>
            <w:pPr>
              <w:jc w:val="center"/>
              <w:ind w:right="444"/>
              <w:spacing w:after="0" w:line="132" w:lineRule="exact"/>
              <w:rPr>
                <w:sz w:val="20"/>
                <w:szCs w:val="20"/>
                <w:color w:val="auto"/>
              </w:rPr>
            </w:pPr>
            <w:r>
              <w:rPr>
                <w:rFonts w:ascii="Arial" w:cs="Arial" w:eastAsia="Arial" w:hAnsi="Arial"/>
                <w:sz w:val="12"/>
                <w:szCs w:val="12"/>
                <w:color w:val="auto"/>
                <w:w w:val="96"/>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3"/>
        </w:trPr>
        <w:tc>
          <w:tcPr>
            <w:tcW w:w="6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jc w:val="center"/>
              <w:ind w:right="444"/>
              <w:spacing w:after="0" w:line="168"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20" w:type="dxa"/>
            <w:vAlign w:val="bottom"/>
            <w:vMerge w:val="restart"/>
          </w:tcPr>
          <w:p>
            <w:pPr>
              <w:jc w:val="center"/>
              <w:ind w:right="44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5100320</wp:posOffset>
            </wp:positionH>
            <wp:positionV relativeFrom="paragraph">
              <wp:posOffset>-572770</wp:posOffset>
            </wp:positionV>
            <wp:extent cx="55245" cy="586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610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-572770</wp:posOffset>
            </wp:positionV>
            <wp:extent cx="55245" cy="586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8610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-1819275</wp:posOffset>
            </wp:positionH>
            <wp:positionV relativeFrom="paragraph">
              <wp:posOffset>601345</wp:posOffset>
            </wp:positionV>
            <wp:extent cx="7005320" cy="7042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5320" cy="7042785"/>
                    </a:xfrm>
                    <a:prstGeom prst="rect">
                      <a:avLst/>
                    </a:prstGeom>
                    <a:noFill/>
                  </pic:spPr>
                </pic:pic>
              </a:graphicData>
            </a:graphic>
          </wp:anchor>
        </w:drawing>
      </w:r>
    </w:p>
    <w:p>
      <w:pPr>
        <w:spacing w:after="0" w:line="960" w:lineRule="exact"/>
        <w:rPr>
          <w:sz w:val="24"/>
          <w:szCs w:val="24"/>
          <w:color w:val="auto"/>
        </w:rPr>
      </w:pPr>
    </w:p>
    <w:p>
      <w:pPr>
        <w:sectPr>
          <w:pgSz w:w="11900" w:h="16838" w:orient="portrait"/>
          <w:cols w:equalWidth="0" w:num="2">
            <w:col w:w="2300" w:space="540"/>
            <w:col w:w="8240"/>
          </w:cols>
          <w:pgMar w:left="460" w:top="211" w:right="359" w:bottom="0" w:gutter="0" w:footer="0" w:header="0"/>
        </w:sectPr>
      </w:pPr>
    </w:p>
    <w:tbl>
      <w:tblPr>
        <w:tblLayout w:type="fixed"/>
        <w:tblInd w:w="0" w:type="dxa"/>
        <w:tblCellMar>
          <w:top w:w="0" w:type="dxa"/>
          <w:left w:w="0" w:type="dxa"/>
          <w:bottom w:w="0" w:type="dxa"/>
          <w:right w:w="0" w:type="dxa"/>
        </w:tblCellMar>
      </w:tblPr>
      <w:tr>
        <w:trPr>
          <w:trHeight w:val="218"/>
        </w:trPr>
        <w:tc>
          <w:tcPr>
            <w:tcW w:w="2380" w:type="dxa"/>
            <w:vAlign w:val="bottom"/>
            <w:gridSpan w:val="7"/>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10"/>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6"/>
          </w:tcPr>
          <w:p>
            <w:pPr>
              <w:ind w:left="60"/>
              <w:spacing w:after="0"/>
              <w:rPr>
                <w:sz w:val="20"/>
                <w:szCs w:val="20"/>
                <w:color w:val="auto"/>
              </w:rPr>
            </w:pPr>
            <w:r>
              <w:rPr>
                <w:rFonts w:ascii="Arial" w:cs="Arial" w:eastAsia="Arial" w:hAnsi="Arial"/>
                <w:sz w:val="12"/>
                <w:szCs w:val="12"/>
                <w:color w:val="auto"/>
                <w:w w:val="99"/>
              </w:rPr>
              <w:t>5. Relationship of Reporting Person(s) to Issuer</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RSLGH, LLC</w:t>
              </w:r>
            </w:hyperlink>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8"/>
          </w:tcPr>
          <w:p>
            <w:pPr>
              <w:ind w:left="60"/>
              <w:spacing w:after="0" w:line="164"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color w:val="0000EE"/>
                </w:rPr>
                <w:t xml:space="preserve">Agrify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AGFY</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color w:val="auto"/>
              </w:rPr>
              <w:t>(Check all applicable)</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vMerge w:val="restart"/>
          </w:tcPr>
          <w:p>
            <w:pPr>
              <w:ind w:left="140"/>
              <w:spacing w:after="0" w:line="136" w:lineRule="exact"/>
              <w:rPr>
                <w:sz w:val="20"/>
                <w:szCs w:val="20"/>
                <w:color w:val="auto"/>
              </w:rPr>
            </w:pPr>
            <w:r>
              <w:rPr>
                <w:rFonts w:ascii="Arial" w:cs="Arial" w:eastAsia="Arial" w:hAnsi="Arial"/>
                <w:sz w:val="12"/>
                <w:szCs w:val="12"/>
                <w:color w:val="auto"/>
              </w:rPr>
              <w:t>Director</w:t>
            </w: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gridSpan w:val="2"/>
            <w:vMerge w:val="restart"/>
          </w:tcPr>
          <w:p>
            <w:pPr>
              <w:ind w:left="80"/>
              <w:spacing w:after="0" w:line="136" w:lineRule="exact"/>
              <w:rPr>
                <w:sz w:val="20"/>
                <w:szCs w:val="20"/>
                <w:color w:val="auto"/>
              </w:rPr>
            </w:pPr>
            <w:r>
              <w:rPr>
                <w:rFonts w:ascii="Arial" w:cs="Arial" w:eastAsia="Arial" w:hAnsi="Arial"/>
                <w:sz w:val="12"/>
                <w:szCs w:val="12"/>
                <w:color w:val="auto"/>
                <w:w w:val="95"/>
              </w:rPr>
              <w:t>10% Owner</w:t>
            </w: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440" w:type="dxa"/>
            <w:vAlign w:val="bottom"/>
          </w:tcPr>
          <w:p>
            <w:pPr>
              <w:spacing w:after="0"/>
              <w:rPr>
                <w:sz w:val="7"/>
                <w:szCs w:val="7"/>
                <w:color w:val="auto"/>
              </w:rPr>
            </w:pPr>
          </w:p>
        </w:tc>
        <w:tc>
          <w:tcPr>
            <w:tcW w:w="1320" w:type="dxa"/>
            <w:vAlign w:val="bottom"/>
            <w:gridSpan w:val="5"/>
            <w:vMerge w:val="restart"/>
          </w:tcPr>
          <w:p>
            <w:pPr>
              <w:ind w:left="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1000" w:type="dxa"/>
            <w:vAlign w:val="bottom"/>
            <w:vMerge w:val="restart"/>
          </w:tcPr>
          <w:p>
            <w:pPr>
              <w:ind w:left="18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80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10"/>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40" w:type="dxa"/>
            <w:vAlign w:val="bottom"/>
            <w:gridSpan w:val="10"/>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325 WEST HURON STREET,</w:t>
            </w:r>
          </w:p>
        </w:tc>
        <w:tc>
          <w:tcPr>
            <w:tcW w:w="1000" w:type="dxa"/>
            <w:vAlign w:val="bottom"/>
          </w:tcPr>
          <w:p>
            <w:pPr>
              <w:spacing w:after="0"/>
              <w:rPr>
                <w:sz w:val="19"/>
                <w:szCs w:val="19"/>
                <w:color w:val="auto"/>
              </w:rPr>
            </w:pPr>
          </w:p>
        </w:tc>
        <w:tc>
          <w:tcPr>
            <w:tcW w:w="1440" w:type="dxa"/>
            <w:vAlign w:val="bottom"/>
            <w:gridSpan w:val="7"/>
          </w:tcPr>
          <w:p>
            <w:pPr>
              <w:ind w:left="520"/>
              <w:spacing w:after="0"/>
              <w:rPr>
                <w:sz w:val="20"/>
                <w:szCs w:val="20"/>
                <w:color w:val="auto"/>
              </w:rPr>
            </w:pPr>
            <w:r>
              <w:rPr>
                <w:rFonts w:ascii="Times New Roman" w:cs="Times New Roman" w:eastAsia="Times New Roman" w:hAnsi="Times New Roman"/>
                <w:sz w:val="15"/>
                <w:szCs w:val="15"/>
                <w:color w:val="0000FF"/>
              </w:rPr>
              <w:t>05/22/2025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SUITE 700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6"/>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2860" w:type="dxa"/>
            <w:vAlign w:val="bottom"/>
            <w:tcBorders>
              <w:bottom w:val="single" w:sz="8" w:color="2C2C2C"/>
            </w:tcBorders>
            <w:gridSpan w:val="6"/>
          </w:tcPr>
          <w:p>
            <w:pPr>
              <w:spacing w:after="0"/>
              <w:rPr>
                <w:sz w:val="7"/>
                <w:szCs w:val="7"/>
                <w:color w:val="auto"/>
              </w:rPr>
            </w:pPr>
          </w:p>
        </w:tc>
        <w:tc>
          <w:tcPr>
            <w:tcW w:w="1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48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96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000" w:type="dxa"/>
            <w:vAlign w:val="bottom"/>
            <w:tcBorders>
              <w:bottom w:val="single" w:sz="8" w:color="9A9A9A"/>
            </w:tcBorders>
          </w:tcPr>
          <w:p>
            <w:pPr>
              <w:spacing w:after="0"/>
              <w:rPr>
                <w:sz w:val="2"/>
                <w:szCs w:val="2"/>
                <w:color w:val="auto"/>
              </w:rPr>
            </w:pPr>
          </w:p>
        </w:tc>
        <w:tc>
          <w:tcPr>
            <w:tcW w:w="38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4"/>
        </w:trPr>
        <w:tc>
          <w:tcPr>
            <w:tcW w:w="68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8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6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0000FF"/>
              </w:rPr>
              <w:t>CHICAGO</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rPr>
              <w:t>IL</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0000FF"/>
              </w:rPr>
              <w:t>60654</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3"/>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00" w:type="dxa"/>
            <w:vAlign w:val="bottom"/>
          </w:tcPr>
          <w:p>
            <w:pPr>
              <w:ind w:left="18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860" w:type="dxa"/>
            <w:vAlign w:val="bottom"/>
            <w:tcBorders>
              <w:bottom w:val="single" w:sz="8" w:color="2C2C2C"/>
            </w:tcBorders>
            <w:gridSpan w:val="8"/>
          </w:tcPr>
          <w:p>
            <w:pPr>
              <w:spacing w:after="0"/>
              <w:rPr>
                <w:sz w:val="9"/>
                <w:szCs w:val="9"/>
                <w:color w:val="auto"/>
              </w:rPr>
            </w:pPr>
          </w:p>
        </w:tc>
        <w:tc>
          <w:tcPr>
            <w:tcW w:w="440" w:type="dxa"/>
            <w:vAlign w:val="bottom"/>
            <w:tcBorders>
              <w:bottom w:val="single" w:sz="8" w:color="2C2C2C"/>
            </w:tcBorders>
            <w:gridSpan w:val="2"/>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540" w:type="dxa"/>
            <w:vAlign w:val="bottom"/>
            <w:tcBorders>
              <w:top w:val="single" w:sz="8" w:color="2C2C2C"/>
            </w:tcBorders>
            <w:gridSpan w:val="19"/>
          </w:tcPr>
          <w:p>
            <w:pPr>
              <w:ind w:left="2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4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3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1000" w:type="dxa"/>
            <w:vAlign w:val="bottom"/>
            <w:gridSpan w:val="6"/>
          </w:tcPr>
          <w:p>
            <w:pPr>
              <w:ind w:left="14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w w:val="98"/>
              </w:rPr>
              <w:t>2A. Deemed</w:t>
            </w:r>
          </w:p>
        </w:tc>
        <w:tc>
          <w:tcPr>
            <w:tcW w:w="3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40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gridSpan w:val="4"/>
          </w:tcPr>
          <w:p>
            <w:pPr>
              <w:ind w:left="140"/>
              <w:spacing w:after="0" w:line="118"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ind w:left="120"/>
              <w:spacing w:after="0" w:line="118"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40"/>
              <w:spacing w:after="0" w:line="118"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8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Securities</w:t>
            </w:r>
          </w:p>
        </w:tc>
        <w:tc>
          <w:tcPr>
            <w:tcW w:w="400" w:type="dxa"/>
            <w:vAlign w:val="bottom"/>
          </w:tcPr>
          <w:p>
            <w:pPr>
              <w:spacing w:after="0"/>
              <w:rPr>
                <w:sz w:val="10"/>
                <w:szCs w:val="10"/>
                <w:color w:val="auto"/>
              </w:rPr>
            </w:pPr>
          </w:p>
        </w:tc>
        <w:tc>
          <w:tcPr>
            <w:tcW w:w="96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Form: Direct (D)</w:t>
            </w:r>
          </w:p>
        </w:tc>
        <w:tc>
          <w:tcPr>
            <w:tcW w:w="800" w:type="dxa"/>
            <w:vAlign w:val="bottom"/>
            <w:gridSpan w:val="4"/>
          </w:tcPr>
          <w:p>
            <w:pPr>
              <w:spacing w:after="0" w:line="118"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gridSpan w:val="6"/>
          </w:tcPr>
          <w:p>
            <w:pPr>
              <w:ind w:left="140"/>
              <w:spacing w:after="0" w:line="118" w:lineRule="exact"/>
              <w:rPr>
                <w:sz w:val="20"/>
                <w:szCs w:val="20"/>
                <w:color w:val="auto"/>
              </w:rPr>
            </w:pPr>
            <w:r>
              <w:rPr>
                <w:rFonts w:ascii="Arial" w:cs="Arial" w:eastAsia="Arial" w:hAnsi="Arial"/>
                <w:sz w:val="11"/>
                <w:szCs w:val="11"/>
                <w:b w:val="1"/>
                <w:bCs w:val="1"/>
                <w:color w:val="auto"/>
                <w:w w:val="92"/>
              </w:rPr>
              <w:t>(Month/Day/Year)</w:t>
            </w:r>
          </w:p>
        </w:tc>
        <w:tc>
          <w:tcPr>
            <w:tcW w:w="760" w:type="dxa"/>
            <w:vAlign w:val="bottom"/>
            <w:gridSpan w:val="2"/>
          </w:tcPr>
          <w:p>
            <w:pPr>
              <w:ind w:left="120"/>
              <w:spacing w:after="0" w:line="118"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6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or Indirect (I)</w:t>
            </w:r>
          </w:p>
        </w:tc>
        <w:tc>
          <w:tcPr>
            <w:tcW w:w="800" w:type="dxa"/>
            <w:vAlign w:val="bottom"/>
            <w:gridSpan w:val="4"/>
          </w:tcPr>
          <w:p>
            <w:pPr>
              <w:spacing w:after="0" w:line="118"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ind w:left="120"/>
              <w:spacing w:after="0" w:line="118"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Following Reported</w:t>
            </w:r>
          </w:p>
        </w:tc>
        <w:tc>
          <w:tcPr>
            <w:tcW w:w="440" w:type="dxa"/>
            <w:vAlign w:val="bottom"/>
          </w:tcPr>
          <w:p>
            <w:pPr>
              <w:ind w:left="20"/>
              <w:spacing w:after="0" w:line="118" w:lineRule="exact"/>
              <w:rPr>
                <w:sz w:val="20"/>
                <w:szCs w:val="20"/>
                <w:color w:val="auto"/>
              </w:rPr>
            </w:pPr>
            <w:r>
              <w:rPr>
                <w:rFonts w:ascii="Arial" w:cs="Arial" w:eastAsia="Arial" w:hAnsi="Arial"/>
                <w:sz w:val="11"/>
                <w:szCs w:val="11"/>
                <w:b w:val="1"/>
                <w:bCs w:val="1"/>
                <w:color w:val="auto"/>
                <w:w w:val="92"/>
              </w:rPr>
              <w:t>(Instr. 4)</w:t>
            </w:r>
          </w:p>
        </w:tc>
        <w:tc>
          <w:tcPr>
            <w:tcW w:w="520" w:type="dxa"/>
            <w:vAlign w:val="bottom"/>
          </w:tcPr>
          <w:p>
            <w:pPr>
              <w:spacing w:after="0"/>
              <w:rPr>
                <w:sz w:val="10"/>
                <w:szCs w:val="10"/>
                <w:color w:val="auto"/>
              </w:rPr>
            </w:pPr>
          </w:p>
        </w:tc>
        <w:tc>
          <w:tcPr>
            <w:tcW w:w="800" w:type="dxa"/>
            <w:vAlign w:val="bottom"/>
            <w:gridSpan w:val="4"/>
          </w:tcPr>
          <w:p>
            <w:pPr>
              <w:spacing w:after="0" w:line="118"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vMerge w:val="restart"/>
          </w:tcPr>
          <w:p>
            <w:pPr>
              <w:ind w:left="60"/>
              <w:spacing w:after="0" w:line="118" w:lineRule="exact"/>
              <w:rPr>
                <w:sz w:val="20"/>
                <w:szCs w:val="20"/>
                <w:color w:val="auto"/>
              </w:rPr>
            </w:pPr>
            <w:r>
              <w:rPr>
                <w:rFonts w:ascii="Arial" w:cs="Arial" w:eastAsia="Arial" w:hAnsi="Arial"/>
                <w:sz w:val="11"/>
                <w:szCs w:val="11"/>
                <w:b w:val="1"/>
                <w:bCs w:val="1"/>
                <w:color w:val="auto"/>
                <w:w w:val="94"/>
              </w:rPr>
              <w:t>Transaction(s)</w:t>
            </w: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gridSpan w:val="4"/>
            <w:vMerge w:val="restart"/>
          </w:tcPr>
          <w:p>
            <w:pPr>
              <w:spacing w:after="0" w:line="118"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tcPr>
          <w:p>
            <w:pPr>
              <w:ind w:left="380"/>
              <w:spacing w:after="0" w:line="118"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800" w:type="dxa"/>
            <w:vAlign w:val="bottom"/>
          </w:tcPr>
          <w:p>
            <w:pPr>
              <w:ind w:left="60"/>
              <w:spacing w:after="0" w:line="118" w:lineRule="exact"/>
              <w:rPr>
                <w:sz w:val="20"/>
                <w:szCs w:val="20"/>
                <w:color w:val="auto"/>
              </w:rPr>
            </w:pPr>
            <w:r>
              <w:rPr>
                <w:rFonts w:ascii="Arial" w:cs="Arial" w:eastAsia="Arial" w:hAnsi="Arial"/>
                <w:sz w:val="11"/>
                <w:szCs w:val="11"/>
                <w:b w:val="1"/>
                <w:bCs w:val="1"/>
                <w:color w:val="auto"/>
                <w:w w:val="95"/>
              </w:rPr>
              <w:t>(Instr. 3 and 4)</w:t>
            </w: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6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10"/>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40" w:type="dxa"/>
            <w:vAlign w:val="bottom"/>
            <w:gridSpan w:val="19"/>
          </w:tcPr>
          <w:p>
            <w:pPr>
              <w:ind w:left="40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80" w:type="dxa"/>
            <w:vAlign w:val="bottom"/>
            <w:gridSpan w:val="16"/>
          </w:tcPr>
          <w:p>
            <w:pPr>
              <w:ind w:left="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3"/>
                <w:szCs w:val="13"/>
                <w:color w:val="auto"/>
              </w:rPr>
            </w:pPr>
          </w:p>
        </w:tc>
        <w:tc>
          <w:tcPr>
            <w:tcW w:w="10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4"/>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62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8"/>
        </w:trPr>
        <w:tc>
          <w:tcPr>
            <w:tcW w:w="68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Derivative</w:t>
            </w:r>
          </w:p>
        </w:tc>
        <w:tc>
          <w:tcPr>
            <w:tcW w:w="1700" w:type="dxa"/>
            <w:vAlign w:val="bottom"/>
            <w:gridSpan w:val="4"/>
          </w:tcPr>
          <w:p>
            <w:pPr>
              <w:ind w:left="60"/>
              <w:spacing w:after="0" w:line="118" w:lineRule="exact"/>
              <w:rPr>
                <w:sz w:val="20"/>
                <w:szCs w:val="20"/>
                <w:color w:val="auto"/>
              </w:rPr>
            </w:pPr>
            <w:r>
              <w:rPr>
                <w:rFonts w:ascii="Arial" w:cs="Arial" w:eastAsia="Arial" w:hAnsi="Arial"/>
                <w:sz w:val="11"/>
                <w:szCs w:val="11"/>
                <w:b w:val="1"/>
                <w:bCs w:val="1"/>
                <w:color w:val="auto"/>
              </w:rPr>
              <w:t>Conversion  Date</w:t>
            </w:r>
          </w:p>
        </w:tc>
        <w:tc>
          <w:tcPr>
            <w:tcW w:w="10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60"/>
              <w:spacing w:after="0" w:line="118"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4"/>
          </w:tcPr>
          <w:p>
            <w:pPr>
              <w:ind w:left="80"/>
              <w:spacing w:after="0" w:line="118" w:lineRule="exact"/>
              <w:rPr>
                <w:sz w:val="20"/>
                <w:szCs w:val="20"/>
                <w:color w:val="auto"/>
              </w:rPr>
            </w:pPr>
            <w:r>
              <w:rPr>
                <w:rFonts w:ascii="Arial" w:cs="Arial" w:eastAsia="Arial" w:hAnsi="Arial"/>
                <w:sz w:val="11"/>
                <w:szCs w:val="11"/>
                <w:b w:val="1"/>
                <w:bCs w:val="1"/>
                <w:color w:val="auto"/>
              </w:rPr>
              <w:t>Derivative</w:t>
            </w:r>
          </w:p>
        </w:tc>
        <w:tc>
          <w:tcPr>
            <w:tcW w:w="1060" w:type="dxa"/>
            <w:vAlign w:val="bottom"/>
            <w:gridSpan w:val="3"/>
          </w:tcPr>
          <w:p>
            <w:pPr>
              <w:ind w:left="20"/>
              <w:spacing w:after="0" w:line="118"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380" w:type="dxa"/>
            <w:vAlign w:val="bottom"/>
            <w:gridSpan w:val="4"/>
          </w:tcPr>
          <w:p>
            <w:pPr>
              <w:ind w:left="20"/>
              <w:spacing w:after="0" w:line="118" w:lineRule="exact"/>
              <w:rPr>
                <w:sz w:val="20"/>
                <w:szCs w:val="20"/>
                <w:color w:val="auto"/>
              </w:rPr>
            </w:pPr>
            <w:r>
              <w:rPr>
                <w:rFonts w:ascii="Arial" w:cs="Arial" w:eastAsia="Arial" w:hAnsi="Arial"/>
                <w:sz w:val="11"/>
                <w:szCs w:val="11"/>
                <w:b w:val="1"/>
                <w:bCs w:val="1"/>
                <w:color w:val="auto"/>
              </w:rPr>
              <w:t>Securities Underlying</w:t>
            </w:r>
          </w:p>
        </w:tc>
        <w:tc>
          <w:tcPr>
            <w:tcW w:w="86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Ownership</w:t>
            </w:r>
          </w:p>
        </w:tc>
        <w:tc>
          <w:tcPr>
            <w:tcW w:w="620" w:type="dxa"/>
            <w:vAlign w:val="bottom"/>
            <w:tcBorders>
              <w:right w:val="single" w:sz="8" w:color="2C2C2C"/>
            </w:tcBorders>
            <w:gridSpan w:val="3"/>
          </w:tcPr>
          <w:p>
            <w:pPr>
              <w:spacing w:after="0" w:line="118"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8"/>
        </w:trPr>
        <w:tc>
          <w:tcPr>
            <w:tcW w:w="68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Security</w:t>
            </w:r>
          </w:p>
        </w:tc>
        <w:tc>
          <w:tcPr>
            <w:tcW w:w="64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w w:val="94"/>
              </w:rPr>
              <w:t>or Exercise</w:t>
            </w:r>
          </w:p>
        </w:tc>
        <w:tc>
          <w:tcPr>
            <w:tcW w:w="1060" w:type="dxa"/>
            <w:vAlign w:val="bottom"/>
            <w:gridSpan w:val="2"/>
          </w:tcPr>
          <w:p>
            <w:pPr>
              <w:ind w:left="140"/>
              <w:spacing w:after="0" w:line="118"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60"/>
              <w:spacing w:after="0" w:line="118"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4"/>
          </w:tcPr>
          <w:p>
            <w:pPr>
              <w:ind w:left="80"/>
              <w:spacing w:after="0" w:line="118" w:lineRule="exact"/>
              <w:rPr>
                <w:sz w:val="20"/>
                <w:szCs w:val="20"/>
                <w:color w:val="auto"/>
              </w:rPr>
            </w:pPr>
            <w:r>
              <w:rPr>
                <w:rFonts w:ascii="Arial" w:cs="Arial" w:eastAsia="Arial" w:hAnsi="Arial"/>
                <w:sz w:val="11"/>
                <w:szCs w:val="11"/>
                <w:b w:val="1"/>
                <w:bCs w:val="1"/>
                <w:color w:val="auto"/>
              </w:rPr>
              <w:t>Securities</w:t>
            </w:r>
          </w:p>
        </w:tc>
        <w:tc>
          <w:tcPr>
            <w:tcW w:w="1060" w:type="dxa"/>
            <w:vAlign w:val="bottom"/>
            <w:gridSpan w:val="3"/>
          </w:tcPr>
          <w:p>
            <w:pPr>
              <w:ind w:left="20"/>
              <w:spacing w:after="0" w:line="118"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380" w:type="dxa"/>
            <w:vAlign w:val="bottom"/>
            <w:gridSpan w:val="4"/>
          </w:tcPr>
          <w:p>
            <w:pPr>
              <w:ind w:left="20"/>
              <w:spacing w:after="0" w:line="118" w:lineRule="exact"/>
              <w:rPr>
                <w:sz w:val="20"/>
                <w:szCs w:val="20"/>
                <w:color w:val="auto"/>
              </w:rPr>
            </w:pPr>
            <w:r>
              <w:rPr>
                <w:rFonts w:ascii="Arial" w:cs="Arial" w:eastAsia="Arial" w:hAnsi="Arial"/>
                <w:sz w:val="11"/>
                <w:szCs w:val="11"/>
                <w:b w:val="1"/>
                <w:bCs w:val="1"/>
                <w:color w:val="auto"/>
              </w:rPr>
              <w:t>Derivative Security (Instr.</w:t>
            </w:r>
          </w:p>
        </w:tc>
        <w:tc>
          <w:tcPr>
            <w:tcW w:w="86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20"/>
              <w:spacing w:after="0" w:line="118"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620" w:type="dxa"/>
            <w:vAlign w:val="bottom"/>
            <w:tcBorders>
              <w:right w:val="single" w:sz="8" w:color="2C2C2C"/>
            </w:tcBorders>
            <w:gridSpan w:val="3"/>
          </w:tcPr>
          <w:p>
            <w:pPr>
              <w:spacing w:after="0" w:line="118"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680" w:type="dxa"/>
            <w:vAlign w:val="bottom"/>
            <w:gridSpan w:val="3"/>
          </w:tcPr>
          <w:p>
            <w:pPr>
              <w:ind w:left="60"/>
              <w:spacing w:after="0" w:line="118"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4"/>
          </w:tcPr>
          <w:p>
            <w:pPr>
              <w:ind w:left="80"/>
              <w:spacing w:after="0" w:line="118" w:lineRule="exact"/>
              <w:rPr>
                <w:sz w:val="20"/>
                <w:szCs w:val="20"/>
                <w:color w:val="auto"/>
              </w:rPr>
            </w:pPr>
            <w:r>
              <w:rPr>
                <w:rFonts w:ascii="Arial" w:cs="Arial" w:eastAsia="Arial" w:hAnsi="Arial"/>
                <w:sz w:val="11"/>
                <w:szCs w:val="11"/>
                <w:b w:val="1"/>
                <w:bCs w:val="1"/>
                <w:color w:val="auto"/>
              </w:rPr>
              <w:t>Acquired (A) or</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ind w:left="20"/>
              <w:spacing w:after="0" w:line="118" w:lineRule="exact"/>
              <w:rPr>
                <w:sz w:val="20"/>
                <w:szCs w:val="20"/>
                <w:color w:val="auto"/>
              </w:rPr>
            </w:pPr>
            <w:r>
              <w:rPr>
                <w:rFonts w:ascii="Arial" w:cs="Arial" w:eastAsia="Arial" w:hAnsi="Arial"/>
                <w:sz w:val="11"/>
                <w:szCs w:val="11"/>
                <w:b w:val="1"/>
                <w:bCs w:val="1"/>
                <w:color w:val="auto"/>
              </w:rPr>
              <w:t>3 and 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Beneficially</w:t>
            </w:r>
          </w:p>
        </w:tc>
        <w:tc>
          <w:tcPr>
            <w:tcW w:w="520" w:type="dxa"/>
            <w:vAlign w:val="bottom"/>
          </w:tcPr>
          <w:p>
            <w:pPr>
              <w:ind w:left="20"/>
              <w:spacing w:after="0" w:line="118" w:lineRule="exact"/>
              <w:rPr>
                <w:sz w:val="20"/>
                <w:szCs w:val="20"/>
                <w:color w:val="auto"/>
              </w:rPr>
            </w:pPr>
            <w:r>
              <w:rPr>
                <w:rFonts w:ascii="Arial" w:cs="Arial" w:eastAsia="Arial" w:hAnsi="Arial"/>
                <w:sz w:val="11"/>
                <w:szCs w:val="11"/>
                <w:b w:val="1"/>
                <w:bCs w:val="1"/>
                <w:color w:val="auto"/>
                <w:w w:val="96"/>
              </w:rPr>
              <w:t>Direct (D)</w:t>
            </w:r>
          </w:p>
        </w:tc>
        <w:tc>
          <w:tcPr>
            <w:tcW w:w="180" w:type="dxa"/>
            <w:vAlign w:val="bottom"/>
          </w:tcPr>
          <w:p>
            <w:pPr>
              <w:spacing w:after="0"/>
              <w:rPr>
                <w:sz w:val="10"/>
                <w:szCs w:val="10"/>
                <w:color w:val="auto"/>
              </w:rPr>
            </w:pPr>
          </w:p>
        </w:tc>
        <w:tc>
          <w:tcPr>
            <w:tcW w:w="620" w:type="dxa"/>
            <w:vAlign w:val="bottom"/>
            <w:tcBorders>
              <w:right w:val="single" w:sz="8" w:color="2C2C2C"/>
            </w:tcBorders>
            <w:gridSpan w:val="3"/>
          </w:tcPr>
          <w:p>
            <w:pPr>
              <w:spacing w:after="0" w:line="118"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4"/>
          </w:tcPr>
          <w:p>
            <w:pPr>
              <w:ind w:left="80"/>
              <w:spacing w:after="0" w:line="118" w:lineRule="exact"/>
              <w:rPr>
                <w:sz w:val="20"/>
                <w:szCs w:val="20"/>
                <w:color w:val="auto"/>
              </w:rPr>
            </w:pPr>
            <w:r>
              <w:rPr>
                <w:rFonts w:ascii="Arial" w:cs="Arial" w:eastAsia="Arial" w:hAnsi="Arial"/>
                <w:sz w:val="11"/>
                <w:szCs w:val="11"/>
                <w:b w:val="1"/>
                <w:bCs w:val="1"/>
                <w:color w:val="auto"/>
              </w:rPr>
              <w:t>Disposed of (D)</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ind w:left="20"/>
              <w:spacing w:after="0" w:line="118" w:lineRule="exact"/>
              <w:rPr>
                <w:sz w:val="20"/>
                <w:szCs w:val="20"/>
                <w:color w:val="auto"/>
              </w:rPr>
            </w:pPr>
            <w:r>
              <w:rPr>
                <w:rFonts w:ascii="Arial" w:cs="Arial" w:eastAsia="Arial" w:hAnsi="Arial"/>
                <w:sz w:val="11"/>
                <w:szCs w:val="11"/>
                <w:b w:val="1"/>
                <w:bCs w:val="1"/>
                <w:color w:val="auto"/>
                <w:w w:val="98"/>
              </w:rPr>
              <w:t>Owned</w:t>
            </w:r>
          </w:p>
        </w:tc>
        <w:tc>
          <w:tcPr>
            <w:tcW w:w="440" w:type="dxa"/>
            <w:vAlign w:val="bottom"/>
          </w:tcPr>
          <w:p>
            <w:pPr>
              <w:spacing w:after="0"/>
              <w:rPr>
                <w:sz w:val="10"/>
                <w:szCs w:val="10"/>
                <w:color w:val="auto"/>
              </w:rPr>
            </w:pPr>
          </w:p>
        </w:tc>
        <w:tc>
          <w:tcPr>
            <w:tcW w:w="70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or Indirect</w:t>
            </w:r>
          </w:p>
        </w:tc>
        <w:tc>
          <w:tcPr>
            <w:tcW w:w="620" w:type="dxa"/>
            <w:vAlign w:val="bottom"/>
            <w:tcBorders>
              <w:right w:val="single" w:sz="8" w:color="2C2C2C"/>
            </w:tcBorders>
            <w:gridSpan w:val="3"/>
          </w:tcPr>
          <w:p>
            <w:pPr>
              <w:spacing w:after="0" w:line="118"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4"/>
          </w:tcPr>
          <w:p>
            <w:pPr>
              <w:ind w:left="80"/>
              <w:spacing w:after="0" w:line="118" w:lineRule="exact"/>
              <w:rPr>
                <w:sz w:val="20"/>
                <w:szCs w:val="20"/>
                <w:color w:val="auto"/>
              </w:rPr>
            </w:pPr>
            <w:r>
              <w:rPr>
                <w:rFonts w:ascii="Arial" w:cs="Arial" w:eastAsia="Arial" w:hAnsi="Arial"/>
                <w:sz w:val="11"/>
                <w:szCs w:val="11"/>
                <w:b w:val="1"/>
                <w:bCs w:val="1"/>
                <w:color w:val="auto"/>
              </w:rPr>
              <w:t>(Instr. 3, 4 and 5)</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(I) (Instr. 4)</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gridSpan w:val="2"/>
            <w:vMerge w:val="restart"/>
          </w:tcPr>
          <w:p>
            <w:pPr>
              <w:ind w:left="20"/>
              <w:spacing w:after="0" w:line="118"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gridSpan w:val="3"/>
          </w:tcPr>
          <w:p>
            <w:pPr>
              <w:ind w:left="20"/>
              <w:spacing w:after="0" w:line="118"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ind w:left="20"/>
              <w:spacing w:after="0" w:line="118"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80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20" w:type="dxa"/>
            <w:vAlign w:val="bottom"/>
            <w:gridSpan w:val="3"/>
          </w:tcPr>
          <w:p>
            <w:pPr>
              <w:ind w:left="20"/>
              <w:spacing w:after="0" w:line="118"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12"/>
                <w:szCs w:val="12"/>
                <w:color w:val="auto"/>
              </w:rPr>
            </w:pP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Secured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05/22/2025</w:t>
            </w:r>
            <w:r>
              <w:rPr>
                <w:rFonts w:ascii="Times New Roman" w:cs="Times New Roman" w:eastAsia="Times New Roman" w:hAnsi="Times New Roman"/>
                <w:sz w:val="19"/>
                <w:szCs w:val="19"/>
                <w:color w:val="008000"/>
                <w:vertAlign w:val="superscript"/>
              </w:rPr>
              <w:t>(1)</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11/22/2026</w:t>
            </w:r>
            <w:r>
              <w:rPr>
                <w:rFonts w:ascii="Times New Roman" w:cs="Times New Roman" w:eastAsia="Times New Roman" w:hAnsi="Times New Roman"/>
                <w:sz w:val="19"/>
                <w:szCs w:val="19"/>
                <w:color w:val="008000"/>
                <w:vertAlign w:val="superscript"/>
              </w:rPr>
              <w:t>(1)</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0000FF"/>
              </w:rPr>
              <w:t>1,147,471</w:t>
            </w:r>
            <w:r>
              <w:rPr>
                <w:rFonts w:ascii="Times New Roman" w:cs="Times New Roman" w:eastAsia="Times New Roman" w:hAnsi="Times New Roman"/>
                <w:sz w:val="19"/>
                <w:szCs w:val="19"/>
                <w:color w:val="008000"/>
                <w:vertAlign w:val="superscript"/>
              </w:rPr>
              <w:t>(1)</w:t>
            </w:r>
          </w:p>
        </w:tc>
        <w:tc>
          <w:tcPr>
            <w:tcW w:w="86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27,000,000</w:t>
            </w:r>
            <w:r>
              <w:rPr>
                <w:rFonts w:ascii="Times New Roman" w:cs="Times New Roman" w:eastAsia="Times New Roman" w:hAnsi="Times New Roman"/>
                <w:sz w:val="19"/>
                <w:szCs w:val="19"/>
                <w:color w:val="008000"/>
                <w:vertAlign w:val="superscript"/>
              </w:rPr>
              <w:t>(1)</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(2)</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2"/>
                <w:szCs w:val="12"/>
                <w:color w:val="0000FF"/>
              </w:rPr>
              <w:t>Convertible</w:t>
            </w:r>
          </w:p>
        </w:tc>
        <w:tc>
          <w:tcPr>
            <w:tcW w:w="64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23.53</w:t>
            </w:r>
          </w:p>
        </w:tc>
        <w:tc>
          <w:tcPr>
            <w:tcW w:w="960" w:type="dxa"/>
            <w:vAlign w:val="bottom"/>
          </w:tcPr>
          <w:p>
            <w:pPr>
              <w:ind w:left="300"/>
              <w:spacing w:after="0" w:line="129" w:lineRule="exact"/>
              <w:rPr>
                <w:sz w:val="20"/>
                <w:szCs w:val="20"/>
                <w:color w:val="auto"/>
              </w:rPr>
            </w:pPr>
            <w:r>
              <w:rPr>
                <w:rFonts w:ascii="Times New Roman" w:cs="Times New Roman" w:eastAsia="Times New Roman" w:hAnsi="Times New Roman"/>
                <w:sz w:val="12"/>
                <w:szCs w:val="12"/>
                <w:color w:val="0000FF"/>
              </w:rPr>
              <w:t>05/22/2025</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720" w:type="dxa"/>
            <w:vAlign w:val="bottom"/>
            <w:gridSpan w:val="3"/>
          </w:tcPr>
          <w:p>
            <w:pPr>
              <w:ind w:left="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27,000,000</w:t>
            </w:r>
          </w:p>
        </w:tc>
        <w:tc>
          <w:tcPr>
            <w:tcW w:w="3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27,000,000</w:t>
            </w: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Note</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ind w:left="120"/>
              <w:spacing w:after="0" w:line="118" w:lineRule="exact"/>
              <w:rPr>
                <w:sz w:val="20"/>
                <w:szCs w:val="20"/>
                <w:color w:val="auto"/>
              </w:rPr>
            </w:pPr>
            <w:r>
              <w:rPr>
                <w:rFonts w:ascii="Times New Roman" w:cs="Times New Roman" w:eastAsia="Times New Roman" w:hAnsi="Times New Roman"/>
                <w:sz w:val="12"/>
                <w:szCs w:val="12"/>
                <w:color w:val="0000FF"/>
              </w:rPr>
              <w:t>Stock</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8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8"/>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380" w:type="dxa"/>
            <w:vAlign w:val="bottom"/>
            <w:gridSpan w:val="7"/>
          </w:tcPr>
          <w:p>
            <w:pPr>
              <w:ind w:left="60"/>
              <w:spacing w:after="0" w:line="208"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3"/>
          </w:tcPr>
          <w:p>
            <w:pPr>
              <w:spacing w:after="0" w:line="20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RSLGH, LLC</w:t>
              </w:r>
            </w:hyperlink>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480" w:type="dxa"/>
            <w:vAlign w:val="bottom"/>
            <w:tcBorders>
              <w:top w:val="single" w:sz="8" w:color="0000EE"/>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ind w:left="180"/>
              <w:spacing w:after="0"/>
              <w:rPr>
                <w:sz w:val="20"/>
                <w:szCs w:val="20"/>
                <w:color w:val="auto"/>
              </w:rPr>
            </w:pPr>
            <w:r>
              <w:rPr>
                <w:rFonts w:ascii="Arial" w:cs="Arial" w:eastAsia="Arial" w:hAnsi="Arial"/>
                <w:sz w:val="12"/>
                <w:szCs w:val="12"/>
                <w:color w:val="auto"/>
              </w:rPr>
              <w:t>(First)</w:t>
            </w:r>
          </w:p>
        </w:tc>
        <w:tc>
          <w:tcPr>
            <w:tcW w:w="1000" w:type="dxa"/>
            <w:vAlign w:val="bottom"/>
          </w:tcPr>
          <w:p>
            <w:pPr>
              <w:ind w:left="54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325 WEST HURON STREET,</w:t>
            </w: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SUITE 700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00" w:type="dxa"/>
            <w:vAlign w:val="bottom"/>
            <w:gridSpan w:val="2"/>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6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CHICAGO</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rPr>
              <w:t>IL</w:t>
            </w:r>
          </w:p>
        </w:tc>
        <w:tc>
          <w:tcPr>
            <w:tcW w:w="1000" w:type="dxa"/>
            <w:vAlign w:val="bottom"/>
          </w:tcPr>
          <w:p>
            <w:pPr>
              <w:ind w:left="540"/>
              <w:spacing w:after="0"/>
              <w:rPr>
                <w:sz w:val="20"/>
                <w:szCs w:val="20"/>
                <w:color w:val="auto"/>
              </w:rPr>
            </w:pPr>
            <w:r>
              <w:rPr>
                <w:rFonts w:ascii="Times New Roman" w:cs="Times New Roman" w:eastAsia="Times New Roman" w:hAnsi="Times New Roman"/>
                <w:sz w:val="15"/>
                <w:szCs w:val="15"/>
                <w:color w:val="0000FF"/>
              </w:rPr>
              <w:t>60654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ind w:left="180"/>
              <w:spacing w:after="0"/>
              <w:rPr>
                <w:sz w:val="20"/>
                <w:szCs w:val="20"/>
                <w:color w:val="auto"/>
              </w:rPr>
            </w:pPr>
            <w:r>
              <w:rPr>
                <w:rFonts w:ascii="Arial" w:cs="Arial" w:eastAsia="Arial" w:hAnsi="Arial"/>
                <w:sz w:val="12"/>
                <w:szCs w:val="12"/>
                <w:color w:val="auto"/>
              </w:rPr>
              <w:t>(State)</w:t>
            </w:r>
          </w:p>
        </w:tc>
        <w:tc>
          <w:tcPr>
            <w:tcW w:w="1000" w:type="dxa"/>
            <w:vAlign w:val="bottom"/>
          </w:tcPr>
          <w:p>
            <w:pPr>
              <w:ind w:left="54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1"/>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80" w:type="dxa"/>
            <w:vAlign w:val="bottom"/>
            <w:gridSpan w:val="7"/>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5"/>
          </w:tcPr>
          <w:p>
            <w:pPr>
              <w:spacing w:after="0" w:line="200"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Green Thumb Industries Inc.</w:t>
              </w:r>
            </w:hyperlink>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480" w:type="dxa"/>
            <w:vAlign w:val="bottom"/>
            <w:tcBorders>
              <w:top w:val="single" w:sz="8" w:color="0000EE"/>
              <w:bottom w:val="single" w:sz="8" w:color="9A9A9A"/>
            </w:tcBorders>
          </w:tcPr>
          <w:p>
            <w:pPr>
              <w:spacing w:after="0"/>
              <w:rPr>
                <w:sz w:val="12"/>
                <w:szCs w:val="12"/>
                <w:color w:val="auto"/>
              </w:rPr>
            </w:pPr>
          </w:p>
        </w:tc>
        <w:tc>
          <w:tcPr>
            <w:tcW w:w="160" w:type="dxa"/>
            <w:vAlign w:val="bottom"/>
            <w:tcBorders>
              <w:top w:val="single" w:sz="8" w:color="0000EE"/>
              <w:bottom w:val="single" w:sz="8" w:color="9A9A9A"/>
            </w:tcBorders>
          </w:tcPr>
          <w:p>
            <w:pPr>
              <w:spacing w:after="0"/>
              <w:rPr>
                <w:sz w:val="12"/>
                <w:szCs w:val="12"/>
                <w:color w:val="auto"/>
              </w:rPr>
            </w:pPr>
          </w:p>
        </w:tc>
        <w:tc>
          <w:tcPr>
            <w:tcW w:w="960" w:type="dxa"/>
            <w:vAlign w:val="bottom"/>
            <w:tcBorders>
              <w:top w:val="single" w:sz="8" w:color="0000EE"/>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ind w:left="180"/>
              <w:spacing w:after="0"/>
              <w:rPr>
                <w:sz w:val="20"/>
                <w:szCs w:val="20"/>
                <w:color w:val="auto"/>
              </w:rPr>
            </w:pPr>
            <w:r>
              <w:rPr>
                <w:rFonts w:ascii="Arial" w:cs="Arial" w:eastAsia="Arial" w:hAnsi="Arial"/>
                <w:sz w:val="12"/>
                <w:szCs w:val="12"/>
                <w:color w:val="auto"/>
              </w:rPr>
              <w:t>(First)</w:t>
            </w:r>
          </w:p>
        </w:tc>
        <w:tc>
          <w:tcPr>
            <w:tcW w:w="1000" w:type="dxa"/>
            <w:vAlign w:val="bottom"/>
          </w:tcPr>
          <w:p>
            <w:pPr>
              <w:ind w:left="54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5"/>
                <w:szCs w:val="15"/>
                <w:color w:val="0000FF"/>
              </w:rPr>
              <w:t>325 WEST HURON STREET</w:t>
            </w: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SUITE 700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00" w:type="dxa"/>
            <w:vAlign w:val="bottom"/>
            <w:gridSpan w:val="2"/>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6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CHICAGO</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0000FF"/>
              </w:rPr>
              <w:t>IL</w:t>
            </w:r>
          </w:p>
        </w:tc>
        <w:tc>
          <w:tcPr>
            <w:tcW w:w="1000" w:type="dxa"/>
            <w:vAlign w:val="bottom"/>
          </w:tcPr>
          <w:p>
            <w:pPr>
              <w:ind w:left="540"/>
              <w:spacing w:after="0"/>
              <w:rPr>
                <w:sz w:val="20"/>
                <w:szCs w:val="20"/>
                <w:color w:val="auto"/>
              </w:rPr>
            </w:pPr>
            <w:r>
              <w:rPr>
                <w:rFonts w:ascii="Times New Roman" w:cs="Times New Roman" w:eastAsia="Times New Roman" w:hAnsi="Times New Roman"/>
                <w:sz w:val="15"/>
                <w:szCs w:val="15"/>
                <w:color w:val="0000FF"/>
              </w:rPr>
              <w:t>60654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ind w:left="180"/>
              <w:spacing w:after="0"/>
              <w:rPr>
                <w:sz w:val="20"/>
                <w:szCs w:val="20"/>
                <w:color w:val="auto"/>
              </w:rPr>
            </w:pPr>
            <w:r>
              <w:rPr>
                <w:rFonts w:ascii="Arial" w:cs="Arial" w:eastAsia="Arial" w:hAnsi="Arial"/>
                <w:sz w:val="12"/>
                <w:szCs w:val="12"/>
                <w:color w:val="auto"/>
              </w:rPr>
              <w:t>(State)</w:t>
            </w:r>
          </w:p>
        </w:tc>
        <w:tc>
          <w:tcPr>
            <w:tcW w:w="1000" w:type="dxa"/>
            <w:vAlign w:val="bottom"/>
          </w:tcPr>
          <w:p>
            <w:pPr>
              <w:ind w:left="54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-4572000</wp:posOffset>
            </wp:positionV>
            <wp:extent cx="27940" cy="146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 cy="1467485"/>
                    </a:xfrm>
                    <a:prstGeom prst="rect">
                      <a:avLst/>
                    </a:prstGeom>
                    <a:noFill/>
                  </pic:spPr>
                </pic:pic>
              </a:graphicData>
            </a:graphic>
          </wp:anchor>
        </w:drawing>
      </w:r>
    </w:p>
    <w:p>
      <w:pPr>
        <w:spacing w:after="0" w:line="9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0" w:lineRule="exact"/>
        <w:rPr>
          <w:sz w:val="20"/>
          <w:szCs w:val="20"/>
          <w:color w:val="auto"/>
        </w:rPr>
      </w:pPr>
    </w:p>
    <w:p>
      <w:pPr>
        <w:ind w:left="20" w:right="320" w:firstLine="9"/>
        <w:spacing w:after="0" w:line="235" w:lineRule="auto"/>
        <w:tabs>
          <w:tab w:leader="none" w:pos="13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5/22/2025, the Issuer issued a Secured Convertible Note (the "Note") to RSLGH, LLC (the "Investor") with an original principal amount of $27.0 million. The Note bears interest at 10% per annum, payable in pre-funded warrants with an exercise price of $0.001 per share (the "Pre-Funded Warrants") with a value per Pre-Funded Warrant of $23.53. The Note is secured by the Issuer's assets and rank senior to all other indebtedness except that they rank on parity with the Secured Convertible Note issued to the Investor on November 5, 2024. The Note may be converted into Common Stock at a conversion price of $23.53 per share or, at the election of the holder, into Pre-Funded Warrants at a conversion price of $23.53 per share, subject to certain customary conditions. The Note includes a beneficial ownership limitation of 49.99% with respect to the Investor.</w:t>
      </w:r>
    </w:p>
    <w:p>
      <w:pPr>
        <w:spacing w:after="0" w:line="24" w:lineRule="exact"/>
        <w:rPr>
          <w:rFonts w:ascii="Times New Roman" w:cs="Times New Roman" w:eastAsia="Times New Roman" w:hAnsi="Times New Roman"/>
          <w:sz w:val="12"/>
          <w:szCs w:val="12"/>
          <w:color w:val="008000"/>
        </w:rPr>
      </w:pPr>
    </w:p>
    <w:p>
      <w:pPr>
        <w:ind w:left="20" w:right="260" w:firstLine="9"/>
        <w:spacing w:after="0" w:line="251" w:lineRule="auto"/>
        <w:tabs>
          <w:tab w:leader="none" w:pos="13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Investor is the direct beneficial owner of the Note. The Investor is an indirectly wholly-owned subsidiary of Green Thumb Industries Inc. ("Green Thumb"). Green Thumb is the sole shareholder of GTI23, Inc., which is the sole member of VCP23, LLC, which is the sole shareholder of For Success Holdings Company. For Success Holdings Company is the sole member of Wellness Mgmt, LLC, which is the sole member of Investor.</w:t>
      </w:r>
    </w:p>
    <w:p>
      <w:pPr>
        <w:spacing w:after="0" w:line="4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-4445</wp:posOffset>
            </wp:positionV>
            <wp:extent cx="10356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35685" cy="7620"/>
                    </a:xfrm>
                    <a:prstGeom prst="rect">
                      <a:avLst/>
                    </a:prstGeom>
                    <a:noFill/>
                  </pic:spPr>
                </pic:pic>
              </a:graphicData>
            </a:graphic>
          </wp:anchor>
        </w:drawing>
      </w:r>
    </w:p>
    <w:p>
      <w:pPr>
        <w:spacing w:after="0" w:line="6"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5"/>
          <w:szCs w:val="15"/>
          <w:color w:val="0000FF"/>
        </w:rPr>
        <w:t>Secretary, on behalf of RSLGH,</w:t>
      </w:r>
      <w:r>
        <w:rPr>
          <w:sz w:val="20"/>
          <w:szCs w:val="20"/>
          <w:color w:val="auto"/>
        </w:rPr>
        <w:tab/>
      </w:r>
      <w:r>
        <w:rPr>
          <w:rFonts w:ascii="Times New Roman" w:cs="Times New Roman" w:eastAsia="Times New Roman" w:hAnsi="Times New Roman"/>
          <w:sz w:val="15"/>
          <w:szCs w:val="15"/>
          <w:color w:val="0000FF"/>
        </w:rPr>
        <w:t>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-10795</wp:posOffset>
            </wp:positionV>
            <wp:extent cx="18402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84023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-10795</wp:posOffset>
            </wp:positionV>
            <wp:extent cx="1835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83515" cy="7620"/>
                    </a:xfrm>
                    <a:prstGeom prst="rect">
                      <a:avLst/>
                    </a:prstGeom>
                    <a:noFill/>
                  </pic:spPr>
                </pic:pic>
              </a:graphicData>
            </a:graphic>
          </wp:anchor>
        </w:drawing>
      </w:r>
    </w:p>
    <w:p>
      <w:pPr>
        <w:spacing w:after="0" w:line="3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-4445</wp:posOffset>
            </wp:positionV>
            <wp:extent cx="10356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35685" cy="7620"/>
                    </a:xfrm>
                    <a:prstGeom prst="rect">
                      <a:avLst/>
                    </a:prstGeom>
                    <a:noFill/>
                  </pic:spPr>
                </pic:pic>
              </a:graphicData>
            </a:graphic>
          </wp:anchor>
        </w:drawing>
      </w:r>
    </w:p>
    <w:p>
      <w:pPr>
        <w:spacing w:after="0" w:line="6"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5"/>
          <w:szCs w:val="15"/>
          <w:color w:val="0000FF"/>
        </w:rPr>
        <w:t>Secretary, on behalf of Green</w:t>
      </w:r>
      <w:r>
        <w:rPr>
          <w:sz w:val="20"/>
          <w:szCs w:val="20"/>
          <w:color w:val="auto"/>
        </w:rPr>
        <w:tab/>
      </w:r>
      <w:r>
        <w:rPr>
          <w:rFonts w:ascii="Times New Roman" w:cs="Times New Roman" w:eastAsia="Times New Roman" w:hAnsi="Times New Roman"/>
          <w:sz w:val="15"/>
          <w:szCs w:val="15"/>
          <w:color w:val="0000FF"/>
        </w:rPr>
        <w:t>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-10795</wp:posOffset>
            </wp:positionV>
            <wp:extent cx="18402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84023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Thumb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-10795</wp:posOffset>
            </wp:positionV>
            <wp:extent cx="8604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860425" cy="7620"/>
                    </a:xfrm>
                    <a:prstGeom prst="rect">
                      <a:avLst/>
                    </a:prstGeom>
                    <a:noFill/>
                  </pic:spPr>
                </pic:pic>
              </a:graphicData>
            </a:graphic>
          </wp:anchor>
        </w:drawing>
      </w:r>
    </w:p>
    <w:p>
      <w:pPr>
        <w:spacing w:after="0" w:line="3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ectPr>
          <w:pgSz w:w="11900" w:h="16838" w:orient="portrait"/>
          <w:cols w:equalWidth="0" w:num="1">
            <w:col w:w="11080"/>
          </w:cols>
          <w:pgMar w:left="460" w:top="211" w:right="359" w:bottom="0" w:gutter="0" w:footer="0" w:header="0"/>
          <w:type w:val="continuous"/>
        </w:sectPr>
      </w:pPr>
    </w:p>
    <w:bookmarkStart w:id="1" w:name="page2"/>
    <w:bookmarkEnd w:id="1"/>
    <w:p>
      <w:pPr>
        <w:jc w:val="both"/>
        <w:ind w:right="3179" w:firstLine="9"/>
        <w:spacing w:after="0" w:line="334" w:lineRule="auto"/>
        <w:tabs>
          <w:tab w:leader="none" w:pos="12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79"/>
      </w:cols>
      <w:pgMar w:left="48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2043397" TargetMode="External"/><Relationship Id="rId14" Type="http://schemas.openxmlformats.org/officeDocument/2006/relationships/hyperlink" Target="http://www.sec.gov/cgi-bin/browse-edgar?action=getcompany&amp;CIK=0001800637" TargetMode="External"/><Relationship Id="rId15"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2025-05-22T21:01:40Z</dcterms:created>
  <dcterms:modified xsi:type="dcterms:W3CDTF">2025-05-22T21:01:40Z</dcterms:modified>
</cp:coreProperties>
</file>