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333-265710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June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142875</wp:posOffset>
            </wp:positionV>
            <wp:extent cx="105410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$50,000,000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an equity distribution agreement, dated October 18, 2022 (the “Equity Distribution Agreement”) with Canaccord Genuity LLC (“Canaccord”) relating to our shares of common stock, par value $0.001 per share, that may be offered pursuant to this prospectus supplement and the accompanying prospectus. In accordance with the terms of the Equity Distribution Agreement, we may offer and sell shares of common stock having an aggregate offering price of up to $50,000,000 from time to time through Canaccord Genuity LLC, acting as our sales agent.</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“AGFY.” On October 17, 2022, the closing price for our common stock, as reported on The Nasdaq Capital Market, was $10.70 per share, as adjusted for the one-for-ten reverse stock split that we implemented on October 18, 2022.</w:t>
      </w:r>
    </w:p>
    <w:p>
      <w:pPr>
        <w:spacing w:after="0" w:line="162"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accompanying base prospectus may be made by any method that is deemed to be an “at the market offering” as defined in Rule 415(a)(4) under the Securities Act of 1933, as amended (the “Securities Act”), including sales made directly on or through Nasdaq or any other existing trading market for our common stock. Subject to terms of the Equity Distribution Agreement, Canaccord is not required to sell any specific number or dollar amount of shares of common stock but will act as our sales agent, using commercially reasonable efforts to sell on our behalf all of the shares requested to be sold by us consistent with its normal trading and sales practices, on terms mutually agreed between Canaccord and us. There is no arrangement for funds to be received in any escrow, trust or similar arrangement.</w:t>
      </w:r>
    </w:p>
    <w:p>
      <w:pPr>
        <w:spacing w:after="0" w:line="18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Canaccord will be entitled to compensation under the terms of the Equity Distribution Agreement at a fixed commission rate not to exceed 3.0% of the gross proceeds from each issuance and sale of shares of common stock. In connection with the sale of our common stock on our behalf, Canaccord will be deemed to be an “underwriter” within the meaning of the Securities Act, and the compensation of Canaccord will be deemed to be underwriting commissions or discounts. We have also agreed to provide indemnification and contribution to Canaccord against certain civil liabilities, including liabilities under the Securities Act.</w:t>
      </w:r>
    </w:p>
    <w:p>
      <w:pPr>
        <w:spacing w:after="0" w:line="18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those terms are defined under the federal securities laws and, as such, have elected to comply with certain reduced public company reporting requirements.</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contained herein or incorporated by reference in this prospectus supplement and the accompanying prospectus. We have not authorized any other person to provide you with different information.</w:t>
      </w:r>
    </w:p>
    <w:p>
      <w:pPr>
        <w:spacing w:after="0" w:line="158"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See “Risk Factors” beginning on page S-5 of this prospectus supplement and on page 8 of the accompanying prospectus, as well as the information under the caption “Risk Factors” in our filings incorporated by reference into this prospectus supplement and the accompanying prospectus, for a discussion of the factors you should carefully consider before investing in our common stock.</w:t>
      </w:r>
    </w:p>
    <w:p>
      <w:pPr>
        <w:spacing w:after="0" w:line="176"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Canaccord Genuity</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prospectus supplement is dated October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20" w:type="dxa"/>
            <w:vAlign w:val="bottom"/>
            <w:gridSpan w:val="3"/>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20" w:type="dxa"/>
            <w:vAlign w:val="bottom"/>
            <w:gridSpan w:val="3"/>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0" w:type="dxa"/>
            <w:vAlign w:val="bottom"/>
          </w:tcPr>
          <w:p>
            <w:pPr>
              <w:spacing w:after="0"/>
              <w:rPr>
                <w:sz w:val="24"/>
                <w:szCs w:val="24"/>
                <w:color w:val="auto"/>
              </w:rPr>
            </w:pPr>
          </w:p>
        </w:tc>
      </w:tr>
      <w:tr>
        <w:trPr>
          <w:trHeight w:val="453"/>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9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176"/>
        </w:trPr>
        <w:tc>
          <w:tcPr>
            <w:tcW w:w="34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6800" w:type="dxa"/>
            <w:vAlign w:val="bottom"/>
            <w:tcBorders>
              <w:top w:val="single" w:sz="8" w:color="CCEEFF"/>
            </w:tcBorders>
            <w:gridSpan w:val="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960" w:type="dxa"/>
            <w:vAlign w:val="bottom"/>
            <w:tcBorders>
              <w:top w:val="single" w:sz="8" w:color="CCEEFF"/>
            </w:tcBorders>
            <w:gridSpan w:val="9"/>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176"/>
        </w:trPr>
        <w:tc>
          <w:tcPr>
            <w:tcW w:w="53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490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176"/>
        </w:trPr>
        <w:tc>
          <w:tcPr>
            <w:tcW w:w="15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8660" w:type="dxa"/>
            <w:vAlign w:val="bottom"/>
            <w:tcBorders>
              <w:top w:val="single" w:sz="8" w:color="CCEEFF"/>
            </w:tcBorders>
            <w:gridSpan w:val="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18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175"/>
        </w:trPr>
        <w:tc>
          <w:tcPr>
            <w:tcW w:w="1024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46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176"/>
        </w:trPr>
        <w:tc>
          <w:tcPr>
            <w:tcW w:w="1024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432"/>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5060" w:type="dxa"/>
            <w:vAlign w:val="bottom"/>
            <w:tcBorders>
              <w:top w:val="single" w:sz="8" w:color="CCEEFF"/>
            </w:tcBorders>
            <w:gridSpan w:val="2"/>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0" w:type="dxa"/>
            <w:vAlign w:val="bottom"/>
            <w:tcBorders>
              <w:top w:val="single" w:sz="8" w:color="CCEEFF"/>
            </w:tcBorders>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4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00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1024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024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RATIO OF FIXED CHARGES AND PREFERENCE DIVIDENDS TO EARNINGS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61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410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SECURITIES WE MAY OFFER</w:t>
            </w:r>
          </w:p>
        </w:tc>
        <w:tc>
          <w:tcPr>
            <w:tcW w:w="784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1024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46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6"/>
        </w:trPr>
        <w:tc>
          <w:tcPr>
            <w:tcW w:w="1024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supplement and accompanying prospectus and in any applicable prospectus supplement. Neither we nor Canaccord has authorized anyone to provide you with different information, and neither we nor Canaccord take responsibility for any other information others may give you. Neither we nor Canaccord is making an offer to sell these securities in any jurisdiction where the offer or sale is not permitted. The information in this prospectus supplement and the accompanying prospectus and the documents incorporated by reference herein is current only as of its date, regardless of its time of delivery or the time of sale of any of our securities. Our business, financial condition, results of operations and prospects may have changed since such dates.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this prospectus supplement, we have not taken any action to permit a public offering of these securities outside the United States or to permit the possession or distribution of this prospectus supplement outside the United States. Persons outside the United States who come into possession of this prospectus supplement must inform themselves about and observe any restrictions relating to the offering of these securities and the distribution of this prospectus supplement outside the United States.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The second part, the accompanying prospectus, gives more general information, some of which may not apply to this offering. We urge you to read carefully this prospectus supplement and the accompanying prospectus, together with the information incorporated therein and herein by reference as described under the heading “Incorporation of Certain Information by Reference,” before buying any of the securities being offered.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 You should rely only on the information contained in, or incorporated by reference into, this prospectus supplement, the accompanying prospectus and any free writing prospectus prepared by or on our behalf that we have authorized for use in connection with this offering. We have not, and Canaccord has not, authorized any dealer, salesperson or other person to provide any information or to make any representation other than those contained or incorporated by reference into this prospectus supplement or into any free writing prospectus prepared by or on our behalf or to which we have referred you. If anyone provides you with additional, different or inconsistent information, you should not rely on it. We and Canaccord take no responsibility for, and can provide no assurance as to the reliability of, any other information that others may give you.</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assume that the information appearing or incorporated by reference into this prospectus supplement and in any free writing prospectus prepared by or on our behalf that we have authorized for use in connection with this offering, is accurate only as of the date of each such respective document. Our business, financial condition, results of operations and prospects may have changed since those dates. You should read this prospectus supplement, including the documents incorporated by reference, and any free writing prospectus prepared by or on our behalf that we have authorized for use in connection with this offering, in their entirety before making an investment decision. You should also read and consider the information in the documents we have referred you to in the sections of this prospectus supplement entitled “Where You Can Find More Information.”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incorporated by reference as exhibits to the Registration Statement of which this prospectus supplement forms a part, and you may obtain copies of those documents as described below under the section entitled “Where You Can Find More Information.”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supplement to “Agrify,” the “Company,” “we,” “us” and “our” refer to Agrify Corporation and its subsidiaries. Agrify, our logo and our other registered or common law trademarks, trade names or service marks appearing in this prospectus supplement are owned by us. Solely for convenience, trademarks and trade names referred to in this prospectus supplement,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supplement, we do not intend our use or display of other companies’ trade names or trademarks to imply a relationship with, or endorsement or sponsorship of us by, any other companies.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067550" cy="7436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67550" cy="7436485"/>
                    </a:xfrm>
                    <a:prstGeom prst="rect">
                      <a:avLst/>
                    </a:prstGeom>
                    <a:noFill/>
                  </pic:spPr>
                </pic:pic>
              </a:graphicData>
            </a:graphic>
          </wp:anchor>
        </w:drawing>
        <w:t>PROSPECTUS SUPPLEMENT SUMMARY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highlight w:val="white"/>
        </w:rPr>
        <w:t>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common stock. Therefore, you should read the entire prospectus supplement and the accompanying prospectus carefully (including the documents incorporated by reference herein and therein), especially the “Risk Factors” section beginning on page S-5 and in the documents incorporated by reference and our consolidated financial statements and the related notes incorporated by reference in this prospectus supplement and the accompanying prospectus, before deciding to invest in our common stock. You should also carefully read the information incorporated by reference into this prospectus supplement, including our financial statements, and the exhibits to the registration statement of which this prospectus supplement is a part. See “Special Note Regarding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rapidly growing developer of proprietary hardware and software cultivation and extraction solutions for the cannabis and hemp industry. We believe we are passionately transforming cannabis cultivation and extraction methods through innovation. Our mission is to become the world’s most vertically integrated solution provider for the cannabis and hemp industry globally, while driving superior quality, consistency, and Return on Investment (“ROI”) for our valued customers. We currently have three primary areas of business focus:</w:t>
      </w:r>
    </w:p>
    <w:p>
      <w:pPr>
        <w:spacing w:after="0" w:line="180" w:lineRule="exact"/>
        <w:rPr>
          <w:sz w:val="20"/>
          <w:szCs w:val="20"/>
          <w:color w:val="auto"/>
        </w:rPr>
      </w:pPr>
    </w:p>
    <w:p>
      <w:pPr>
        <w:ind w:left="640" w:hanging="325"/>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Cultivation Solutions</w:t>
      </w:r>
    </w:p>
    <w:p>
      <w:pPr>
        <w:spacing w:after="0" w:line="225" w:lineRule="exact"/>
        <w:rPr>
          <w:rFonts w:ascii="Times New Roman" w:cs="Times New Roman" w:eastAsia="Times New Roman" w:hAnsi="Times New Roman"/>
          <w:sz w:val="18"/>
          <w:szCs w:val="18"/>
          <w:color w:val="auto"/>
        </w:rPr>
      </w:pPr>
    </w:p>
    <w:p>
      <w:pPr>
        <w:ind w:left="640" w:hanging="325"/>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Extraction Solutions</w:t>
      </w:r>
    </w:p>
    <w:p>
      <w:pPr>
        <w:spacing w:after="0" w:line="225" w:lineRule="exact"/>
        <w:rPr>
          <w:rFonts w:ascii="Times New Roman" w:cs="Times New Roman" w:eastAsia="Times New Roman" w:hAnsi="Times New Roman"/>
          <w:sz w:val="18"/>
          <w:szCs w:val="18"/>
          <w:color w:val="auto"/>
        </w:rPr>
      </w:pPr>
    </w:p>
    <w:p>
      <w:pPr>
        <w:ind w:left="640" w:hanging="325"/>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Design &amp; Building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 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do not cultivate, come in contact with, distribute, process, or dispense cannabis or hemp or any cannabis or hemp derivatives that are currently prohibited under United States federal law, our equipment and business solutions can be used within indoor grow and processing facilities by fully licensed cannabis and hemp cultivators and processors or in some cases, by individual processors for individual use in compliance with applicable law. We sell our proprietary cultivation solutions to independent licensed cultivators. The two primary products we sell are the Agrify Vertical Farming Unit and Agrify Insights SaaS (“Software-as-a-Service”) software.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Vertical Farming Unit (“VFU”)</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proprietary VFU technology is the only product in the market that offers a modular, compartmentalized micro-climate growing system for indoor vertical farming. Our VFU system is designed for large-state and multi-state operators who are looking to consistently produce higher-quality crops at scale. The ideal facility size that we target in our sales process ranges from 20,000 square feet to 50,000 square feet. The VFU is an integrated hardware and software growing system. These units are designed to line up horizontally in rows, and they can be stacked vertically up to 3 units tall, taking advantage of unused indoor vertical space.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Insights SaaS Software Solution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individual VFU sold includes a license for Agrify Insights SaaS Software (“Agrify Insights software”), and a monthly SaaS subscription fee is charged, per VFU. The VFU cannot operate successfully without the use of Agrify Insights software, and we typically charge between $2,400 to $3,600 per VFU sold, per year. On average Agrify Insights SaaS Software license agreement is for a multi-year term, with an annual auto renewal.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Agrify Insights software is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software platform coupled with our VFU system is enabling our customers to transform their businesses and quality of the product they are cultivating.</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00" w:top="360"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067550" cy="5516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67550" cy="5516245"/>
                    </a:xfrm>
                    <a:prstGeom prst="rect">
                      <a:avLst/>
                    </a:prstGeom>
                    <a:noFill/>
                  </pic:spPr>
                </pic:pic>
              </a:graphicData>
            </a:graphic>
          </wp:anchor>
        </w:drawing>
        <w:t>Extraction Solutions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do not extract, come in contact with, distribute, process, or dispense cannabis or hemp or any cannabis or hemp derivatives that are currently prohibited under United States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Cannabis represents a potential cornucopia of medicinal and pharmaceutical advancement. Cannabis produces over 550 different phytochemicals, over 120 of which are cannabinoids like tetrahydrocannabinol (“THC”) and cannabidiol (“CBD”).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October 2021, we have been strategically focused on establishing ourselves as a global leader in the cannabis and hemp extraction equipment industry, complementing our cutting-edge cannabis and hemp cultivation solutions. Over a 5-month period, we acquired four of the top brand names in the industry:</w:t>
      </w:r>
    </w:p>
    <w:p>
      <w:pPr>
        <w:spacing w:after="0" w:line="172" w:lineRule="exact"/>
        <w:rPr>
          <w:sz w:val="20"/>
          <w:szCs w:val="20"/>
          <w:color w:val="auto"/>
        </w:rPr>
      </w:pPr>
    </w:p>
    <w:p>
      <w:pPr>
        <w:ind w:left="640" w:right="20" w:hanging="325"/>
        <w:spacing w:after="0" w:line="28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Mass2Media, LLC, d/b/a PX2 Holdings, LLC, d/b/a Precision Extraction Solutions (“Precision”) - </w:t>
      </w:r>
      <w:r>
        <w:rPr>
          <w:rFonts w:ascii="Times New Roman" w:cs="Times New Roman" w:eastAsia="Times New Roman" w:hAnsi="Times New Roman"/>
          <w:sz w:val="18"/>
          <w:szCs w:val="18"/>
          <w:color w:val="auto"/>
        </w:rPr>
        <w:t>Market leader in developing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producing high-quality hydrocarbon extraction solutions was acquired by Agrify on October 1, 2021.</w:t>
      </w:r>
    </w:p>
    <w:p>
      <w:pPr>
        <w:spacing w:after="0" w:line="154" w:lineRule="exact"/>
        <w:rPr>
          <w:rFonts w:ascii="Times New Roman" w:cs="Times New Roman" w:eastAsia="Times New Roman" w:hAnsi="Times New Roman"/>
          <w:sz w:val="18"/>
          <w:szCs w:val="18"/>
          <w:color w:val="auto"/>
        </w:rPr>
      </w:pPr>
    </w:p>
    <w:p>
      <w:pPr>
        <w:ind w:left="640" w:right="20" w:hanging="325"/>
        <w:spacing w:after="0" w:line="28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Cascade Sciences, LLC (“Cascade”) - </w:t>
      </w:r>
      <w:r>
        <w:rPr>
          <w:rFonts w:ascii="Times New Roman" w:cs="Times New Roman" w:eastAsia="Times New Roman" w:hAnsi="Times New Roman"/>
          <w:sz w:val="18"/>
          <w:szCs w:val="18"/>
          <w:color w:val="auto"/>
        </w:rPr>
        <w:t>Market leader in developing and producing high-quality vacuum purge ovens and decarboxylation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ovens was acquired by Agrify on October 1, 2021.</w:t>
      </w:r>
    </w:p>
    <w:p>
      <w:pPr>
        <w:spacing w:after="0" w:line="154" w:lineRule="exact"/>
        <w:rPr>
          <w:rFonts w:ascii="Times New Roman" w:cs="Times New Roman" w:eastAsia="Times New Roman" w:hAnsi="Times New Roman"/>
          <w:sz w:val="18"/>
          <w:szCs w:val="18"/>
          <w:color w:val="auto"/>
        </w:rPr>
      </w:pPr>
    </w:p>
    <w:p>
      <w:pPr>
        <w:ind w:left="640" w:right="20" w:hanging="325"/>
        <w:spacing w:after="0" w:line="28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PurePressure, LLC (“PurePressure”) - </w:t>
      </w:r>
      <w:r>
        <w:rPr>
          <w:rFonts w:ascii="Times New Roman" w:cs="Times New Roman" w:eastAsia="Times New Roman" w:hAnsi="Times New Roman"/>
          <w:sz w:val="18"/>
          <w:szCs w:val="18"/>
          <w:color w:val="auto"/>
        </w:rPr>
        <w:t>Market leader in developing and producing high-quality solventless extraction solutions was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Agrify on December 31, 2021.</w:t>
      </w:r>
    </w:p>
    <w:p>
      <w:pPr>
        <w:spacing w:after="0" w:line="154" w:lineRule="exact"/>
        <w:rPr>
          <w:rFonts w:ascii="Times New Roman" w:cs="Times New Roman" w:eastAsia="Times New Roman" w:hAnsi="Times New Roman"/>
          <w:sz w:val="18"/>
          <w:szCs w:val="18"/>
          <w:color w:val="auto"/>
        </w:rPr>
      </w:pPr>
    </w:p>
    <w:p>
      <w:pPr>
        <w:ind w:left="640" w:right="20" w:hanging="325"/>
        <w:spacing w:after="0" w:line="28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LS Holdings Corp. (“Lab Society”) - </w:t>
      </w:r>
      <w:r>
        <w:rPr>
          <w:rFonts w:ascii="Times New Roman" w:cs="Times New Roman" w:eastAsia="Times New Roman" w:hAnsi="Times New Roman"/>
          <w:sz w:val="18"/>
          <w:szCs w:val="18"/>
          <w:color w:val="auto"/>
        </w:rPr>
        <w:t>Market leader in developing and producing high-quality distillation and solvent separation extraction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was acquired by Agrify on February 1, 2022.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Combined, the four acquisitions listed above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industry. The extraction, post-processing and testing services are complementary and highly attractive areas of the supply chain.</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Our extraction division now offers cutting-edge technologies and end-to-end service solutions. Solutions from the extraction division include equipment, technology, facility and lab design,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00" w:top="360" w:right="499" w:bottom="1440" w:gutter="0" w:footer="0" w:header="0"/>
        </w:sectPr>
      </w:pPr>
    </w:p>
    <w:bookmarkStart w:id="5" w:name="page6"/>
    <w:bookmarkEnd w:id="5"/>
    <w:p>
      <w:pPr>
        <w:ind w:left="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067550" cy="537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7550" cy="5379085"/>
                    </a:xfrm>
                    <a:prstGeom prst="rect">
                      <a:avLst/>
                    </a:prstGeom>
                    <a:noFill/>
                  </pic:spPr>
                </pic:pic>
              </a:graphicData>
            </a:graphic>
          </wp:anchor>
        </w:drawing>
        <w:t>Facility Design &amp; Building Services</w:t>
      </w:r>
    </w:p>
    <w:p>
      <w:pPr>
        <w:spacing w:after="0" w:line="229" w:lineRule="exact"/>
        <w:rPr>
          <w:sz w:val="20"/>
          <w:szCs w:val="20"/>
          <w:color w:val="auto"/>
        </w:rPr>
      </w:pPr>
    </w:p>
    <w:p>
      <w:pPr>
        <w:jc w:val="both"/>
        <w:ind w:left="9"/>
        <w:spacing w:after="0" w:line="266" w:lineRule="auto"/>
        <w:rPr>
          <w:sz w:val="20"/>
          <w:szCs w:val="20"/>
          <w:color w:val="auto"/>
        </w:rPr>
      </w:pPr>
      <w:r>
        <w:rPr>
          <w:rFonts w:ascii="Times New Roman" w:cs="Times New Roman" w:eastAsia="Times New Roman" w:hAnsi="Times New Roman"/>
          <w:sz w:val="18"/>
          <w:szCs w:val="18"/>
          <w:color w:val="auto"/>
        </w:rPr>
        <w:t>Agrify provides fully integrated architectural, engineering, and project management oversight of qualified General Contractors for its customers commercial cannabis facilities buildouts. Each custom commercial cannabis facility is specifically designed to maximize the production output of Agrify’s proprietary VFU’s and cannabis extraction product solutions.</w:t>
      </w:r>
    </w:p>
    <w:p>
      <w:pPr>
        <w:spacing w:after="0" w:line="17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9"/>
        <w:spacing w:after="0" w:line="254" w:lineRule="auto"/>
        <w:rPr>
          <w:sz w:val="20"/>
          <w:szCs w:val="20"/>
          <w:color w:val="auto"/>
        </w:rPr>
      </w:pPr>
      <w:r>
        <w:rPr>
          <w:rFonts w:ascii="Times New Roman" w:cs="Times New Roman" w:eastAsia="Times New Roman" w:hAnsi="Times New Roman"/>
          <w:sz w:val="18"/>
          <w:szCs w:val="18"/>
          <w:color w:val="auto"/>
        </w:rPr>
        <w:t xml:space="preserve">On October 4, 2022, we received a deficiency letter (the “Notice”) from the Listing Qualifications Department (the “Staff”) of The Nasdaq Stock Market, LLC (“Nasdaq”) notifying us that, for the last 30 consecutive business days, the bid price for our common stock had closed below $1.00 per </w:t>
      </w:r>
      <w:r>
        <w:rPr>
          <w:rFonts w:ascii="Times New Roman" w:cs="Times New Roman" w:eastAsia="Times New Roman" w:hAnsi="Times New Roman"/>
          <w:sz w:val="18"/>
          <w:szCs w:val="18"/>
          <w:color w:val="auto"/>
          <w:highlight w:val="white"/>
        </w:rPr>
        <w:t xml:space="preserve">share, which is the minimum closing price required to maintain continued listing on The Nasdaq Capital Market under Nasdaq Listing Rule 5550(a)(2) (the “Minimum Bid Requirement”). The Notice has no immediate effect on the listing of our common stock on Nasdaq. In accordance with Nasdaq </w:t>
      </w:r>
      <w:r>
        <w:rPr>
          <w:rFonts w:ascii="Times New Roman" w:cs="Times New Roman" w:eastAsia="Times New Roman" w:hAnsi="Times New Roman"/>
          <w:sz w:val="18"/>
          <w:szCs w:val="18"/>
          <w:color w:val="auto"/>
        </w:rPr>
        <w:t xml:space="preserve">Listing Rule 5810(c)(3)(A), we have 180 calendar days to regain compliance with the Minimum Bid Requirement. To regain compliance with the </w:t>
      </w:r>
      <w:r>
        <w:rPr>
          <w:rFonts w:ascii="Times New Roman" w:cs="Times New Roman" w:eastAsia="Times New Roman" w:hAnsi="Times New Roman"/>
          <w:sz w:val="18"/>
          <w:szCs w:val="18"/>
          <w:color w:val="auto"/>
          <w:highlight w:val="white"/>
        </w:rPr>
        <w:t>Minimum Bid Requirement, the closing bid price of our common stock must be at least $1.00 per share for a minimum of 10 consecutive trading days during this 180-day compliance period, unless the Staff exercises its discretion to extend the minimum trading day period pursuant to Nasdaq Listing Rule 5810(c)(3)(G). The compliance period will expire on April 3, 2023.</w:t>
      </w:r>
    </w:p>
    <w:p>
      <w:pPr>
        <w:spacing w:after="0" w:line="192" w:lineRule="exact"/>
        <w:rPr>
          <w:sz w:val="20"/>
          <w:szCs w:val="20"/>
          <w:color w:val="auto"/>
        </w:rPr>
      </w:pPr>
    </w:p>
    <w:p>
      <w:pPr>
        <w:jc w:val="both"/>
        <w:ind w:left="9"/>
        <w:spacing w:after="0" w:line="257" w:lineRule="auto"/>
        <w:rPr>
          <w:sz w:val="20"/>
          <w:szCs w:val="20"/>
          <w:color w:val="auto"/>
        </w:rPr>
      </w:pPr>
      <w:r>
        <w:rPr>
          <w:rFonts w:ascii="Times New Roman" w:cs="Times New Roman" w:eastAsia="Times New Roman" w:hAnsi="Times New Roman"/>
          <w:sz w:val="18"/>
          <w:szCs w:val="18"/>
          <w:color w:val="auto"/>
          <w:highlight w:val="white"/>
        </w:rPr>
        <w:t xml:space="preserve">On October 18, 2022, we </w:t>
      </w:r>
      <w:r>
        <w:rPr>
          <w:rFonts w:ascii="Times New Roman" w:cs="Times New Roman" w:eastAsia="Times New Roman" w:hAnsi="Times New Roman"/>
          <w:sz w:val="18"/>
          <w:szCs w:val="18"/>
          <w:color w:val="auto"/>
        </w:rPr>
        <w:t>filed with the Secretary of State of the State of Nevada a Certificate of Amendment to our Articles of Incorporation (the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“Certificate of Amendment”), which was approved by the Company’s stockholders at our Special Meeting of Stockholders held on October 14, 2022 and by the Company’s Board of Directors. The Certificate of Amendment effected a 1-for-10 reverse stock split of our common stock, in which each ten</w:t>
      </w:r>
    </w:p>
    <w:p>
      <w:pPr>
        <w:spacing w:after="0" w:line="1" w:lineRule="exact"/>
        <w:rPr>
          <w:sz w:val="20"/>
          <w:szCs w:val="20"/>
          <w:color w:val="auto"/>
        </w:rPr>
      </w:pPr>
    </w:p>
    <w:p>
      <w:pPr>
        <w:jc w:val="both"/>
        <w:ind w:left="9" w:hanging="9"/>
        <w:spacing w:after="0" w:line="253" w:lineRule="auto"/>
        <w:tabs>
          <w:tab w:leader="none" w:pos="3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issued and outstanding as of 12:01 a.m. Eastern Time on October 18, 2022 (the effective time of the reverse stock split) were combined and converted into one share of common stock. While the reverse stock split decreased the number of outstanding shares of common stock, it did not change the total number of shares of common stock authorized for issuance by us, nor did it change the par value of the common stock. The reverse stock split is primarily intended to bring us into compliance with the Minimum Bid Requirement.</w:t>
      </w:r>
    </w:p>
    <w:p>
      <w:pPr>
        <w:spacing w:after="0" w:line="189" w:lineRule="exact"/>
        <w:rPr>
          <w:sz w:val="20"/>
          <w:szCs w:val="20"/>
          <w:color w:val="auto"/>
        </w:rPr>
      </w:pPr>
    </w:p>
    <w:p>
      <w:pPr>
        <w:jc w:val="both"/>
        <w:ind w:left="9"/>
        <w:spacing w:after="0" w:line="266" w:lineRule="auto"/>
        <w:rPr>
          <w:sz w:val="20"/>
          <w:szCs w:val="20"/>
          <w:color w:val="auto"/>
        </w:rPr>
      </w:pPr>
      <w:r>
        <w:rPr>
          <w:rFonts w:ascii="Times New Roman" w:cs="Times New Roman" w:eastAsia="Times New Roman" w:hAnsi="Times New Roman"/>
          <w:sz w:val="18"/>
          <w:szCs w:val="18"/>
          <w:color w:val="auto"/>
        </w:rPr>
        <w:t>No fractional shares of common stock were issued in connection with the reverse stock split. Instead, we issued one whole share of common stock to any stockholder who would have been entitled to receive a fractional share of common stock due to the reverse stock split. All shares and per share amounts set forth in this prospectus supplement have been retrospectively adjusted to reflect the reverse stock split.</w:t>
      </w:r>
    </w:p>
    <w:p>
      <w:pPr>
        <w:spacing w:after="0" w:line="17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ind w:left="9"/>
        <w:spacing w:after="0" w:line="256"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Nevada on </w:t>
      </w:r>
      <w:r>
        <w:rPr>
          <w:rFonts w:ascii="Times New Roman" w:cs="Times New Roman" w:eastAsia="Times New Roman" w:hAnsi="Times New Roman"/>
          <w:sz w:val="18"/>
          <w:szCs w:val="18"/>
          <w:color w:val="auto"/>
          <w:highlight w:val="white"/>
        </w:rPr>
        <w:t>June 6, 2016, originally incorporated as Agrinamics, Inc. On September 16, 2019,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amended our articles of incorporation to reflect a name change to Agrify Corporation. </w:t>
      </w:r>
      <w:r>
        <w:rPr>
          <w:rFonts w:ascii="Times New Roman" w:cs="Times New Roman" w:eastAsia="Times New Roman" w:hAnsi="Times New Roman"/>
          <w:sz w:val="18"/>
          <w:szCs w:val="18"/>
          <w:color w:val="auto"/>
        </w:rPr>
        <w:t>Our principal executive offices are located at 76 Treble Cove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Road, Building 3, Unit 3, Billerica, MA 01862, and our telephone number is (617) 896-5243. Our website address is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xml:space="preserve"> Our website and the information contained in, or accessible through, our website will not be deemed to be incorporated by reference into this prospectus supplement and does not constitute part of this prospectus supplement. You should not rely on any such information in making your decision whether to purchase our securities.</w:t>
      </w:r>
    </w:p>
    <w:p>
      <w:pPr>
        <w:spacing w:after="0" w:line="200" w:lineRule="exact"/>
        <w:rPr>
          <w:sz w:val="20"/>
          <w:szCs w:val="20"/>
          <w:color w:val="auto"/>
        </w:rPr>
      </w:pPr>
    </w:p>
    <w:p>
      <w:pPr>
        <w:spacing w:after="0" w:line="221" w:lineRule="exact"/>
        <w:rPr>
          <w:sz w:val="20"/>
          <w:szCs w:val="20"/>
          <w:color w:val="auto"/>
        </w:rPr>
      </w:pPr>
    </w:p>
    <w:p>
      <w:pPr>
        <w:jc w:val="center"/>
        <w:ind w:right="-108"/>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9"/>
          </w:cols>
          <w:pgMar w:left="391" w:top="360" w:right="4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067550" cy="7299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7550" cy="7299325"/>
                    </a:xfrm>
                    <a:prstGeom prst="rect">
                      <a:avLst/>
                    </a:prstGeom>
                    <a:noFill/>
                  </pic:spPr>
                </pic:pic>
              </a:graphicData>
            </a:graphic>
          </wp:anchor>
        </w:drawing>
        <w:t>THE OFFERING</w:t>
      </w:r>
    </w:p>
    <w:p>
      <w:pPr>
        <w:sectPr>
          <w:pgSz w:w="11900" w:h="16838" w:orient="portrait"/>
          <w:cols w:equalWidth="0" w:num="1">
            <w:col w:w="11000"/>
          </w:cols>
          <w:pgMar w:left="400" w:top="360" w:right="49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having an aggregate offering price of up to $50,000,000 from time to time through Canaccord.</w:t>
      </w:r>
    </w:p>
    <w:p>
      <w:pPr>
        <w:spacing w:after="0" w:line="162" w:lineRule="exact"/>
        <w:rPr>
          <w:sz w:val="20"/>
          <w:szCs w:val="20"/>
          <w:color w:val="auto"/>
        </w:rPr>
      </w:pPr>
    </w:p>
    <w:p>
      <w:pPr>
        <w:sectPr>
          <w:pgSz w:w="11900" w:h="16838" w:orient="portrait"/>
          <w:cols w:equalWidth="0" w:num="2">
            <w:col w:w="4780" w:space="720"/>
            <w:col w:w="5500"/>
          </w:cols>
          <w:pgMar w:left="400" w:top="36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Common stock to be outstanding after this offering</w:t>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Up to 7,343,932 (as more fully described in the notes following this table), assuming sales of 4,672,897 shares of our common stock in this offering at an assumed offering price of $10.70 per share, which was the last reported sale price of our common stock on The Nasdaq Capital Market on October 17, 2022. The actual number of shares issued will vary depending on the sales price under this offering.</w:t>
      </w:r>
    </w:p>
    <w:p>
      <w:pPr>
        <w:spacing w:after="0" w:line="187" w:lineRule="exact"/>
        <w:rPr>
          <w:sz w:val="20"/>
          <w:szCs w:val="20"/>
          <w:color w:val="auto"/>
        </w:rPr>
      </w:pPr>
    </w:p>
    <w:p>
      <w:pPr>
        <w:sectPr>
          <w:pgSz w:w="11900" w:h="16838" w:orient="portrait"/>
          <w:cols w:equalWidth="0" w:num="2">
            <w:col w:w="4780" w:space="720"/>
            <w:col w:w="5500"/>
          </w:cols>
          <w:pgMar w:left="400" w:top="36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from the sale of the securities under this prospectus supplement for working capital and general corporate purposes, which may include capital expenditures and repayment of debt. We reserve the right, at the sole discretion of our management, to reallocate the proceeds of this offering in response to developments in our business and other factors. See “Use of Proceeds” on page S-9 of this prospectus supplement.</w:t>
      </w:r>
    </w:p>
    <w:p>
      <w:pPr>
        <w:spacing w:after="0" w:line="189" w:lineRule="exact"/>
        <w:rPr>
          <w:sz w:val="20"/>
          <w:szCs w:val="20"/>
          <w:color w:val="auto"/>
        </w:rPr>
      </w:pPr>
    </w:p>
    <w:p>
      <w:pPr>
        <w:sectPr>
          <w:pgSz w:w="11900" w:h="16838" w:orient="portrait"/>
          <w:cols w:equalWidth="0" w:num="2">
            <w:col w:w="4780" w:space="720"/>
            <w:col w:w="5500"/>
          </w:cols>
          <w:pgMar w:left="400" w:top="36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Manner of offering</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“At the market offering” that may be made from time-to-time through our sales agent, Canaccord Genuity LLC. See “Plan of Distribution” on page S-11 of this prospectus supplement.</w:t>
      </w:r>
    </w:p>
    <w:p>
      <w:pPr>
        <w:spacing w:after="0" w:line="176" w:lineRule="exact"/>
        <w:rPr>
          <w:sz w:val="20"/>
          <w:szCs w:val="20"/>
          <w:color w:val="auto"/>
        </w:rPr>
      </w:pPr>
    </w:p>
    <w:p>
      <w:pPr>
        <w:sectPr>
          <w:pgSz w:w="11900" w:h="16838" w:orient="portrait"/>
          <w:cols w:equalWidth="0" w:num="2">
            <w:col w:w="4780" w:space="720"/>
            <w:col w:w="5500"/>
          </w:cols>
          <w:pgMar w:left="400" w:top="36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Investing in our common stock involves significant risks. Please see “Risk Factors” on page S-5 of this prospectus supplement and on page 8 of the accompanying prospectus, as well as the discussion of risk factors contained in our annual, quarterly and current reports filed with the Securities and Exchange Commission, or SEC, under the Exchange Act, which are incorporated by reference into this prospectus supplement and the accompanying prospectus.</w:t>
      </w:r>
    </w:p>
    <w:p>
      <w:pPr>
        <w:spacing w:after="0" w:line="189" w:lineRule="exact"/>
        <w:rPr>
          <w:sz w:val="20"/>
          <w:szCs w:val="20"/>
          <w:color w:val="auto"/>
        </w:rPr>
      </w:pPr>
    </w:p>
    <w:p>
      <w:pPr>
        <w:sectPr>
          <w:pgSz w:w="11900" w:h="16838" w:orient="portrait"/>
          <w:cols w:equalWidth="0" w:num="2">
            <w:col w:w="4780" w:space="720"/>
            <w:col w:w="5500"/>
          </w:cols>
          <w:pgMar w:left="400" w:top="36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Nasdaq symbol</w:t>
      </w:r>
    </w:p>
    <w:p>
      <w:pPr>
        <w:spacing w:after="0" w:line="20" w:lineRule="exact"/>
        <w:rPr>
          <w:sz w:val="20"/>
          <w:szCs w:val="20"/>
          <w:color w:val="auto"/>
        </w:rPr>
      </w:pPr>
      <w:r>
        <w:rPr>
          <w:sz w:val="20"/>
          <w:szCs w:val="20"/>
          <w:color w:val="auto"/>
        </w:rPr>
        <w:br w:type="column"/>
      </w:r>
    </w:p>
    <w:p>
      <w:pPr>
        <w:jc w:val="center"/>
        <w:ind w:right="4860"/>
        <w:spacing w:after="0"/>
        <w:rPr>
          <w:sz w:val="20"/>
          <w:szCs w:val="20"/>
          <w:color w:val="auto"/>
        </w:rPr>
      </w:pPr>
      <w:r>
        <w:rPr>
          <w:rFonts w:ascii="Times New Roman" w:cs="Times New Roman" w:eastAsia="Times New Roman" w:hAnsi="Times New Roman"/>
          <w:sz w:val="17"/>
          <w:szCs w:val="17"/>
          <w:color w:val="auto"/>
        </w:rPr>
        <w:t>“AGFY”</w:t>
      </w:r>
    </w:p>
    <w:p>
      <w:pPr>
        <w:spacing w:after="0" w:line="200" w:lineRule="exact"/>
        <w:rPr>
          <w:sz w:val="20"/>
          <w:szCs w:val="20"/>
          <w:color w:val="auto"/>
        </w:rPr>
      </w:pPr>
    </w:p>
    <w:p>
      <w:pPr>
        <w:sectPr>
          <w:pgSz w:w="11900" w:h="16838" w:orient="portrait"/>
          <w:cols w:equalWidth="0" w:num="2">
            <w:col w:w="4780" w:space="720"/>
            <w:col w:w="5500"/>
          </w:cols>
          <w:pgMar w:left="400" w:top="360" w:right="499" w:bottom="1440" w:gutter="0" w:footer="0" w:header="0"/>
          <w:type w:val="continuous"/>
        </w:sectPr>
      </w:pPr>
    </w:p>
    <w:p>
      <w:pPr>
        <w:spacing w:after="0" w:line="3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2,671,035 shares outstanding as of October 18, 2022. The number of shares outstanding as of October 18, 2022 as used throughout this prospectus supplement, unless otherwise indicated, excludes as of such date:</w:t>
      </w:r>
    </w:p>
    <w:p>
      <w:pPr>
        <w:spacing w:after="0" w:line="176" w:lineRule="exact"/>
        <w:rPr>
          <w:sz w:val="20"/>
          <w:szCs w:val="20"/>
          <w:color w:val="auto"/>
        </w:rPr>
      </w:pPr>
    </w:p>
    <w:p>
      <w:pPr>
        <w:ind w:left="640" w:right="20" w:hanging="325"/>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2,430,783 shares of our common stock issuable upon the exercise of warrants outstanding, at a weighted average exercise price of $22.57 per share;</w:t>
      </w:r>
    </w:p>
    <w:p>
      <w:pPr>
        <w:spacing w:after="0" w:line="161" w:lineRule="exact"/>
        <w:rPr>
          <w:rFonts w:ascii="Times New Roman" w:cs="Times New Roman" w:eastAsia="Times New Roman" w:hAnsi="Times New Roman"/>
          <w:sz w:val="18"/>
          <w:szCs w:val="18"/>
          <w:color w:val="auto"/>
        </w:rPr>
      </w:pPr>
    </w:p>
    <w:p>
      <w:pPr>
        <w:ind w:left="640" w:right="20" w:hanging="325"/>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283,477 shares of our common stock issuable upon the exercise of stock options outstanding, at a weighted average exercise price of $73.63 per share;</w:t>
      </w:r>
    </w:p>
    <w:p>
      <w:pPr>
        <w:spacing w:after="0" w:line="161" w:lineRule="exact"/>
        <w:rPr>
          <w:rFonts w:ascii="Times New Roman" w:cs="Times New Roman" w:eastAsia="Times New Roman" w:hAnsi="Times New Roman"/>
          <w:sz w:val="18"/>
          <w:szCs w:val="18"/>
          <w:color w:val="auto"/>
        </w:rPr>
      </w:pPr>
    </w:p>
    <w:p>
      <w:pPr>
        <w:ind w:left="640" w:hanging="32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179,300 shares of our common stock issuable upon the vesting of restricted stock units;</w:t>
      </w:r>
    </w:p>
    <w:p>
      <w:pPr>
        <w:spacing w:after="0" w:line="225" w:lineRule="exact"/>
        <w:rPr>
          <w:rFonts w:ascii="Times New Roman" w:cs="Times New Roman" w:eastAsia="Times New Roman" w:hAnsi="Times New Roman"/>
          <w:sz w:val="18"/>
          <w:szCs w:val="18"/>
          <w:color w:val="auto"/>
        </w:rPr>
      </w:pPr>
    </w:p>
    <w:p>
      <w:pPr>
        <w:ind w:left="640" w:hanging="32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66,889 shares of our common stock reserved for future issuance under our 2022 Omnibus Equity Incentive Plan;</w:t>
      </w:r>
    </w:p>
    <w:p>
      <w:pPr>
        <w:spacing w:after="0" w:line="225" w:lineRule="exact"/>
        <w:rPr>
          <w:rFonts w:ascii="Times New Roman" w:cs="Times New Roman" w:eastAsia="Times New Roman" w:hAnsi="Times New Roman"/>
          <w:sz w:val="18"/>
          <w:szCs w:val="18"/>
          <w:color w:val="auto"/>
        </w:rPr>
      </w:pPr>
    </w:p>
    <w:p>
      <w:pPr>
        <w:ind w:left="640" w:hanging="32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shares of our common stock reserved for future issuance under our 2022 Employee Stock Purchase Plan; and</w:t>
      </w:r>
    </w:p>
    <w:p>
      <w:pPr>
        <w:spacing w:after="0" w:line="225" w:lineRule="exact"/>
        <w:rPr>
          <w:rFonts w:ascii="Times New Roman" w:cs="Times New Roman" w:eastAsia="Times New Roman" w:hAnsi="Times New Roman"/>
          <w:sz w:val="18"/>
          <w:szCs w:val="18"/>
          <w:color w:val="auto"/>
        </w:rPr>
      </w:pPr>
    </w:p>
    <w:p>
      <w:pPr>
        <w:ind w:left="640" w:hanging="32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33,416 shares of our common stock reserved for future issuance in connection with completed acquisitions.</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00" w:top="360" w:right="49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herein and in the accompanying prospectus, and any related free writing prospectus, and described under the section entitled “Risk Factors” contained in our most recent annual report on Form 10-K, as well as any amendments thereto reflected in subsequent filings with the SEC, which are incorporated by reference into this prospectus supplement in their entirety, together with other information in this prospectus supplement, the accompanying prospectus,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received a notice from Nasdaq of non-compliance with its minimum bid price rules.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4, 2022, we received a deficiency letter (the “Notice”) from the Listing Qualifications Department (the “Staff”) of The Nasdaq Stock Market, LLC (“Nasdaq”) notifying us that, for the last 30 consecutive business days, the bid price for our common stock had closed below $1.00 per share, which is the minimum closing price required to maintain continued listing on The Nasdaq Capital Market under Nasdaq Listing Rule 5550(a)(2) (the “Minimum Bid Requirement”). In accordance with Nasdaq Listing Rule 5810(c)(3)(A), we have 180 calendar days to regain compliance with the Minimum Bid Requirement. To regain compliance with the Minimum Bid Requirement, the closing bid price of our common stock must be at least $1.00 per share for a minimum of 10 consecutive trading days during this 180-day compliance period, unless the Staff exercises its discretion to extend the minimum trading day period pursuant to Nasdaq Listing Rule 5810(c)(3)(G).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we do not regain compliance with the Minimum Bid Requirement prior to the expiration of the compliance period, we will receive written notification that our securities are subject to delisting. At that time, we may appeal the delisting determination to a hearings panel pursuant to the procedures set forth in the applicable Nasdaq Listing Rules. A delisting of our common stock would have an adverse effect on the market liquidity of our common stock and, as a result, the market price for our common stock could become more volatile. Further, a delisting also could make it more difficult for us to raise additional capital.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recently completed reverse stock split is subject to several risks, and we cannot predict whether it will increase the market price for our common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whether the 1-for-10 reverse stock split completed on October 18, 2022 will increase the market price for our common stock. The history of similar stock split combinations for companies in like circumstances is varied, and the market price of our common stock will also be based on our performance and other factors, some of which are unrelated to the number of shares outstanding. Further, there are a number of risks associated with the reverse stock split, including:</w:t>
      </w:r>
    </w:p>
    <w:p>
      <w:pPr>
        <w:spacing w:after="0" w:line="180" w:lineRule="exact"/>
        <w:rPr>
          <w:sz w:val="20"/>
          <w:szCs w:val="20"/>
          <w:color w:val="auto"/>
        </w:rPr>
      </w:pPr>
    </w:p>
    <w:p>
      <w:pPr>
        <w:ind w:left="13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shares of common stock post-split may not remain in excess of the Minimum Bid Requirement, or we may fail to meet the other requirements for continued listing on Nasdaq, resulting in the delisting of our common stock.</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Board of Directors believes that a higher stock price may help generate the interest of new investors, the reverse stock split may not result in a per-share price that will successfully attract certain types of investors and such resulting share price may not satisfy the investing guidelines of institutional investors or investment funds. Further, other factors, such as our financial results, market conditions and the market perception of our business, may adversely affect the interest of new investors in the shares of our common stock. As a result, the trading liquidity of the shares of our common stock may not improve as a result of the reverse stock split and there can be no assurance that the reverse stock split will result in the intended benefits.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ind w:left="1300" w:hanging="644"/>
        <w:spacing w:after="0" w:line="255"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could be viewed negatively by the market and other factors may adversely affect the market price of the shares of our common stock. Consequently, the market price per post-split share may not increase in proportion to the reduction of the number of shares of our common stock outstanding before the implementation of the reverse stock split. Accordingly, the total market capitalization of our shares of common stock after the reverse stock split may be lower than the total market capitalization before the reverse stock split. Any reduction in total market capitalization as the result of the reverse stock split may make it more difficult for us to meet the Nasdaq Listing Rule regarding minimum value of listed securities, which could result in our shares of common stock being delisted from The Nasdaq Capital Market.</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significant dilution as a result of sales of shares pursuant to this prospectus supplement, which may adversely affect the per share trading price of our common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shares pursuant to this prospectus supplement may have a dilutive effect on our earnings per share and funds from operations per share after giving effect to the issuance of our common stock and the application of the expected net proceeds. The actual amount of dilution from sales of shares pursuant to this prospectus supplement, or from any future offering of common or preferred stock, will be based on numerous factors, particularly the use of proceeds and the return generated by such investment, and cannot be determined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sales agreement with Canaccord, at any one time or in total, is uncertain.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limitations in the sales agreement with Canaccord and compliance with applicable law, we have the discretion to deliver placement notices to Canaccord at any time throughout the term of the sales agreement. The number of shares that are sold by Canaccord after delivering a placement notice will fluctuate based on the market price of the common stock during the sales period and limits we set with that sales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our common stock in this offering, or the perception that such sales may occur, could cause the market price of our Common Stock to fall.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and sell shares of our common stock for aggregate gross proceeds of up to $50,000,000 from time to time in connection with this offering. The actual number of shares of common stock that may be issued and sold in this offering, as well as the timing of any such sales, will depend on a number of factors, including, among others, the prices at which any shares are actually sold this offering (which may be influenced by market conditions, the trading price of our common stock and other factors) and our determinations as to the appropriate timing, sources and amounts of funding we need. The issuance and sale from time to time of these new shares of common stock, or the mere fact that we are able to issue and sell these shares in this offering, could cause the market price of our common stock to decline.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be subject to dilution resulting from future offerings of common stock by 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with respect to the use of any net proceeds of this offering.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described the intended use of any net proceeds of this offering in the section titled “Use of Proceeds,” our management will have broad discretion in the application of these net proceeds and could use them for purposes other than those contemplated at the time of this offering. Accordingly, you will be relying on the judgment of our management with regard to the use of these net proceeds, and you will not have the opportunity, as part of your investment decision, to assess whether the proceeds are being used appropriately. Our failure to apply these funds effectively could have a material adverse effect on our business, financial condition, results of operations, liquidity or ability to pay dividends and cause the price of our common stock to decline. Pending another use, we may invest the net proceeds in short-term interest-bearing investment grade instruments. These investments may not yield a favorable return to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including stock market volatility, inherent in owning our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and volume of our common stock have been, and may continue to be, subject to significant fluctuations. These fluctuations may arise from general stock market conditions, the impact of risk factors described herein on our results of operations and financial position, or a change in opinion in the market regarding our business prospects, financial performance and other factors.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31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and the documents incorporated herein and therein by reference contain, forward-looking statements and information relating to Agrify Corporation.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8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supplement, the accompanying prospectus, and the documents incorporated by reference herein and therein.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supplement, the accompanying prospectus, and in the documents incorporated by reference herein and therein.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supplement, the accompanying prospectus, and in the documents incorporated by reference herein and therein may not occur and actual results could differ materially and adversely from those anticipated or implied in the forward-looking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supplement to conform these statements to actual results or to changes in our expectations.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$50,000,000 from time to time. The amount of proceeds from this offering will depend upon the number of shares of our common stock sold and the market price at which they are sold. There can be no assurance that we will be able to sell any shares under or fully utilize the Equity Distribution Agreement with Canaccord as a source of financing. Because there is no minimum offering amount required as a condition to close this offering, the actual total public offering amount, commissions and proceeds to us, if any, are not determinable at this time.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of this offering for working capital and general corporate purposes, which may include capital expenditures and repayment of debt. Pending another use, we may invest the net proceeds in short-term interest-bearing investment grade instruments.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our current or future financing instruments.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purchase shares of our common stock in this offering, your interest may be diluted to the extent of the difference between the offering price of our common stock offered hereby and the as-adjusted net tangible book value per share of our common stock immediately after the offering.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tangible book value per share of common stock is determined by subtracting our total liabilities from our total tangible assets, which is total assets less intangible assets, and dividing this amount by the number of shares of common stock outstanding. The historical net tangible book value of our common stock as of June 30, 2022 was approximately $78.0 million, or $29.33 per share, based on 2,659,043 shares of common stock outstanding at June 30, 2022.</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giving effect to our sale in this offering of shares of common stock in the aggregate amount of $50,000,000 at an assumed public offering price of $10.70 per share (the last reported sale price per share of our common stock on The Nasdaq Capital Market on October 17, 2022), and after deducting the sales agent commissions and our estimated offering expenses payable by us, our as adjusted net tangible book value as of June 30, 2022 would have been approximately $126.3 million, or $17.23 per share. This represents an immediate decrease in net tangible book value of $12.10 per share to our existing shareholders and an immediate accretion of $6.53 per share to new investors purchasing shares of common stock in this offering at the assumed public offering price. The following table illustrates this dilution on a per share basis: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10.70</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June 30, 2022</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29.33</w:t>
            </w:r>
          </w:p>
        </w:tc>
        <w:tc>
          <w:tcPr>
            <w:tcW w:w="82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this offering based on assumed offering price</w:t>
            </w:r>
          </w:p>
        </w:tc>
        <w:tc>
          <w:tcPr>
            <w:tcW w:w="9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12.10</w:t>
            </w:r>
          </w:p>
        </w:tc>
        <w:tc>
          <w:tcPr>
            <w:tcW w:w="82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 based on assumed offering price</w:t>
            </w:r>
          </w:p>
        </w:tc>
        <w:tc>
          <w:tcPr>
            <w:tcW w:w="92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17.23</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per share to new investors based on assumed offering price</w:t>
            </w: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4,672,897 shares of common stock are sold at a price of $10.70 per share, the last reported sale price per share of our common stock on Nasdaq on October 17, 2022, for aggregate gross proceeds of approximately $50,000,000. The shares of common stock sold in this offering, if any, will be sold from time to time at various prices. An increase of $1.00 per share in the price at which the shares are sold from the assumed public offering price of $10.70 per share shown in the table above, assuming all of our shares of common stock in the aggregate amount of $50,000,000 are sold at that price, would increase the accretion in net tangible book value per share to new investors in this offering by $0.38 per share, after deducting commissions and estimated offering expenses payable by us. A decrease of $1.00 per share in the price at which the shares are sold from the assumed public offering price of $10.70 per share shown in the table above, assuming all of our shares of common stock in the aggregate amount of $50,000,000 are sold at that price, would decrease the accretion in net tangible book value per share to new investors in this offering by $0.38 per share, after deducting commissions and estimated offering expenses payable by us. This information is supplied for illustrative purposes only.</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and discussion above are based on 2,659,043 shares of common stock issued and outstanding on June 30, 2022 and excludes as of that date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1,011,180 shares of our common stock issuable upon the exercise of warrants outstanding, at a weighted average exercise price of $68.25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329,090 shares of our common stock issuable upon the exercise of stock options outstanding, at a weighted average exercise price of $70.55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our common stock issuable upon the vesting of restricted stock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200,575 shares of our common stock reserved for future issuance under our 2022 Omnibus Equity Incentive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shares of our common stock reserved for future issuance under our 2022 Employee Stock Purchase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33,416 shares of our common stock reserved for future issuance in connection with completed acquisitions.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any of the outstanding warrants or options are exercised, there will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securities, the issuance of these securities could result in further dilution to our shareholders.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the Equity Distribution Agreement with Canaccord under which we may issue and sell our shares of common stock having an aggregate gross sales price of up to $50,000,000 from time to time through Canaccord acting as agent. A copy of the Equity Distribution Agreement will be filed as an exhibit to a Current Report on Form 8-K and incorporated by reference into the registration statement of which this prospectus supplement is a part.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delivery of a placement notice and subject to the terms and conditions of the Equity Distribution Agreement, Canaccord may sell our common stock by any method that is deemed to be an “at the market offering” as defined in Rule 415(a)(4) under the Securities Act, including sales made directly on or through Nasdaq or any other existing trading market for our common stock. We may instruct Canaccord not to sell common stock if the sales cannot be effected at or above the price designated by us from time to time. We or Canaccord may suspend the offering of common stock upon notice and subject to other conditions.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Canaccord commissions for its services in acting as agent in the sale of our common stock. Canaccord will be entitled to compensation at a fixed commission rate not to exceed 3.0% of the gross proceeds of each issuance and sale of common stock pursuant to the Equity Distribution Agreement. Because there is no minimum offering amount required to be sold pursuant to this offering, the actual total public offering amount, commissions and proceeds to us, if any, are not determinable at this time. We have also agreed to reimburse Canaccord for certain specified expenses, including the fees and disbursements of its legal counsel, in an amount up to $75,000. We estimate that the total expenses for the offering, excluding compensation and reimbursement payable to Canaccord under the terms of the Equity Distribution Agreement, will be approximately $186,000.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Settlement for sales of common stock will generally occur on the second business day following the date on which any sales are made, or on some other date that is agreed upon by us and Canaccord in connection with a particular transaction, in return for payment of the net proceeds to us. Sales of our common stock as contemplated in this prospectus supplement will be settled through the facilities of The Depository Trust Company or by such other means as we and Canaccord may agree upon. There is no arrangement for funds to be received in an escrow, trust or similar arrangement.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Canaccord will use its commercially reasonable efforts, consistent with its normal trading and sales practices, to solicit offers to purchase our common stock under the terms and subject to the conditions set forth in the Equity Distribution Agreement. In connection with the sale of the common stock on our behalf, Canaccord will be deemed to be an “underwriter” within the meaning of the Securities Act and the compensation of Canaccord will be deemed to be underwriting commissions or discounts. We have agreed to provide indemnification and contribution to Canaccord against certain civil liabilities, including liabilities under the Securities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offering of our common stock pursuant to the Equity Distribution Agreement will terminate upon the termination of the Equity Distribution Agreement or as otherwise permitted therein. We and Canaccord may each terminate the Equity Distribution Agreement at any time upon ten days’ prior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Canaccord and its affiliates have provided, and may in the future provide, various investment banking, commercial banking and other financial services for us and our affiliates, for which services they have received, or may in the future receive, customary fees. To the extent required by Regulation M promulgated under the Securities Exchange Act of 1934, as amended (the “Exchange Act”), Canaccord will not engage in any market making activities involving our common stock while the offering is ongoing under this prospectus supplement.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common stock offered hereby will be passed upon for us by Sherman &amp; Howard L.L.C., Las Vegas, Nevada. Canaccord is being represented in connection with this offering by Goodwin Procter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financial statements at December 31, 2021 and 2020 as set forth in their report dated March 31, 2022. We have incorporated by reference our financial statements in this prospectus supplement and the accompanying prospectus in reliance on Marcum LLP’s report, given on their authority as experts in accounting and auditing. The balance sheets of Cascade Sciences, LLC as of December 31, 2020 and 2019 and the related statements of income, members’ equity and cash flows for the years then ended, have been audited by Baker Tilly US LLP, independent auditor, as stated in their report dated December 8, 2021, which is incorporated by reference herein. The consolidated balance sheets of Mass2Media, LLC dba PC2 Holdings, LLC and Affiliate as of December 31, 2020 and 2019 and the related consolidated statements of net loss, members’ equity (deficit) and cash flows for the years then ended, have been audited by Baker Tilly US LLP, independent auditor, as stated in their report dated December 8, 2021, which is incorporated by reference herein.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The information found on, or otherwise accessible through, our website is not incorporated into, and does not form a part of, this prospectus supplement, the accompanying prospectus or any other report or documents we file with or furnish to the SEC.</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(File No. 333-265710) under the Securities Act with respect to the common stock offered by this prospectus supplement. When used in this prospectus supplement, the term “registration statement” includes amendments to the registration statement as well as the exhibits, schedules, financial statements and notes filed as part of the registration statement or incorporated by reference therein. This prospectus supplement, which constitutes a part of the registration statement, omits some information contained in the registration statement in accordance with SEC rules and regulations. You should review the information and exhibits in the registration statement for further information on us and our consolidated subsidiaries and the common stock we are offering by this prospectus supplement. Statements herein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them, which means that we can disclose important information to you by referring you to those publicly available documents. The information incorporated by reference is an important part of this prospectus supplement, and information that we file later with the SEC will automatically update and, where applicable, supersede the information already incorporated by reference. We are incorporating by reference the documents listed below:</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SEC on May 16,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2022 filed with the SEC on August 15, 2022;</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2021 from our definitive proxy statement on </w:t>
      </w:r>
      <w:hyperlink r:id="rId32">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April 29, 2022;</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auto"/>
          </w:rPr>
          <w:t xml:space="preserve">Our Current Reports on Form 8-K filed with the SEC </w:t>
        </w:r>
        <w:r>
          <w:rPr>
            <w:rFonts w:ascii="Times New Roman" w:cs="Times New Roman" w:eastAsia="Times New Roman" w:hAnsi="Times New Roman"/>
            <w:sz w:val="18"/>
            <w:szCs w:val="18"/>
            <w:u w:val="single" w:color="auto"/>
            <w:color w:val="0000EE"/>
          </w:rPr>
          <w:t>October 5, 2021</w:t>
        </w:r>
        <w:r>
          <w:rPr>
            <w:rFonts w:ascii="Times New Roman" w:cs="Times New Roman" w:eastAsia="Times New Roman" w:hAnsi="Times New Roman"/>
            <w:sz w:val="18"/>
            <w:szCs w:val="18"/>
            <w:color w:val="auto"/>
          </w:rPr>
          <w:t xml:space="preserve"> (and the amendment thereto filed with the SEC on </w:t>
        </w:r>
        <w:r>
          <w:rPr>
            <w:rFonts w:ascii="Times New Roman" w:cs="Times New Roman" w:eastAsia="Times New Roman" w:hAnsi="Times New Roman"/>
            <w:sz w:val="18"/>
            <w:szCs w:val="18"/>
            <w:u w:val="single" w:color="auto"/>
            <w:color w:val="0000EE"/>
          </w:rPr>
          <w:t>December 17,</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January 5, 2022</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January 26, 2022</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February 2, 2022</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March 18, 2022</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April 12, 2022</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June 9, 2022</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July 14, 2022</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August 10, 2022</w:t>
        </w:r>
      </w:hyperlink>
      <w:hyperlink r:id="rId33">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August 19,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October 6,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October 17, 2022</w:t>
        </w:r>
      </w:hyperlink>
      <w:r>
        <w:rPr>
          <w:rFonts w:ascii="Times New Roman" w:cs="Times New Roman" w:eastAsia="Times New Roman" w:hAnsi="Times New Roman"/>
          <w:sz w:val="18"/>
          <w:szCs w:val="18"/>
          <w:color w:val="000000"/>
        </w:rPr>
        <w:t>;</w:t>
      </w:r>
    </w:p>
    <w:p>
      <w:pPr>
        <w:spacing w:after="0" w:line="175"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45">
        <w:r>
          <w:rPr>
            <w:rFonts w:ascii="Times New Roman" w:cs="Times New Roman" w:eastAsia="Times New Roman" w:hAnsi="Times New Roman"/>
            <w:sz w:val="18"/>
            <w:szCs w:val="18"/>
            <w:u w:val="single" w:color="auto"/>
            <w:color w:val="0000EE"/>
          </w:rPr>
          <w:t>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January 26, 2021;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future documents filed by us with the SEC pursuant to Section 13(a), 13(c), 14 or 15(d) of the Exchange Act, prior to the termination of the offering of the underlying securities; provided, however, that we are not incorporating by reference any additional documents or information furnished and not filed with the SEC.</w:t>
      </w:r>
    </w:p>
    <w:p>
      <w:pPr>
        <w:spacing w:after="0" w:line="176"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supplement is modified or superseded for purposes of the prospectus supplement to the extent that a statement contained in this prospectus supplement or in any other subsequently filed document that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including any beneficial owner, to whom a copy of this prospectus supplement is delivered a copy of the documents incorporated by reference into this prospectus supplement. You may request a copy of these filings, and any exhibits we have specifically incorporated by reference as an exhibit in this prospectus supplement, at no cost by writing or telephoning us at the following address:</w:t>
      </w:r>
    </w:p>
    <w:p>
      <w:pPr>
        <w:spacing w:after="0" w:line="176"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76 Treble Cove Road, Building 3</w:t>
      </w:r>
    </w:p>
    <w:p>
      <w:pPr>
        <w:spacing w:after="0" w:line="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Billerica, MA 01862</w:t>
      </w:r>
    </w:p>
    <w:p>
      <w:pPr>
        <w:spacing w:after="0" w:line="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Telephone: (617) 896-5243</w:t>
      </w:r>
    </w:p>
    <w:p>
      <w:pPr>
        <w:spacing w:after="0" w:line="207" w:lineRule="exact"/>
        <w:rPr>
          <w:rFonts w:ascii="Times New Roman" w:cs="Times New Roman" w:eastAsia="Times New Roman" w:hAnsi="Times New Roman"/>
          <w:sz w:val="18"/>
          <w:szCs w:val="18"/>
          <w:color w:val="0000EE"/>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We have incorporated exhibits into this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and the accompanying prospectus. Neither we nor Canaccord has authorized anyone else to provide you with different information. Neither we nor Canaccord is making an offer of these securities in any jurisdiction where the offer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38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156845</wp:posOffset>
            </wp:positionV>
            <wp:extent cx="1054100" cy="788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issue, in one or more series or classes, up to $200,000,000 in aggregate principal amount of our common stock, preferred stock, warrants, debt securities and/or units. We may offer these securities separately or together in units. We will specify in the accompanying prospectus supplement the terms of the securities being offered. We may sell these securities to or through underwriters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document and any prospectus supplement or amendment carefully before you invest in our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“AGFY.” On June 17, 2022, the closing price for our Common Stock, as reported on The Nasdaq Capital Market, was $2.14 per share. Our principal executive offices are located at 76 Treble Cove Road, Building 3, Unit 3, Billerica, MA 01862.</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contained in this prospectus beginning on page 8 and any applicable prospectus supplement, and under similar headings in the other documents that are incorporated by reference into this prospectus.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ACCURATE, TRUTHFUL OR COMPLETE. ANY REPRESENTATION TO THE CONTRARY IS A CRIMINAL OFFENSE.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42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5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RATIO OF FIXED CHARGES AND PREFERENCE DIVIDENDS TO EARNINGS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SECURITIES WE MAY OFFER</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utilizing a shelf registration process. Under the shelf registration process, we may offer shares of our common stock and preferred stock, warrants to purchase any of such securities, debt securities and units comprised of any such securities with a total value of up to $200,000,000 from time to time under this prospectus at prices and on terms to be determined by market conditions at the time of offering. This prospectus provides you with a general description of the securities we may offer. Each time we offer a type or series of securities, we will provide a prospectus supplement that will describe the specific amounts, prices and other important terms of the securities, including, to the extent applicable:</w:t>
      </w:r>
    </w:p>
    <w:p>
      <w:pPr>
        <w:spacing w:after="0" w:line="18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dividends or other payments,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settlement or sinking fund terms, if 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exchange or settlement prices or rates, if any, and, if applicable, any provisions for changes to or adjustments in the conversion, exchange or settlement prices or rates and in the securities or other property receivable upon conversion, exchange or settlement;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federal income tax considerations.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prospectus supplement may include a discussion of risks or other special considerations applicable to us or the offered securities. A prospectus supplement may also add, update or change information in this prospectus. If there is any inconsistency between the information in this prospectus and any applicable prospectus supplement, you must rely on the information in the prospectus supplement. Please carefully read both this prospectus and any applicable prospectus supplement together with the additional information described under the heading “Where You Can Find More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registration statement containing this prospectus, including exhibits to the registration statement, provides additional information about us and the securities offered under this prospectus. The registration statement can be read at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authorized any broker-dealer, salesperson or other person to give any information or to make any representation other than those contained or incorporated by reference in this prospectus and an accompanying supplement to this prospectus. You must not rely upon any information or representation not contained or incorporated by reference in this prospectus or an accompanying prospectus supplement. This prospectus and an accompanying supplement to this prospectus do not constitute an offer to sell or the solicitation of an offer to buy securities, nor do this prospectus and an accompanying supplement to this prospectus constitute an offer to sell or the solicitation of an offer to buy securities in any jurisdiction to any person to whom it is unlawful to make such offer or solicitation. The information contained in this prospectus and an accompanying prospectus supplement speaks only as of the date set forth on the applicable cover page and may not reflect subsequent changes in our business, financial condition, results of operations and prospects even though this prospectus and any accompanying prospectus supplement is delivered or securities are sold on a later date.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or through underwriters, dealers or agents. We, and our underwriters or agents, reserve the right to accept or reject all or part of any proposed purchase of securities. If we do offer securities through underwriters, dealers or agents, we will include in any applicable prospectus supplement:</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861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127875" cy="6861810"/>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It may not contain all of the information that is important to you. You should read the entire prospectus carefully, especially the discussion regarding the risks of investing in our securities under the heading “Risk Factors,” before investing in our securities. All references to “Company” “we,” “our” or “us” refer solely to Agrify Corporation and its subsidiaries and not to the persons who manage us or sit on our Board of Directors (the “Board”).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rapidly growing developer of proprietary hardware and software cultivation and extraction solutions for the cannabis and hemp industry. We believe we are passionately transforming cannabis cultivation and extraction methods through innovation. Our mission is to become the world’s most vertically integrated solution provider for the cannabis and hemp industry globally, while driving superior quality, consistency, and Return on Investment (“ROI”) for our valued customers. We currently have three primary areas of business focus:</w:t>
      </w:r>
    </w:p>
    <w:p>
      <w:pPr>
        <w:spacing w:after="0" w:line="180" w:lineRule="exact"/>
        <w:rPr>
          <w:sz w:val="20"/>
          <w:szCs w:val="20"/>
          <w:color w:val="auto"/>
        </w:rPr>
      </w:pPr>
    </w:p>
    <w:p>
      <w:pPr>
        <w:ind w:left="660" w:hanging="33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Cultivation Solutions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Extraction Solutions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Design &amp; Building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 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do not cultivate, come in contact with, distribute, process, or dispense cannabis or hemp or any cannabis or hemp derivatives that are currently prohibited under United States federal law, our equipment and business solutions can be used within indoor grow and processing facilities by fully licensed cannabis and hemp cultivators and processors or in some cases, by individual processors for individual use in compliance with applicable law. We sell our proprietary cultivation solutions to independent licensed cultivators. The two primary products we sell are the Agrify Vertical Farming Unit and Agrify Insights SaaS (“Software-as-a-Service”) software.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Vertical Farming Unit (“VFU”)</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proprietary VFU technology is the only product in the market that offers a modular, compartmentalized micro-climate growing system for indoor vertical farming. Our VFU system is designed for large-state and multi-state operators who are looking to consistently produce higher-quality crops at scale. The ideal facility size that we target in our sales process ranges from 20,000 square feet to 50,000 square feet. The VFU is an integrated hardware and software growing system. These units are designed to line up horizontally in rows, and they can be stacked vertically up to 3 units tall, taking advantage of unused indoor vertical space with the below advantages:</w:t>
      </w:r>
    </w:p>
    <w:p>
      <w:pPr>
        <w:spacing w:after="0" w:line="179" w:lineRule="exact"/>
        <w:rPr>
          <w:sz w:val="20"/>
          <w:szCs w:val="20"/>
          <w:color w:val="auto"/>
        </w:rPr>
      </w:pPr>
    </w:p>
    <w:p>
      <w:pPr>
        <w:ind w:left="660" w:right="20" w:hanging="331"/>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Superior Floor Space Utilization</w:t>
      </w:r>
      <w:r>
        <w:rPr>
          <w:rFonts w:ascii="Times New Roman" w:cs="Times New Roman" w:eastAsia="Times New Roman" w:hAnsi="Times New Roman"/>
          <w:sz w:val="18"/>
          <w:szCs w:val="18"/>
          <w:color w:val="auto"/>
        </w:rPr>
        <w:t>. Each VFU provides two growing rows. Our design introduces an open-room facility design approach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maximize available cultivation floor print while offering superior risk mitigation via individual compartmentalized cultivation chambers.</w:t>
      </w:r>
    </w:p>
    <w:p>
      <w:pPr>
        <w:spacing w:after="0" w:line="154"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Precise Environmental Controls</w:t>
      </w:r>
      <w:r>
        <w:rPr>
          <w:rFonts w:ascii="Times New Roman" w:cs="Times New Roman" w:eastAsia="Times New Roman" w:hAnsi="Times New Roman"/>
          <w:sz w:val="18"/>
          <w:szCs w:val="18"/>
          <w:color w:val="auto"/>
        </w:rPr>
        <w:t>. Each VFU has an environmental control unit that is integrated with our proprietary cultivation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Agrify Insights software. This integration allows for precise control and automation over light photoperiod and intensity, temperature, humidity, vapor pressure deficit (“VPD”), carbon dioxide, fertigation, and irrigation throughout the life cycle of the plants.</w:t>
      </w:r>
    </w:p>
    <w:p>
      <w:pPr>
        <w:spacing w:after="0" w:line="170" w:lineRule="exact"/>
        <w:rPr>
          <w:rFonts w:ascii="Times New Roman" w:cs="Times New Roman" w:eastAsia="Times New Roman" w:hAnsi="Times New Roman"/>
          <w:sz w:val="18"/>
          <w:szCs w:val="18"/>
          <w:b w:val="1"/>
          <w:bCs w:val="1"/>
          <w:i w:val="1"/>
          <w:iCs w:val="1"/>
          <w:color w:val="auto"/>
        </w:rPr>
      </w:pPr>
    </w:p>
    <w:p>
      <w:pPr>
        <w:ind w:left="660" w:right="20" w:hanging="331"/>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Modular Scalability</w:t>
      </w:r>
      <w:r>
        <w:rPr>
          <w:rFonts w:ascii="Times New Roman" w:cs="Times New Roman" w:eastAsia="Times New Roman" w:hAnsi="Times New Roman"/>
          <w:sz w:val="18"/>
          <w:szCs w:val="18"/>
          <w:color w:val="auto"/>
        </w:rPr>
        <w:t>. The VFU is designed with proper loading to stack up to 3 units tall, sextupling production volume over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footprint. Each unit is designed to easily integrate with a mezzanine catwalk system.</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20" w:name="page21"/>
    <w:bookmarkEnd w:id="20"/>
    <w:p>
      <w:pPr>
        <w:jc w:val="both"/>
        <w:ind w:left="660" w:hanging="331"/>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7246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127875" cy="6724650"/>
                    </a:xfrm>
                    <a:prstGeom prst="rect">
                      <a:avLst/>
                    </a:prstGeom>
                    <a:noFill/>
                  </pic:spPr>
                </pic:pic>
              </a:graphicData>
            </a:graphic>
          </wp:anchor>
        </w:drawing>
        <w:t>Biosecurity and Risk Mitigation</w:t>
      </w:r>
      <w:r>
        <w:rPr>
          <w:rFonts w:ascii="Times New Roman" w:cs="Times New Roman" w:eastAsia="Times New Roman" w:hAnsi="Times New Roman"/>
          <w:sz w:val="18"/>
          <w:szCs w:val="18"/>
          <w:color w:val="auto"/>
        </w:rPr>
        <w:t>. The VFU has a motorized curtain on both sides of the unit that enclose the grow area to prevent light-leak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w:t>
      </w:r>
    </w:p>
    <w:p>
      <w:pPr>
        <w:spacing w:after="0" w:line="176" w:lineRule="exact"/>
        <w:rPr>
          <w:rFonts w:ascii="Times New Roman" w:cs="Times New Roman" w:eastAsia="Times New Roman" w:hAnsi="Times New Roman"/>
          <w:sz w:val="18"/>
          <w:szCs w:val="18"/>
          <w:color w:val="auto"/>
        </w:rPr>
      </w:pPr>
    </w:p>
    <w:p>
      <w:pPr>
        <w:jc w:val="both"/>
        <w:ind w:left="660" w:right="20" w:hanging="331"/>
        <w:spacing w:after="0" w:line="26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Worker Safety</w:t>
      </w:r>
      <w:r>
        <w:rPr>
          <w:rFonts w:ascii="Times New Roman" w:cs="Times New Roman" w:eastAsia="Times New Roman" w:hAnsi="Times New Roman"/>
          <w:sz w:val="18"/>
          <w:szCs w:val="18"/>
          <w:color w:val="auto"/>
        </w:rPr>
        <w:t>. The VFU’s working area is 8 feet tall, allowing easy access to both rows of plants within the unit. As the motorized curtains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be lifted on either side, this also allows efficient ergonomics at arm’s length. Similarly, our Interlight LED technology is dimmed or turned-off when the curtains are raised for a more ambient working environment.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Examples of VFU infrastructure versus traditional grows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further illustrate the benefit of going with the VFU infrastructure versus a more traditional indoor cultivation setup with conventional LED lights or conventional HPS lights, we have conducted a comparative analysis internally on an approximately 45,000 square foot facility.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 upfront cost is more for the facility that is outfitted in VFUs, that is quickly offset by the fact that a VFU outfitted facility has the capacity to generate about 4x the amount of estimated annual revenue and over 4x the annual estimated EBITDA. In looking at the numerical values in the model, it becomes even more compelling when comparing the VFU facility to a facility with a traditional grow room. Assuming an initial investment of approximately $27.7 million for the 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VFU facility is far more attractive than either type of traditional facility given the financial upside is significantly higher and is a far more sophisticated way to grow crops.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also modelled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 45,000 square foot facility). However, given the modular and stackable nature of the VFUs, we are able to help the customer achieve the same canopy square footage with 253 VFUs in a facility that is only 20,000 square feet, which is less than half the size of the traditional facility. While canopy square footage is basically identical for all of the different cultivation approaches we looked at in this particular simulation, the VFU setup requires a much smaller and theoretically much less expensive facility, and because the 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Insights SaaS Software Solution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individual VFU sold includes a license for Agrify Insights SaaS Software (“Agrify Insights software”), and a monthly SaaS subscription fee is charged, per VFU. The VFU cannot operate successfully without the use of Agrify Insights software, and we typically charge between $2,400 to $3,600 per VFU sold, per year. On average Agrify Insights SaaS Software license agreement is for a multi-year term, with an annual auto renewal.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Agrify Insights software is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software platform coupled with our VFU system is enabling our customers to transform their businesses and quality of the product they are cultivating.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5874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27875" cy="6587490"/>
                    </a:xfrm>
                    <a:prstGeom prst="rect">
                      <a:avLst/>
                    </a:prstGeom>
                    <a:noFill/>
                  </pic:spPr>
                </pic:pic>
              </a:graphicData>
            </a:graphic>
          </wp:anchor>
        </w:drawing>
        <w:t>The Agrify Insights software is focused around optimizing four key components:</w:t>
      </w:r>
    </w:p>
    <w:p>
      <w:pPr>
        <w:spacing w:after="0" w:line="225" w:lineRule="exact"/>
        <w:rPr>
          <w:sz w:val="20"/>
          <w:szCs w:val="20"/>
          <w:color w:val="auto"/>
        </w:rPr>
      </w:pPr>
    </w:p>
    <w:p>
      <w:pPr>
        <w:ind w:left="660" w:hanging="331"/>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plant level;</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VFU unit level;</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facility level; and</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business level.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these key components are combined, they encompass the cultivation operations of an Agrify customer. By reducing human error and providing insights through data collection and analysis, Agrify Insights software minimizes risk and increases operational efficiencies. Ultimately, our customers are seeking to produce the same consistent end product no matter where they are located.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Plant-Level Optimization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recording over 1.5 million data points per 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VFUs that are set to mimic the climate of different geographies to see where the varieties are suited to grow.</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 Plans” are the templates or recipes that define the parameters for each lifecycle. Grow Plans define the environmental settings (light - photoperiod and intensity/ temperature / humidity / VPD / CO2 / irrigation / fertilization) for each crop variety and cultivator as well as the schedule for completing, as applicable, “plant-hands-on” tasks such as bottoming, pruning, and harvest. Agrify Insights software ships to the customer with many pre-developed Grow Plans and customers can create their own Grow Plans, electing to share them with other customers or not.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Individual VFU Level Optimization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VFU hardware provides cultivation environmental control within the growth chamber. This hardware and its component valves, motors and sensors are directed and controlled by Agrify Insights software.</w:t>
      </w:r>
    </w:p>
    <w:p>
      <w:pPr>
        <w:spacing w:after="0" w:line="158" w:lineRule="exact"/>
        <w:rPr>
          <w:sz w:val="20"/>
          <w:szCs w:val="20"/>
          <w:color w:val="auto"/>
        </w:rPr>
      </w:pPr>
    </w:p>
    <w:p>
      <w:pPr>
        <w:ind w:left="660" w:right="20" w:hanging="331"/>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Monitor and Control Agrify Hardware</w:t>
      </w:r>
      <w:r>
        <w:rPr>
          <w:rFonts w:ascii="Times New Roman" w:cs="Times New Roman" w:eastAsia="Times New Roman" w:hAnsi="Times New Roman"/>
          <w:sz w:val="18"/>
          <w:szCs w:val="18"/>
          <w:color w:val="auto"/>
        </w:rPr>
        <w:t>. Agrify Insights software can either automatically or manually control our hardware. For example,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water-chilled fan coil can keep temperature in a range accurate to 1.5 degrees Fahrenheit.</w:t>
      </w:r>
    </w:p>
    <w:p>
      <w:pPr>
        <w:spacing w:after="0" w:line="154" w:lineRule="exact"/>
        <w:rPr>
          <w:rFonts w:ascii="Times New Roman" w:cs="Times New Roman" w:eastAsia="Times New Roman" w:hAnsi="Times New Roman"/>
          <w:sz w:val="18"/>
          <w:szCs w:val="18"/>
          <w:color w:val="auto"/>
        </w:rPr>
      </w:pPr>
    </w:p>
    <w:p>
      <w:pPr>
        <w:jc w:val="both"/>
        <w:ind w:left="660" w:hanging="331"/>
        <w:spacing w:after="0" w:line="25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Cultivation Environmental Control</w:t>
      </w:r>
      <w:r>
        <w:rPr>
          <w:rFonts w:ascii="Times New Roman" w:cs="Times New Roman" w:eastAsia="Times New Roman" w:hAnsi="Times New Roman"/>
          <w:sz w:val="18"/>
          <w:szCs w:val="18"/>
          <w:color w:val="auto"/>
        </w:rPr>
        <w:t>. Using Agrify Insights software, users can view environmental charts that plot temperature, humidity,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carbon dioxide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1.5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software and why.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038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27875" cy="6038850"/>
                    </a:xfrm>
                    <a:prstGeom prst="rect">
                      <a:avLst/>
                    </a:prstGeom>
                    <a:noFill/>
                  </pic:spPr>
                </pic:pic>
              </a:graphicData>
            </a:graphic>
          </wp:anchor>
        </w:drawing>
        <w:t>Facility Level Optimization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modular VFUs are deployed in scale at a customer’s facility with the smallest commercial operation deployment to date being 63 VFUs. Agrify Insights software is designed to operate these individual VFUs as a combined facility. Agrify Insights software features at the facility level include:</w:t>
      </w:r>
    </w:p>
    <w:p>
      <w:pPr>
        <w:spacing w:after="0" w:line="158" w:lineRule="exact"/>
        <w:rPr>
          <w:sz w:val="20"/>
          <w:szCs w:val="20"/>
          <w:color w:val="auto"/>
        </w:rPr>
      </w:pPr>
    </w:p>
    <w:p>
      <w:pPr>
        <w:jc w:val="both"/>
        <w:ind w:left="660" w:hanging="331"/>
        <w:spacing w:after="0" w:line="26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Production Planning</w:t>
      </w:r>
      <w:r>
        <w:rPr>
          <w:rFonts w:ascii="Times New Roman" w:cs="Times New Roman" w:eastAsia="Times New Roman" w:hAnsi="Times New Roman"/>
          <w:sz w:val="18"/>
          <w:szCs w:val="18"/>
          <w:color w:val="auto"/>
        </w:rPr>
        <w:t>. The production planning feature is designed to maximize a facility’s utilization by executing a “best-fit” scheduling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176"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Workforce Management</w:t>
      </w:r>
      <w:r>
        <w:rPr>
          <w:rFonts w:ascii="Times New Roman" w:cs="Times New Roman" w:eastAsia="Times New Roman" w:hAnsi="Times New Roman"/>
          <w:sz w:val="18"/>
          <w:szCs w:val="18"/>
          <w:color w:val="auto"/>
        </w:rPr>
        <w:t>. Agrify Insights software includes a workforce planning feature to assign tasks to staff. These tasks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automatically assigned based on user role or their knowledge, skills, and abilities. The calendar displays the estimated amount of time required to complete plant-touching tasks on any given day.</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Automatic Notification System</w:t>
      </w:r>
      <w:r>
        <w:rPr>
          <w:rFonts w:ascii="Times New Roman" w:cs="Times New Roman" w:eastAsia="Times New Roman" w:hAnsi="Times New Roman"/>
          <w:sz w:val="18"/>
          <w:szCs w:val="18"/>
          <w:color w:val="auto"/>
        </w:rPr>
        <w:t>. Users can select to subscribe to anomalous events, and users are notified in the order in which they are listed.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 user does not acknowledge the notification within the specified time frame, the next user in the list is notified, providing the business with 24/7 monitoring and notifications.</w:t>
      </w:r>
    </w:p>
    <w:p>
      <w:pPr>
        <w:spacing w:after="0" w:line="170" w:lineRule="exact"/>
        <w:rPr>
          <w:rFonts w:ascii="Times New Roman" w:cs="Times New Roman" w:eastAsia="Times New Roman" w:hAnsi="Times New Roman"/>
          <w:sz w:val="18"/>
          <w:szCs w:val="18"/>
          <w:color w:val="auto"/>
        </w:rPr>
      </w:pPr>
    </w:p>
    <w:p>
      <w:pPr>
        <w:ind w:left="660" w:hanging="331"/>
        <w:spacing w:after="0" w:line="28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Preventative Maintenance</w:t>
      </w:r>
      <w:r>
        <w:rPr>
          <w:rFonts w:ascii="Times New Roman" w:cs="Times New Roman" w:eastAsia="Times New Roman" w:hAnsi="Times New Roman"/>
          <w:sz w:val="18"/>
          <w:szCs w:val="18"/>
          <w:color w:val="auto"/>
        </w:rPr>
        <w:t>. Our equipment and facility preventative maintenance schedules and related tasks are contained, tracked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monitored within Agrify Insights software.</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Facility Infrastructure Controls</w:t>
      </w:r>
      <w:r>
        <w:rPr>
          <w:rFonts w:ascii="Times New Roman" w:cs="Times New Roman" w:eastAsia="Times New Roman" w:hAnsi="Times New Roman"/>
          <w:sz w:val="18"/>
          <w:szCs w:val="18"/>
          <w:color w:val="auto"/>
        </w:rPr>
        <w:t>. Agrify Insights software controls the irrigation on a facility level as well as connects with the water chilled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HVAC system and ambient lighting system, providing our customers a central piece of software for facility management.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Optimization at the Business Level</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Agrify Insights software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58" w:lineRule="exact"/>
        <w:rPr>
          <w:sz w:val="20"/>
          <w:szCs w:val="20"/>
          <w:color w:val="auto"/>
        </w:rPr>
      </w:pPr>
    </w:p>
    <w:p>
      <w:pPr>
        <w:jc w:val="both"/>
        <w:ind w:left="660" w:hanging="331"/>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Consumables Procurement Integration</w:t>
      </w:r>
      <w:r>
        <w:rPr>
          <w:rFonts w:ascii="Times New Roman" w:cs="Times New Roman" w:eastAsia="Times New Roman" w:hAnsi="Times New Roman"/>
          <w:sz w:val="18"/>
          <w:szCs w:val="18"/>
          <w:color w:val="auto"/>
        </w:rPr>
        <w:t>. Each task can also be assigned a set of consumables whose inventory will be reduced when the task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started. This feature can help customers manage supply levels and can automatically create purchase orders so that they never run out of required supplies.</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Online Standard Operating Procedures (“SOPs’’) and Safety Datasheets</w:t>
      </w:r>
      <w:r>
        <w:rPr>
          <w:rFonts w:ascii="Times New Roman" w:cs="Times New Roman" w:eastAsia="Times New Roman" w:hAnsi="Times New Roman"/>
          <w:sz w:val="18"/>
          <w:szCs w:val="18"/>
          <w:color w:val="auto"/>
        </w:rPr>
        <w:t>. Agrify Insights software hosts digital copies of our included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Operating Procedures and datasheets, or users can upload their own via our content management system, ensuring that the most recent version of SOPs and forms are available to users.</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Roles-Based Dashboards</w:t>
      </w:r>
      <w:r>
        <w:rPr>
          <w:rFonts w:ascii="Times New Roman" w:cs="Times New Roman" w:eastAsia="Times New Roman" w:hAnsi="Times New Roman"/>
          <w:sz w:val="18"/>
          <w:szCs w:val="18"/>
          <w:color w:val="auto"/>
        </w:rPr>
        <w:t>. Ability to obtain access to information specifically suited to your workforce’s various needs. Facility owners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4" w:right="459" w:bottom="1440" w:gutter="0" w:footer="0" w:header="0"/>
        </w:sectPr>
      </w:pPr>
    </w:p>
    <w:bookmarkStart w:id="23" w:name="page24"/>
    <w:bookmarkEnd w:id="23"/>
    <w:p>
      <w:pPr>
        <w:jc w:val="both"/>
        <w:ind w:left="660" w:right="20" w:hanging="331"/>
        <w:spacing w:after="0" w:line="26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5874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27875" cy="6587490"/>
                    </a:xfrm>
                    <a:prstGeom prst="rect">
                      <a:avLst/>
                    </a:prstGeom>
                    <a:noFill/>
                  </pic:spPr>
                </pic:pic>
              </a:graphicData>
            </a:graphic>
          </wp:anchor>
        </w:drawing>
        <w:t>Data Collection</w:t>
      </w:r>
      <w:r>
        <w:rPr>
          <w:rFonts w:ascii="Times New Roman" w:cs="Times New Roman" w:eastAsia="Times New Roman" w:hAnsi="Times New Roman"/>
          <w:sz w:val="18"/>
          <w:szCs w:val="18"/>
          <w:color w:val="auto"/>
        </w:rPr>
        <w:t>. Agrify Insights software is a centralized repository for all data relating to the cultivation aspects of our clients’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research and development testing data, and the ability to capture and compare test results. By doing so, Agrify Insights software becomes a customers’ cultivation statement of record.</w:t>
      </w:r>
    </w:p>
    <w:p>
      <w:pPr>
        <w:spacing w:after="0" w:line="170" w:lineRule="exact"/>
        <w:rPr>
          <w:rFonts w:ascii="Times New Roman" w:cs="Times New Roman" w:eastAsia="Times New Roman" w:hAnsi="Times New Roman"/>
          <w:sz w:val="18"/>
          <w:szCs w:val="18"/>
          <w:color w:val="auto"/>
        </w:rPr>
      </w:pPr>
    </w:p>
    <w:p>
      <w:pPr>
        <w:jc w:val="both"/>
        <w:ind w:left="660" w:right="20" w:hanging="331"/>
        <w:spacing w:after="0" w:line="26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Simulator / What If Scenarios</w:t>
      </w:r>
      <w:r>
        <w:rPr>
          <w:rFonts w:ascii="Times New Roman" w:cs="Times New Roman" w:eastAsia="Times New Roman" w:hAnsi="Times New Roman"/>
          <w:sz w:val="18"/>
          <w:szCs w:val="18"/>
          <w:color w:val="auto"/>
        </w:rPr>
        <w:t>. Our operating expenses (“OpEx”) calculator enables users to evaluate impacts to profitability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changing hundreds of attributes including, but not limited to, changes to costs in labor, electric, water, CO2, and growing media as well as potential volatility in yields and pricing.</w:t>
      </w:r>
    </w:p>
    <w:p>
      <w:pPr>
        <w:spacing w:after="0" w:line="170"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Reporting Integration. </w:t>
      </w:r>
      <w:r>
        <w:rPr>
          <w:rFonts w:ascii="Times New Roman" w:cs="Times New Roman" w:eastAsia="Times New Roman" w:hAnsi="Times New Roman"/>
          <w:sz w:val="18"/>
          <w:szCs w:val="18"/>
          <w:color w:val="auto"/>
        </w:rPr>
        <w:t>We have integrated our software with Metrc, a leading seed-to-harvest compliance management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tracking solution, which will enable our customers to handle most regulatory reporting directly through Agrify Insights software.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Extraction Solutions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do not extract, come in contact with, distribute, process, or dispense cannabis or hemp or any cannabis or hemp derivatives that are currently prohibited under United States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Cannabis represents a potential cornucopia of medicinal and pharmaceutical advancement. Cannabis produces over 550 different phytochemicals, over 120 of which are cannabinoids like tetrahydrocannabinol (“THC”) and cannabidiol (“CBD”).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October 2021, we have been strategically focused on establishing ourselves as a global leader in the cannabis and hemp extraction equipment industry, complementing our cutting-edge cannabis and hemp cultivation solutions. Over a 5-month period, we acquired four of the top brand names in the industry:</w:t>
      </w:r>
    </w:p>
    <w:p>
      <w:pPr>
        <w:spacing w:after="0" w:line="172" w:lineRule="exact"/>
        <w:rPr>
          <w:sz w:val="20"/>
          <w:szCs w:val="20"/>
          <w:color w:val="auto"/>
        </w:rPr>
      </w:pPr>
    </w:p>
    <w:p>
      <w:pPr>
        <w:ind w:left="660" w:hanging="331"/>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Mass2Media, LLC, d/b/a PX2 Holdings, LLC, d/b/a Precision Extraction Solutions (“Precision”) - </w:t>
      </w:r>
      <w:r>
        <w:rPr>
          <w:rFonts w:ascii="Times New Roman" w:cs="Times New Roman" w:eastAsia="Times New Roman" w:hAnsi="Times New Roman"/>
          <w:sz w:val="18"/>
          <w:szCs w:val="18"/>
          <w:color w:val="auto"/>
        </w:rPr>
        <w:t>Market leader in developing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producing high-quality hydrocarbon extraction solutions was acquired by Agrify on October 1, 2021.</w:t>
      </w:r>
    </w:p>
    <w:p>
      <w:pPr>
        <w:spacing w:after="0" w:line="154" w:lineRule="exact"/>
        <w:rPr>
          <w:rFonts w:ascii="Times New Roman" w:cs="Times New Roman" w:eastAsia="Times New Roman" w:hAnsi="Times New Roman"/>
          <w:sz w:val="18"/>
          <w:szCs w:val="18"/>
          <w:color w:val="auto"/>
        </w:rPr>
      </w:pPr>
    </w:p>
    <w:p>
      <w:pPr>
        <w:ind w:left="660" w:hanging="331"/>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Cascade Sciences, LLC (“Cascade”)- </w:t>
      </w:r>
      <w:r>
        <w:rPr>
          <w:rFonts w:ascii="Times New Roman" w:cs="Times New Roman" w:eastAsia="Times New Roman" w:hAnsi="Times New Roman"/>
          <w:sz w:val="18"/>
          <w:szCs w:val="18"/>
          <w:color w:val="auto"/>
        </w:rPr>
        <w:t>Market leader in developing and producing high-quality vacuum purge ovens and decarboxylation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ovens was acquired by Agrify on October 1, 2021.</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PurePressure, LLC (“PurePressure”) - </w:t>
      </w:r>
      <w:r>
        <w:rPr>
          <w:rFonts w:ascii="Times New Roman" w:cs="Times New Roman" w:eastAsia="Times New Roman" w:hAnsi="Times New Roman"/>
          <w:sz w:val="18"/>
          <w:szCs w:val="18"/>
          <w:color w:val="auto"/>
        </w:rPr>
        <w:t>Market leader in developing and producing high-quality solventless extraction solutions was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Agrify on December 31, 2021.</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LS Holdings Corp. (“Lab Society”) - </w:t>
      </w:r>
      <w:r>
        <w:rPr>
          <w:rFonts w:ascii="Times New Roman" w:cs="Times New Roman" w:eastAsia="Times New Roman" w:hAnsi="Times New Roman"/>
          <w:sz w:val="18"/>
          <w:szCs w:val="18"/>
          <w:color w:val="auto"/>
        </w:rPr>
        <w:t>Market leader in developing and producing high-quality distillation and solvent separation extraction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was acquired by Agrify on February 1, 2022.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Combined, the four acquisitions listed above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industry. The extraction, post-processing and testing services are complementary and highly attractive areas of the supply chain.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7246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127875" cy="6724650"/>
                    </a:xfrm>
                    <a:prstGeom prst="rect">
                      <a:avLst/>
                    </a:prstGeom>
                    <a:noFill/>
                  </pic:spPr>
                </pic:pic>
              </a:graphicData>
            </a:graphic>
          </wp:anchor>
        </w:drawing>
        <w:t>Our extraction division now offers cutting-edge technologies and end-to-end service solutions. Solutions from the extraction division include equipment, technology, facility and lab design,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acquisitions have greatly expanded our product and service offerings in the post-harvest segment of the supply chain, and believe we are positioning the Company as the most vertically integrated total solutions provider for our cannabis and hemp customers. The global cannabis extraction market is expected to potentially grow to $24 billion by 2028, and as the cannabis industry continues to experience rapid growth globally, we expect the sales of our extraction solutions to follow a similar growth trajectory.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Design &amp; Building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Agrify provides fully integrated architectural, engineering, and project management oversight of qualified General Contractors for its customers commercial cannabis facilities buildouts. Each custom commercial cannabis facility is specifically designed to maximize the production output of Agrify’s proprietary VFU’s and cannabis extraction product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76 Treble Cove Road, Building 3, Unit 3, Billerica, MA 01862, and our telephone number is (617) 896-5243. Our website address is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xml:space="preserve"> Our website and the information contained in, or accessible through, our website will not be deemed to be incorporated by reference into this prospectus and does not constitute part of this prospectus. You should not rely on any such information in making your decision whether to purchase our securities.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highlight w:val="white"/>
        </w:rPr>
        <w:t>We have nine wholly-owned subsidiaries, AGM Service Corp LLC (formerly AGM Service Corp Inc.), TriGrow Systems, LLC (“TriGrow”, which acted as our exclusive distributor and which was acquired in January 2020 as TriGrow Systems, Inc. and converted to TriGrow Systems, LLC in May 2020), Harbor Mountain Holdings, LLC (“HMH”, which assembled and produced many of our products and which was acquired in July 2020), Ariafy Finance, LLC, Agxiom, LLC, Cascade Sciences, LLC, Precision Extraction NewCo, LLC, PurePressure LLC and Lab Society NewCo, LLC. We also own 50% of Teejan Podponics International LLC (“TPI”) since December 2018; 60% of Agrify-Valiant, LLC, formed in December 2019; and 75% of Agrify Brands, LLC (formerly TriGrow Brands, LLC, which was acquired as part of the January 2020 acquisition of TriGrow).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shares of our common stock from time to time. Holders of our common stock are entitled to one vote for each share held of record on all matters submitted to a vote of shareholders. Holders of our common stock have no preemptive, conversion or subscription rights, and there are no redemption or sinking fund provisions applicable to our common stock.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shares of our preferred stock from time to time, in one or more series. Under our Charter, our Board has the authority to issue, without further action by our stockholders, up to 3,000,000 shares of preferred stock, none of which are currently issued and outstanding. The Board has the authority to issue shares of preferred stock in one or more series and to fix the designations, powers, preferences and the rights of the shares of each series and any qualification, limitations and restrictions thereon, any or all of which may be greater than the rights of our common stock.</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450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127875" cy="6450330"/>
                    </a:xfrm>
                    <a:prstGeom prst="rect">
                      <a:avLst/>
                    </a:prstGeom>
                    <a:noFill/>
                  </pic:spPr>
                </pic:pic>
              </a:graphicData>
            </a:graphic>
          </wp:anchor>
        </w:drawing>
        <w:t>If we issue preferred stock, we will fix the designations, powers, preferences and the rights, and any qualification, limitations and restrictions of the shares of each series that we sell under this prospectus and applicable prospectus supplements in the certificate of designations relating to that series. If we issue preferred stock, we will incorporate by reference into the registration statement of which this prospectus is a part the form of any certificate of designations that describes the terms of such series of preferred stock before the issuance thereof. We urge you to read any prospectus supplement related to any series of preferred stock we may offer, as well as the complete certificate of designations that contains the terms of the applicable series of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warrants for the purchase of common stock, preferred stock, debt securities and/or units (as described below) in one or more series, from time to time. We may issue warrants independently or together with common stock and/or preferred stock, and the warrants may be attached to or separate from those securities.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issue warrants, they will be evidenced by warrant agreements or warrant certificates issued under one or more warrant agreements, which are contracts between us and an agent for the holders of the warrants. We urge you to read any prospectus supplement related to any series of warrants we may offer, as well as the complete warrant agreement and warrant certificate that contain the terms of the warrants. If we issue warrants, forms of warrant agreements and warrant certificates relating to such warrants will be incorporated by reference into the registration statement of which this prospectus is a part from other filings we would make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below under the heading “The Securities We May Offer,” we may issue debt securities from time to time, in one or more series, as either senior or subordinated debt or as senior or subordinated convertible debt. Unless we give you different information in the applicable prospectus supplement, (i) the debt securities will be unsecured, (ii) the senior debt securities will be unsubordinated obligations and will rank equally with all of our other unsecured and unsubordinated indebtedness, and (iii) the subordinated debt securities will be subordinate and junior in right of payment, to the extent and in the manner described in the instrument governing the debt, to all or some portion of our indebtedness. Any convertible debt securities that we issue will be convertible into or exchangeable for our common stock or other securities of ours. Conversion may be mandatory or at your option and would be at prescribed conversion rates.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issue debt securities, they will be issued under one or more documents called indentures, which are contracts between us and a trustee for the holders of the debt securities. We urge you to read any prospectus supplement related to the series of debt securities being offered, as well as the complete indenture that contains the terms of the debt securities. If we issue debt securities, indentures and forms of debt securities containing the terms of such debt securities will be incorporated by reference into the registration statement of which this prospectus is a part from other filings we would make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units comprised of shares of common stock, shares of preferred stock, warrants and debt securities in any combination. We may issue units in such amounts and in as many distinct series as we wish.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issue units, they will be issued under one or more unit agreements to be entered into between us and a bank or other financial institution, as unit agent.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into the registration statement of which this prospectus is a part from other filings we would make with the SEC.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described herein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herein and in the documents incorporated herein by reference, including (i) our Annual Report on Form 10-K for the fiscal year ended December 31, 2021, which was filed with the SEC on March 31, 2022 and is incorporated herein by reference and (ii) other documents we file with the SEC that are deemed incorporated by reference into this prospectus.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contains, and the documents incorporated herein by reference contain, forward-looking statements and information relating to Agrify Corporation.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8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cannot guarantee that we will receive any proceeds in connection with this offering because we may be unable or choose not to issue and sell any securities covered by this prospectus.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provided in a supplement or amendment to this prospectus, we intend to use any net proceeds from this offering, together with other available funds, for working capital and for other general corporate purposes.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Pending use of the proceeds as described above, we intend to invest the net proceeds of this offering in short-term, interest-bearing, investment-grade securities or certificates of deposit.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We may find it necessary or advisable to use the net proceeds for other purposes, and we will have broad discretion in the application of the net proceeds and investors will be relying on the judgment of our management regarding the application of the net proceeds from this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our historical and anticipated future growth and our financial needs, we may engage in additional financings of a character and amount that we determine as the need arises. We may raise additional capital through additional public or private financings, the incurrence of debt and other available sources. Please see the discussion of the risks associated with our liquidity in the section “Risk Factors.”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FIXED CHARGES AND PREFERENCE DIVIDENDS TO EARNINGS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ratio of combined fixed charges and preference dividends to earnings for each of the five most recently completed fiscal years and any required interim periods will each be specified in a prospectus supplement or in a document that we file with the SEC and incorporate by reference pertaining to the issuance, if any, by us of preference securities in the future.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our current or future financing instruments.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being offered may be sold in one or more transactions at fixed prices, at prevailing market prices at the time of sale, at prices related to the prevailing market prices, at varying prices determined at the time of sale, or at negotiated prices. These sales may be effected at various times in one or more of the following transactions, or in other kinds of transactions:</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for resale to the public or investors;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the Nasdaq Capital Market or on any national securities exchange or U.S. inter-dealer system of a registered national securities association on which our common stock may be listed or quoted at the time of sale;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 and transactions otherwise than on these exchanges or systems or 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short sales of the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 and other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whether the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writing of non-traded and exchange-traded call options, in hedge transactions and in settlement of other transactions in standardized or over-the-counter options;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transactions;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our securities directly to one or more purchasers, or to or through underwriters, dealers or agents or through a combination of those methods.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prospectus supplement will set forth the terms of each offering, including:</w:t>
      </w:r>
    </w:p>
    <w:p>
      <w:pPr>
        <w:spacing w:after="0" w:line="20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agents, dealers, underwriters or investors who purchase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being offered and the proceeds we will receive from the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compensation, discounts, commissions or fees to be received by the underwriters, dealer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such securities may be listed;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indemnification provisions, including indemnification from liabilities under the federal securities laws;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transaction by an underwriter, dealer or agent during the offering that is intended to stabilize or maintain the market price of the securities.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any “at the market” offerings, unless we inform you otherwise in the prospectus supplement, the sales agent with respect to any such at-the-market offering will make all sales using commercially reasonable efforts consistent with its normal trading and sales practices and applicable laws, rules and regulations, on mutually agreeable terms between the sales agent and us. We will include in the prospectus supplement the amount of any compensation to be received by the sales agent.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securities covered by this prospectus that qualify for sale pursuant to Regulation S may be sold pursuant to Regulation S rather than pursuant to this prospectus.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sale of our securities, underwriters may receive compensation from us or from purchasers of our securities in the form of discounts, concessions or commissions. Underwriters, dealers and agents that participate in the distribution of our securities may be deemed to be underwriters. Discounts or commissions they receive and any profit on their resale of our securities may be considered underwriting discounts and commissions under the Securities Act.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or FINRA, the maximum consideration or discount to be received by any FINRA member or independent broker dealer may not exceed eight percent (8.0%) of the aggregate amount of the securities offered to this prospectus.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agree to indemnify underwriters, dealers and agents who participate in the distribution of our securities against various liabilities, including liabilities under the Securities Act. We may also agree to contribute to payments that the underwriters, dealers or agents may be required to make in respect of these liabilities. We may authorize dealers or other persons who act as our agents to solicit offers by various institutions to purchase our securities from us under contracts that provide for payment and delivery on a future date. We may enter into these contracts with commercial and savings banks, insurance companies, pension funds, investment companies, educational and charitable institutions and others. If we enter into these agreements concerning any series of our securities, we will indicate that in the prospectus supplement or amendment.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 offering of our securities, underwriters may engage in transactions that stabilize, maintain or otherwise affect the price of our securities. Specifically, underwriters may over-allot in connection with the offering, creating a syndicate short position in our securities for their own account. In addition, underwriters may bid for, and purchase, our securities in the open market to cover short positions or to stabilize the price of our securities. Finally, underwriters may reclaim selling concessions allowed for distributing our securities in the offering if the underwriters repurchase previously distributed securities in transactions to cover short positions, in stabilization transactions or otherwise. Any of these activities may stabilize or maintain the market price of our securities above independent market levels. Underwriters are not required to engage in any of these activities and may end any of these activities at any time. Agents and underwriters may engage in transactions with, or perform services for, us and our affiliates in the ordinary course of business.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the applicable prospectus supplements, summarize all the material terms and provisions of the various types of securities that we may offer. We will describe in the applicable prospectus supplement the particular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United States federal income tax considerations relating to the securities and the securities exchange, if any, on which the securities will be listed.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amended and restated certificate of incorporation and our bylaws, which are exhibits to the registration statement of which this prospectus forms a part, and by applicable law. The terms of our common stock and preferred stock may also be affected by Nevada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of incorporation authorizes the issuance of up to 50,000,000 shares of Common Stock, par value $0.001 per share, and 3,000,000 shares of preferred stock, par value $0.001 per share. The following description summarizes some of the terms of our certificate of incorporation and bylaws, but does not purport to be complete and is qualified in its entirety by the provisions of our certificate of incorporation and bylaws, copies of which have been filed as exhibits to the registration statement of which this prospectus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there were 26,591,438 shares of Common Stock outstanding, warrants outstanding to purchase 10,111,798 shares of our Common Stock and 3,296,647 shares of Common Stock subject to outstanding options.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 and By-laws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Nevada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 business combination provisions do not apply to a person after the expiration of four years after the person first became an interested stockholder.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Broadridge Corporate Issuer Solutions, Inc., 51 Mercedes Way, Edgewood, New York 11717.</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“AGFY.”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authorized to issue up to 3,000,000 shares of preferred stock in one or more series without shareholder approval. Our Board may determine the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in one or more series and determine the number of shares in the series and its rights and preferences is to eliminate delays associated with a shareholder vote on specific issuances. Examples of rights and preferences that the Board may fix are:</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preferred stock may enable our Board to render more difficult or to discourage an attempt to obtain control of us by means of a merger, tender offer, proxy contest or otherwise. For example, if in the due exercise of its fiduciary obligations, our Board were to determine that a takeover proposal is not in the best interests of us or our stockholders, our Board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designations that describes the terms of the series of preferred stock we are offering. This description and the applicable prospectus supplement will include:</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have, or be subject to, any preemptive or similar rights.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may enter into a warrant agency agreement with a warrant agent, in which case we will indicate the name and address of the warrant agent in the applicable prospectus supplement relating to a particular series of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225"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any premium or interest on, the debt securities purchasable upon exercise or to enforce covenants in the applicable indenture;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any dividends or payments upon our liquidation, dissolution or winding up or to exercise any voting rights.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5:00 P.M. New York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representing the warrants to be exercised together with specified information, and paying the required amount to either us or the warrant agent, as applicable, in immediately available funds, as provided in the applicable prospectus supplement. We will set forth on the reverse side of the warrant certificate and in the applicable prospectus supplement the information that the holder of the warrant will be required to deliver to us or the warrant agent, as applicable, upon exercise.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our office,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Rights By Holders of Warrants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Any warrant agent will act solely as our agent under the applicable warrant agreement and will not assume any obligation or relationship of agency or trust with any holder of any warrant. A single bank or trust company may act as warrant agent for more than one issue or series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offer senior or subordinated debt securities. Each series of debt securities may have different terms. The senior debt securities will be issued under one or more senior indentures, dated as of a date prior to such issuance, between us and the trustee identified in the applicable prospectus supplement, as amended or supplemented from time to time. We will refer to any such indenture throughout this prospectus as the “senior indenture.” Any subordinated debt securities will be issued under one or more separate indentures, dated as of a date prior to such issuance, between us and the trustee identified in the applicable prospectus supplement,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collectively referred to in this prospectus as the “indentures.” The indentures will be subject to and governed by the Trust Indenture Act of 1939, as amended, or the Trust Indenture Act. We included copies of the forms of the indentures as exhibits to our registration statement and they are incorporated into this prospectus by reference.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issued by us under the indentures.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indentures:</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“Description of Debt Securities—Subordination” and in the applicable prospectus supplement.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or subordinated;</w:t>
      </w:r>
    </w:p>
    <w:p>
      <w:pPr>
        <w:spacing w:after="0" w:line="225"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39"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Agrify or the method by which any such portion shall be determined;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328" w:hanging="328"/>
        <w:spacing w:after="0" w:line="282"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Agrify received on conversion;</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on which the principal of the debt securities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or variable interest rate or rates of the debt securities, or the method by which the interest rate or rates is determined;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from which interest will accrue;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interest payment dates, or the method by which such dates will be determine;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to whom interest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interest will be calculated if other than that of a 360-day year of twelve 30-day months;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or make-whole amount, and interest on, the debt securities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debt securities may be surrendered for registration of transfer or conversion or exchange;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notices or demands to or upon us in respect of the debt securities and the applicable indenture may be served;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times, prices and other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38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40" w:name="page41"/>
    <w:bookmarkEnd w:id="40"/>
    <w:p>
      <w:pPr>
        <w:ind w:left="328" w:right="20"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depositary for securities in registered form, if such series are to be issuable as a global security;</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debt securities in bearer form or in temporary global form shall be dated if other than the original issuance date of the first security of the series to be issued;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described in this prospectus or in the applicable indenture;</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debt securities being offered are convertible into common stock or other securities of Agrify, as the case may be, including the conversion price or rate and the manner or calculation thereof;</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of securities upon the occurrence of such events as specified in the applicable prospectus supplement;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CUSIP numbers; and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debt securities not inconsistent with the provisions of the applicable indenture.</w:t>
      </w:r>
    </w:p>
    <w:p>
      <w:pPr>
        <w:spacing w:after="0" w:line="200" w:lineRule="exact"/>
        <w:rPr>
          <w:sz w:val="20"/>
          <w:szCs w:val="20"/>
          <w:color w:val="auto"/>
        </w:rPr>
      </w:pPr>
    </w:p>
    <w:p>
      <w:pPr>
        <w:spacing w:after="0" w:line="2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Nevada Revised Statutes nor our governing instruments define the term “substantially all” as it relates to the sale of assets. Consequently, to determine whether a sale of “substantially all” of our assets has occurred, a holder of debt securities must review the financial and other information that we have disclosed to the public.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Denomination, Interest, Registration and Transfer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the debt securities of any series will be issuable in denominations of $1,000 and integral multiples of $1,000.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62" w:lineRule="exact"/>
        <w:rPr>
          <w:sz w:val="20"/>
          <w:szCs w:val="20"/>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them for registration of transfer or exchange at the corporate trust office of the applicable trustee or at the office of any transfer agent that we designate for such purpose.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spacing w:after="0" w:line="255" w:lineRule="auto"/>
        <w:rPr>
          <w:sz w:val="20"/>
          <w:szCs w:val="20"/>
          <w:color w:val="auto"/>
        </w:rPr>
      </w:pPr>
      <w:r>
        <w:rPr>
          <w:rFonts w:ascii="Times New Roman" w:cs="Times New Roman" w:eastAsia="Times New Roman" w:hAnsi="Times New Roman"/>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we, nor any trustee, will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Existence</w:t>
      </w:r>
      <w:r>
        <w:rPr>
          <w:rFonts w:ascii="Times New Roman" w:cs="Times New Roman" w:eastAsia="Times New Roman" w:hAnsi="Times New Roman"/>
          <w:sz w:val="18"/>
          <w:szCs w:val="18"/>
          <w:color w:val="auto"/>
        </w:rPr>
        <w:t>. Except as described under “—Merger, Consolidation or Sale of Assets,” the indentures require us to do or cause to be done all things necessary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Payment of taxes and other claims</w:t>
      </w:r>
      <w:r>
        <w:rPr>
          <w:rFonts w:ascii="Times New Roman" w:cs="Times New Roman" w:eastAsia="Times New Roman" w:hAnsi="Times New Roman"/>
          <w:sz w:val="18"/>
          <w:szCs w:val="18"/>
          <w:color w:val="auto"/>
        </w:rPr>
        <w:t>. The indentures require us to pay, discharge or cause to be paid or discharged, before they become delinquent (i)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assessments and governmental charges levied or imposed on us, our subsidiaries or our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Provision of financial information</w:t>
      </w:r>
      <w:r>
        <w:rPr>
          <w:rFonts w:ascii="Times New Roman" w:cs="Times New Roman" w:eastAsia="Times New Roman" w:hAnsi="Times New Roman"/>
          <w:sz w:val="18"/>
          <w:szCs w:val="18"/>
          <w:color w:val="auto"/>
        </w:rPr>
        <w:t>. The indentures require us to (i) within 15 days of each of the respective dates by which we are required to file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Additional covenants</w:t>
      </w:r>
      <w:r>
        <w:rPr>
          <w:rFonts w:ascii="Times New Roman" w:cs="Times New Roman" w:eastAsia="Times New Roman" w:hAnsi="Times New Roman"/>
          <w:sz w:val="18"/>
          <w:szCs w:val="18"/>
          <w:color w:val="auto"/>
        </w:rPr>
        <w:t>. The applicable prospectus supplement will set forth any additional covenants of Agrify relating to any series of debt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Notice and Waiver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16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30 days;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or make-whole amount on, any debt security of such series for five business days at its stated maturity;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making any sinking fund payment as required for any debt security of such series for five business days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any bond, debenture, note, mortgage, indenture or instrument: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an aggregate principal amount of at least $30,000,000;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which there may be issued, secured or evidenced any existing or later created indebtedness for money borrowed by us or our subsidiaries, if we are directly responsible or liable as obligor or guarantor,</w:t>
      </w:r>
    </w:p>
    <w:p>
      <w:pPr>
        <w:spacing w:after="0" w:line="162" w:lineRule="exact"/>
        <w:rPr>
          <w:sz w:val="20"/>
          <w:szCs w:val="20"/>
          <w:color w:val="auto"/>
        </w:rPr>
      </w:pPr>
    </w:p>
    <w:p>
      <w:pPr>
        <w:jc w:val="both"/>
        <w:ind w:left="720"/>
        <w:spacing w:after="0" w:line="258" w:lineRule="auto"/>
        <w:rPr>
          <w:sz w:val="20"/>
          <w:szCs w:val="20"/>
          <w:color w:val="auto"/>
        </w:rPr>
      </w:pPr>
      <w:r>
        <w:rPr>
          <w:rFonts w:ascii="Times New Roman" w:cs="Times New Roman" w:eastAsia="Times New Roman" w:hAnsi="Times New Roman"/>
          <w:sz w:val="18"/>
          <w:szCs w:val="18"/>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83" w:lineRule="exact"/>
        <w:rPr>
          <w:sz w:val="20"/>
          <w:szCs w:val="20"/>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reorganization, or court appointment of a receiver, liquidator or trustee of Agrify or any significant subsidiary of Agrify;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When we use the term “significant subsidiary,” we refer to the meaning ascribed to such term in Rule 1-02 of Regulation S-X promulgated under the Securities Act.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4" w:name="page45"/>
    <w:bookmarkEnd w:id="44"/>
    <w:p>
      <w:pPr>
        <w:jc w:val="both"/>
        <w:spacing w:after="0" w:line="255" w:lineRule="auto"/>
        <w:rPr>
          <w:sz w:val="20"/>
          <w:szCs w:val="20"/>
          <w:color w:val="auto"/>
        </w:rPr>
      </w:pPr>
      <w:r>
        <w:rPr>
          <w:rFonts w:ascii="Times New Roman" w:cs="Times New Roman" w:eastAsia="Times New Roman" w:hAnsi="Times New Roman"/>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89" w:lineRule="exact"/>
        <w:rPr>
          <w:sz w:val="20"/>
          <w:szCs w:val="20"/>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or a specified portion thereof, and any premium or make-whole amount, have been cured or waived.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17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any premium or make-whole amount, or interest;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8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the Indentures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provide that modifications and amendments may be made only with the consent of the affected holders of at least a majority in principal amount of all outstanding debt securities issued under that indenture. However, no such modification or amendment may, without the consent of the holders of the debt securities affected by the modification or amendment:</w:t>
      </w:r>
    </w:p>
    <w:p>
      <w:pPr>
        <w:spacing w:after="0" w:line="176" w:lineRule="exact"/>
        <w:rPr>
          <w:sz w:val="20"/>
          <w:szCs w:val="20"/>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premium or make-whole amount on, or any installment of principal of or interest on, any such debt security;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the rate or amount of interest on, or any premium or make-whole amount payable on redemption of, any such debt security;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coin or currency for payment of principal of, or any premium or make-whole amount, or interest on, any such debt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such debt security;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and our respective trustee may make modifications and amendments of an indenture without the consent of any holder of debt securities for any of the following purposes:</w:t>
      </w:r>
    </w:p>
    <w:p>
      <w:pPr>
        <w:spacing w:after="0" w:line="162"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as obligor under such indenture;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all or any series of debt securities or to surrender any right or power conferred upon us in such indenture;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all or any series of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certificated form, provided that such action shall not adversely affect the interests of the holders of the debt securities of any series in any material respect;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debt securities of any series;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or facilitate the administration of the trusts under an indenture by more than one trustee;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76" w:lineRule="exact"/>
        <w:rPr>
          <w:sz w:val="20"/>
          <w:szCs w:val="20"/>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owned by us or any other obligor upon the debt securities or by any affiliate of ours or of such other obligor shall be disregarded.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80"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minimum quorum requirement for such meeting;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provided in the applicable prospectus supplement, subordinated debt securities will be subject to the following subordination provisions.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Agrify and its subsidiaries. As a result of these subordination provisions, in the event of a distribution of assets upon insolvency, holders of subordinated debt securities may recover less, ratably, than our general creditors.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Discharge, Defeasance and Covenant Defeasance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162" w:lineRule="exact"/>
        <w:rPr>
          <w:sz w:val="20"/>
          <w:szCs w:val="20"/>
          <w:color w:val="auto"/>
        </w:rPr>
      </w:pPr>
    </w:p>
    <w:p>
      <w:pPr>
        <w:jc w:val="both"/>
        <w:ind w:left="660" w:hanging="328"/>
        <w:spacing w:after="0" w:line="255"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stating the conditions to discharging the debt securities have been satisfied has been delivered to the trustee.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87"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obligations with respect to such debt securities;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we use the term “government obligations,” we mean securities that are:</w:t>
      </w:r>
    </w:p>
    <w:p>
      <w:pPr>
        <w:spacing w:after="0" w:line="225" w:lineRule="exact"/>
        <w:rPr>
          <w:sz w:val="20"/>
          <w:szCs w:val="20"/>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we use the term “conversion event,” we mean the cessation of use of:</w:t>
      </w:r>
    </w:p>
    <w:p>
      <w:pPr>
        <w:spacing w:after="0" w:line="225" w:lineRule="exact"/>
        <w:rPr>
          <w:sz w:val="20"/>
          <w:szCs w:val="20"/>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Currency Unit both within the European Monetary System and for the settlement of transactions by public institutions of or within the European Communities;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common stock or other securities of Agrify will be set forth in the applicable prospectus supplement. The terms will include whether the debt securities are convertible into shares of common stock or other securities of Agrify,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Recourse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80" w:lineRule="exact"/>
        <w:rPr>
          <w:sz w:val="20"/>
          <w:szCs w:val="20"/>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the financial and other specific terms of your series will be described in the applicable prospectus supplement.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225"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162" w:lineRule="exact"/>
        <w:rPr>
          <w:sz w:val="20"/>
          <w:szCs w:val="20"/>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225" w:lineRule="exact"/>
        <w:rPr>
          <w:sz w:val="20"/>
          <w:szCs w:val="20"/>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including our interests in our subsidiaries, nor will they restrict our ability to sell our assets. The unit agreements also will not provide for any events of default or remedies upon the occurrence of any events of default.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Nevada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 — i.e., book-entry —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62" w:lineRule="exact"/>
        <w:rPr>
          <w:sz w:val="20"/>
          <w:szCs w:val="20"/>
          <w:color w:val="auto"/>
        </w:rPr>
      </w:pPr>
    </w:p>
    <w:p>
      <w:pPr>
        <w:ind w:left="660" w:right="2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left="660" w:hanging="328"/>
        <w:spacing w:after="0" w:line="25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Burns &amp; Levinson LLP, Boston, Massachusetts and Sherman &amp; Howard L.L.C., Las Vegas, Nevada. Any underwriters will also be advised about the validity of the securities and other legal matters by their own counsel, which will be named in the prospectus supplement.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financial statements at December 31, 2021 and 2020 as set forth in their report dated March 31, 2022. We have included our financial statements in the prospectus and elsewhere in the registration statement in reliance on Marcum LLP’s report, given on their authority as experts in accounting and auditing. The balance sheets of Cascade Sciences, LLC as of December 31, 2020 and 2019 and the related statements of income, members’ equity and cash flows for the years then ended, have been audited by Baker Tilly US LLP, independent registered public accounting firm, as stated in their report dated December 8, 2021, which is incorporated by reference herein. The consolidated balance sheets of Mass2Media, LLC dba PC2 Holdings, LLC and Affiliate as of December 31, 2020 and 2019 and the related consolidated statements of net loss, members’ equity (deficit) and cash flows for the years then ended, have been audited by Baker Tilly US LLP, independent registered public accounting firm, as stated in their report dated December 8, 2021, which is incorporated by reference herein.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 Certain information in the registration statement has been omitted from this prospectus in accordance with the rules of the SEC.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Agrify Corporation, 76 Treble Cove Road, Building 3, Unit 3, Billerica, MA 01862, or by telephone request to (617) 896-5243. Our website is located at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Information contained on our website is not incorporated by reference into this prospectus and, therefore, is not part of this prospectus or any applicable prospectus supplement. Our website address is included in this prospectus as an inactive textual reference only.</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them, which means that we can disclose important information to you by referring you to those publicly available documents. The information incorporated by reference is an important part of this prospectus, and information that we file later with the SEC will automatically update and, where applicable, supersede the information already incorporated by reference. We are incorporating by reference the documents listed below:</w:t>
      </w:r>
    </w:p>
    <w:p>
      <w:pPr>
        <w:spacing w:after="0" w:line="180"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9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9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SEC on May 16, 2022;</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2021 from our definitive proxy statement on </w:t>
      </w:r>
      <w:hyperlink r:id="rId97">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April 29, 2022;</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auto"/>
          </w:rPr>
          <w:t xml:space="preserve">Our Current Reports on Form 8-K filed with the SEC </w:t>
        </w:r>
        <w:r>
          <w:rPr>
            <w:rFonts w:ascii="Times New Roman" w:cs="Times New Roman" w:eastAsia="Times New Roman" w:hAnsi="Times New Roman"/>
            <w:sz w:val="18"/>
            <w:szCs w:val="18"/>
            <w:u w:val="single" w:color="auto"/>
            <w:color w:val="0000EE"/>
          </w:rPr>
          <w:t>October 5, 2021</w:t>
        </w:r>
        <w:r>
          <w:rPr>
            <w:rFonts w:ascii="Times New Roman" w:cs="Times New Roman" w:eastAsia="Times New Roman" w:hAnsi="Times New Roman"/>
            <w:sz w:val="18"/>
            <w:szCs w:val="18"/>
            <w:color w:val="auto"/>
          </w:rPr>
          <w:t xml:space="preserve"> (and the amendment thereto filed with the SEC on </w:t>
        </w:r>
        <w:r>
          <w:rPr>
            <w:rFonts w:ascii="Times New Roman" w:cs="Times New Roman" w:eastAsia="Times New Roman" w:hAnsi="Times New Roman"/>
            <w:sz w:val="18"/>
            <w:szCs w:val="18"/>
            <w:u w:val="single" w:color="auto"/>
            <w:color w:val="0000EE"/>
          </w:rPr>
          <w:t>December 17,</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9">
        <w:r>
          <w:rPr>
            <w:rFonts w:ascii="Times New Roman" w:cs="Times New Roman" w:eastAsia="Times New Roman" w:hAnsi="Times New Roman"/>
            <w:sz w:val="18"/>
            <w:szCs w:val="18"/>
            <w:u w:val="single" w:color="auto"/>
            <w:color w:val="0000EE"/>
          </w:rPr>
          <w:t>January 5, 2022</w:t>
        </w:r>
      </w:hyperlink>
      <w:hyperlink r:id="rId9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0">
        <w:r>
          <w:rPr>
            <w:rFonts w:ascii="Times New Roman" w:cs="Times New Roman" w:eastAsia="Times New Roman" w:hAnsi="Times New Roman"/>
            <w:sz w:val="18"/>
            <w:szCs w:val="18"/>
            <w:u w:val="single" w:color="auto"/>
            <w:color w:val="0000EE"/>
          </w:rPr>
          <w:t>January 26, 2022</w:t>
        </w:r>
      </w:hyperlink>
      <w:hyperlink r:id="rId9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1">
        <w:r>
          <w:rPr>
            <w:rFonts w:ascii="Times New Roman" w:cs="Times New Roman" w:eastAsia="Times New Roman" w:hAnsi="Times New Roman"/>
            <w:sz w:val="18"/>
            <w:szCs w:val="18"/>
            <w:u w:val="single" w:color="auto"/>
            <w:color w:val="0000EE"/>
          </w:rPr>
          <w:t>February 2, 2022</w:t>
        </w:r>
      </w:hyperlink>
      <w:hyperlink r:id="rId9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2">
        <w:r>
          <w:rPr>
            <w:rFonts w:ascii="Times New Roman" w:cs="Times New Roman" w:eastAsia="Times New Roman" w:hAnsi="Times New Roman"/>
            <w:sz w:val="18"/>
            <w:szCs w:val="18"/>
            <w:u w:val="single" w:color="auto"/>
            <w:color w:val="0000EE"/>
          </w:rPr>
          <w:t>March 18, 2022</w:t>
        </w:r>
      </w:hyperlink>
      <w:hyperlink r:id="rId9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3">
        <w:r>
          <w:rPr>
            <w:rFonts w:ascii="Times New Roman" w:cs="Times New Roman" w:eastAsia="Times New Roman" w:hAnsi="Times New Roman"/>
            <w:sz w:val="18"/>
            <w:szCs w:val="18"/>
            <w:u w:val="single" w:color="auto"/>
            <w:color w:val="0000EE"/>
          </w:rPr>
          <w:t>April 12, 2022</w:t>
        </w:r>
      </w:hyperlink>
      <w:hyperlink r:id="rId98">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104">
        <w:r>
          <w:rPr>
            <w:rFonts w:ascii="Times New Roman" w:cs="Times New Roman" w:eastAsia="Times New Roman" w:hAnsi="Times New Roman"/>
            <w:sz w:val="18"/>
            <w:szCs w:val="18"/>
            <w:u w:val="single" w:color="auto"/>
            <w:color w:val="0000EE"/>
          </w:rPr>
          <w:t>June 9, 2022</w:t>
        </w:r>
      </w:hyperlink>
      <w:hyperlink r:id="rId98">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105">
        <w:r>
          <w:rPr>
            <w:rFonts w:ascii="Times New Roman" w:cs="Times New Roman" w:eastAsia="Times New Roman" w:hAnsi="Times New Roman"/>
            <w:sz w:val="18"/>
            <w:szCs w:val="18"/>
            <w:u w:val="single" w:color="auto"/>
            <w:color w:val="0000EE"/>
          </w:rPr>
          <w:t>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January 26, 2021;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future documents filed by us with the SEC pursuant to Section 13(a), 13(c), 14 or 15(d) of the Exchange Act, including all filings made after the date of the filing of this registration statement and prior to the effectiveness of this registration statement, prior to the termination of the offering of the underlying securities; provided, however, that we are not incorporating by reference any additional documents or information furnished and not filed with the SEC.</w:t>
      </w:r>
    </w:p>
    <w:p>
      <w:pPr>
        <w:spacing w:after="0" w:line="180"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is modified or superseded for purposes of the prospectus to the extent that a statement contained in this prospectus or in any other subsequently filed document that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including any beneficial owner,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76"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76 Treble Cove Road, Building 3</w:t>
      </w:r>
    </w:p>
    <w:p>
      <w:pPr>
        <w:spacing w:after="0" w:line="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Billerica, MA 01862</w:t>
      </w:r>
    </w:p>
    <w:p>
      <w:pPr>
        <w:spacing w:after="0" w:line="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Telephone: (617) 896-5243</w:t>
      </w:r>
    </w:p>
    <w:p>
      <w:pPr>
        <w:spacing w:after="0" w:line="207" w:lineRule="exact"/>
        <w:rPr>
          <w:rFonts w:ascii="Times New Roman" w:cs="Times New Roman" w:eastAsia="Times New Roman" w:hAnsi="Times New Roman"/>
          <w:sz w:val="18"/>
          <w:szCs w:val="18"/>
          <w:color w:val="0000EE"/>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38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$50,000,000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280035</wp:posOffset>
            </wp:positionV>
            <wp:extent cx="1054100" cy="7886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7">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Canaccord Genuity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October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1522095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0"/>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lvl w:ilvl="1">
      <w:lvlJc w:val="left"/>
      <w:lvlText w:val="(%2)"/>
      <w:numFmt w:val="lowerRoman"/>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jpe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106" Type="http://schemas.openxmlformats.org/officeDocument/2006/relationships/image" Target="media/image71.png"/><Relationship Id="rId107" Type="http://schemas.openxmlformats.org/officeDocument/2006/relationships/image" Target="media/image72.jpeg"/><Relationship Id="rId108" Type="http://schemas.openxmlformats.org/officeDocument/2006/relationships/image" Target="media/image73.png"/><Relationship Id="rId29" Type="http://schemas.openxmlformats.org/officeDocument/2006/relationships/hyperlink" Target="https://www.sec.gov/Archives/edgar/data/1800637/000121390022016936/f10k2021_agrifycorp.htm" TargetMode="External"/><Relationship Id="rId30" Type="http://schemas.openxmlformats.org/officeDocument/2006/relationships/hyperlink" Target="https://www.sec.gov/Archives/edgar/data/1800637/000121390022027256/f10q0322_agrifycorp.htm" TargetMode="External"/><Relationship Id="rId31" Type="http://schemas.openxmlformats.org/officeDocument/2006/relationships/hyperlink" Target="https://www.sec.gov/Archives/edgar/data/1800637/000121390022048227/f10q0622_agrifycorp.htm" TargetMode="External"/><Relationship Id="rId32" Type="http://schemas.openxmlformats.org/officeDocument/2006/relationships/hyperlink" Target="https://www.sec.gov/Archives/edgar/data/1800637/000121390022022513/ea158991-defa14a_agrify.htm" TargetMode="External"/><Relationship Id="rId33" Type="http://schemas.openxmlformats.org/officeDocument/2006/relationships/hyperlink" Target="https://www.sec.gov/Archives/edgar/data/1800637/000162828021025312/agfy-20210929.htm" TargetMode="External"/><Relationship Id="rId34" Type="http://schemas.openxmlformats.org/officeDocument/2006/relationships/hyperlink" Target="https://www.sec.gov/Archives/edgar/data/1800637/000121390022000601/ea153490-8k_agrifycorp.htm" TargetMode="External"/><Relationship Id="rId35" Type="http://schemas.openxmlformats.org/officeDocument/2006/relationships/hyperlink" Target="https://www.sec.gov/Archives/edgar/data/1800637/000121390022003773/ea154520-8k_agrifycorp.htm" TargetMode="External"/><Relationship Id="rId36" Type="http://schemas.openxmlformats.org/officeDocument/2006/relationships/hyperlink" Target="https://www.sec.gov/Archives/edgar/data/1800637/000121390022004925/ea154783-8k_agrifycorp.htm" TargetMode="External"/><Relationship Id="rId37" Type="http://schemas.openxmlformats.org/officeDocument/2006/relationships/hyperlink" Target="https://www.sec.gov/Archives/edgar/data/1800637/000121390022013613/ea157101-8k_agrifycorp.htm" TargetMode="External"/><Relationship Id="rId38" Type="http://schemas.openxmlformats.org/officeDocument/2006/relationships/hyperlink" Target="https://www.sec.gov/Archives/edgar/data/1800637/000121390022019437/ea158347-8k_agrifycorp.htm" TargetMode="External"/><Relationship Id="rId39" Type="http://schemas.openxmlformats.org/officeDocument/2006/relationships/hyperlink" Target="https://www.sec.gov/Archives/edgar/data/1800637/000121390022032014/ea161353-8k_agrify.htm" TargetMode="External"/><Relationship Id="rId40" Type="http://schemas.openxmlformats.org/officeDocument/2006/relationships/hyperlink" Target="https://www.sec.gov/Archives/edgar/data/1800637/000121390022039420/ea162872-8k_agrify.htm" TargetMode="External"/><Relationship Id="rId41" Type="http://schemas.openxmlformats.org/officeDocument/2006/relationships/hyperlink" Target="https://www.sec.gov/Archives/edgar/data/1800637/000121390022046373/ea164086-8k_agrify.htm" TargetMode="External"/><Relationship Id="rId42" Type="http://schemas.openxmlformats.org/officeDocument/2006/relationships/hyperlink" Target="https://www.sec.gov/Archives/edgar/data/1800637/000121390022049494/ea164681-8k_agrify.htm" TargetMode="External"/><Relationship Id="rId43" Type="http://schemas.openxmlformats.org/officeDocument/2006/relationships/hyperlink" Target="https://www.sec.gov/Archives/edgar/data/1800637/000121390022062512/ea166855-8k_agrifycorp.htm" TargetMode="External"/><Relationship Id="rId44" Type="http://schemas.openxmlformats.org/officeDocument/2006/relationships/hyperlink" Target="http://www.sec.gov/ix?doc=/Archives/edgar/data/1800637/000121390022064269/ea167213-8k_agrifycorp.htm" TargetMode="External"/><Relationship Id="rId45" Type="http://schemas.openxmlformats.org/officeDocument/2006/relationships/hyperlink" Target="https://www.sec.gov/Archives/edgar/data/1800637/000121390021004285/ea133941-8a12b_agrifycorp.htm" TargetMode="External"/><Relationship Id="rId95" Type="http://schemas.openxmlformats.org/officeDocument/2006/relationships/hyperlink" Target="http://www.sec.gov/Archives/edgar/data/1800637/000121390022016936/f10k2021_agrifycorp.htm" TargetMode="External"/><Relationship Id="rId96" Type="http://schemas.openxmlformats.org/officeDocument/2006/relationships/hyperlink" Target="http://www.sec.gov/Archives/edgar/data/1800637/000121390022027256/f10q0322_agrifycorp.htm" TargetMode="External"/><Relationship Id="rId97" Type="http://schemas.openxmlformats.org/officeDocument/2006/relationships/hyperlink" Target="https://www.sec.gov/Archives/edgar/data/1800637/000121390022022512/def14a0422_agrify.htm" TargetMode="External"/><Relationship Id="rId98" Type="http://schemas.openxmlformats.org/officeDocument/2006/relationships/hyperlink" Target="http://www.sec.gov/Archives/edgar/data/1800637/000162828021025312/agfy-20210929.htm" TargetMode="External"/><Relationship Id="rId99" Type="http://schemas.openxmlformats.org/officeDocument/2006/relationships/hyperlink" Target="http://www.sec.gov/Archives/edgar/data/1800637/000121390022000601/ea153490-8k_agrifycorp.htm" TargetMode="External"/><Relationship Id="rId100" Type="http://schemas.openxmlformats.org/officeDocument/2006/relationships/hyperlink" Target="http://www.sec.gov/Archives/edgar/data/1800637/000121390022003773/ea154520-8k_agrifycorp.htm" TargetMode="External"/><Relationship Id="rId101" Type="http://schemas.openxmlformats.org/officeDocument/2006/relationships/hyperlink" Target="http://www.sec.gov/Archives/edgar/data/1800637/000121390022004925/ea154783-8k_agrifycorp.htm" TargetMode="External"/><Relationship Id="rId102" Type="http://schemas.openxmlformats.org/officeDocument/2006/relationships/hyperlink" Target="http://www.sec.gov/Archives/edgar/data/1800637/000121390022013613/ea157101-8k_agrifycorp.htm" TargetMode="External"/><Relationship Id="rId103" Type="http://schemas.openxmlformats.org/officeDocument/2006/relationships/hyperlink" Target="http://www.sec.gov/Archives/edgar/data/1800637/000121390022019437/ea158347-8k_agrifycorp.htm" TargetMode="External"/><Relationship Id="rId104" Type="http://schemas.openxmlformats.org/officeDocument/2006/relationships/hyperlink" Target="http://www.sec.gov/Archives/edgar/data/1800637/000121390022032014/ea161353-8k_agrify.htm" TargetMode="External"/><Relationship Id="rId105" Type="http://schemas.openxmlformats.org/officeDocument/2006/relationships/hyperlink" Target="http://www.sec.gov/Archives/edgar/data/1800637/000121390021004285/ea133941-8a12b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2022-10-18T12:33:47Z</dcterms:created>
  <dcterms:modified xsi:type="dcterms:W3CDTF">2022-10-18T12:33:47Z</dcterms:modified>
</cp:coreProperties>
</file>