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ectPr>
          <w:pgSz w:w="11900" w:h="16838" w:orient="portrait"/>
          <w:cols w:equalWidth="0" w:num="1">
            <w:col w:w="10139"/>
          </w:cols>
          <w:pgMar w:left="320" w:top="509" w:right="1440" w:bottom="1440" w:gutter="0" w:footer="0" w:header="0"/>
        </w:sect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4359"/>
        <w:spacing w:after="0" w:line="161" w:lineRule="exact"/>
        <w:rPr>
          <w:sz w:val="20"/>
          <w:szCs w:val="20"/>
          <w:color w:val="auto"/>
        </w:rPr>
      </w:pPr>
      <w:r>
        <w:rPr>
          <w:rFonts w:ascii="MS PGothic" w:cs="MS PGothic" w:eastAsia="MS PGothic" w:hAnsi="MS PGothic"/>
          <w:sz w:val="16"/>
          <w:szCs w:val="16"/>
          <w:color w:val="auto"/>
        </w:rPr>
        <w:t>☒</w:t>
      </w:r>
    </w:p>
    <w:p>
      <w:pPr>
        <w:spacing w:after="0" w:line="271" w:lineRule="exact"/>
        <w:rPr>
          <w:sz w:val="24"/>
          <w:szCs w:val="24"/>
          <w:color w:val="auto"/>
        </w:rPr>
      </w:pPr>
    </w:p>
    <w:p>
      <w:pPr>
        <w:sectPr>
          <w:pgSz w:w="11900" w:h="16838" w:orient="portrait"/>
          <w:cols w:equalWidth="0" w:num="2">
            <w:col w:w="4900" w:space="720"/>
            <w:col w:w="4519"/>
          </w:cols>
          <w:pgMar w:left="320" w:top="509" w:right="1440"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4"/>
          <w:szCs w:val="24"/>
          <w:color w:val="auto"/>
        </w:rPr>
      </w:pPr>
    </w:p>
    <w:p>
      <w:pPr>
        <w:sectPr>
          <w:pgSz w:w="11900" w:h="16838" w:orient="portrait"/>
          <w:cols w:equalWidth="0" w:num="2">
            <w:col w:w="4900" w:space="720"/>
            <w:col w:w="4519"/>
          </w:cols>
          <w:pgMar w:left="320" w:top="509" w:right="1440"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 14a-12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3"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w:t>
      </w:r>
    </w:p>
    <w:p>
      <w:pPr>
        <w:spacing w:after="0" w:line="4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22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3336925</wp:posOffset>
            </wp:positionH>
            <wp:positionV relativeFrom="page">
              <wp:posOffset>586105</wp:posOffset>
            </wp:positionV>
            <wp:extent cx="882650"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8265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THE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AUGUST 12,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2024, Agrify Corporation (“Agrify,” “we,” “us,” “our,” and the “Company”) filed a definitive proxy statement (the “Proxy Statement”) and the related proxy card (the “Proxy Card”) relating to the Company’s 2024 Annual Meeting of Stockholders (the “Annual Meeting”) to be held on Monday, August 12, 2024, at 10:00 a.m. Eastern Time virtually at http://www.virtualshareholdermeeting.com/AGFY2024.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9, 2024, the Board of Directors of the Company approved the amendment and restatement of the Company’s Amended and Restated Bylaws to reduce the quorum needed for stockholder meetings to one-third (1/3) of the stock issued and outstanding and entitled to vote at the applicable meeting, present in person or represented by proxy. The quorum requirement will apply to the Annual Meeting and any adjournments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supplements the Proxy Statement for the Annual Meeting, to reflect the new quorum requirement applicable to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Proxy Statement is hereby supplemented as follows:</w:t>
      </w:r>
    </w:p>
    <w:p>
      <w:pPr>
        <w:spacing w:after="0" w:line="205" w:lineRule="exact"/>
        <w:rPr>
          <w:sz w:val="20"/>
          <w:szCs w:val="20"/>
          <w:color w:val="auto"/>
        </w:rPr>
      </w:pPr>
    </w:p>
    <w:p>
      <w:pPr>
        <w:ind w:left="66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text replaces, in its entirety, the question and answer appearing under the header “</w:t>
      </w:r>
      <w:r>
        <w:rPr>
          <w:rFonts w:ascii="Times New Roman" w:cs="Times New Roman" w:eastAsia="Times New Roman" w:hAnsi="Times New Roman"/>
          <w:sz w:val="18"/>
          <w:szCs w:val="18"/>
          <w:i w:val="1"/>
          <w:iCs w:val="1"/>
          <w:color w:val="auto"/>
        </w:rPr>
        <w:t>What constitutes a quorum?</w:t>
      </w:r>
      <w:r>
        <w:rPr>
          <w:rFonts w:ascii="Times New Roman" w:cs="Times New Roman" w:eastAsia="Times New Roman" w:hAnsi="Times New Roman"/>
          <w:sz w:val="18"/>
          <w:szCs w:val="18"/>
          <w:color w:val="auto"/>
        </w:rPr>
        <w:t>” on page 4 of the Proxy Statement:</w:t>
      </w:r>
    </w:p>
    <w:p>
      <w:pPr>
        <w:spacing w:after="0" w:line="15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 What constitutes a quorum?</w:t>
      </w:r>
    </w:p>
    <w:p>
      <w:pPr>
        <w:spacing w:after="0" w:line="229" w:lineRule="exact"/>
        <w:rPr>
          <w:sz w:val="20"/>
          <w:szCs w:val="20"/>
          <w:color w:val="auto"/>
        </w:rPr>
      </w:pPr>
    </w:p>
    <w:p>
      <w:pPr>
        <w:jc w:val="both"/>
        <w:ind w:left="660" w:right="640" w:hanging="4"/>
        <w:spacing w:after="0" w:line="266" w:lineRule="auto"/>
        <w:tabs>
          <w:tab w:leader="none" w:pos="8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17, 2024, we had 14,230,004 shares of Common Stock, $0.001 par value, outstanding and 61 holders of record. Each share of our Common Stock is entitled to one vote per share. The holders of one-third of the total outstanding shares entitled to vote, present at the Annual Meeting or represented by proxy, will constitute a quorum for the transaction of business at the Annual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described above, this supplement to the Proxy Statement does not modify, amend, supplement, or otherwise affect the Proxy Statement or the Proxy Card, and they continue to be in full force and effect as originally filed and the Board of Directors continues to seek the vote of Company stockholders to be voted on at the Annual Meeting as recommended in the original filing. This supplement to the Proxy Statement does not provide all of the information that is important to your voting decisions at the Annual Meeting, and the Proxy Statement contains other important additional information. This supplement to the Proxy Statement should be read in conjunction with the Proxy Statement.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have already voted, you do not need to vote again unless you would like to change or revoke your prior vote. If you would like to change or revoke your prior vote, please refer to the Proxy Statement for instructions on how to do so.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supplement to the Proxy Statement does not change the proposals to be acted upon at the Annual Meeting, which are described in the Proxy Statement. As a stockholder, your vote is very important, and the Board encourages you to exercise your right to vote whether or not you plan to attend the Annual Meeting. If you have already voted by Internet, telephone or by mail, you do not need to take any action unless you wish to change your vote. Proxy voting instructions already returned by stockholders (via Internet, telephone or mail) will remain valid and will be voted at the Annual Meeting unless revoked.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2024-08-09T15:40:40Z</dcterms:created>
  <dcterms:modified xsi:type="dcterms:W3CDTF">2024-08-09T15:40:40Z</dcterms:modified>
</cp:coreProperties>
</file>