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183515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10-Q/A</w:t>
      </w:r>
    </w:p>
    <w:p>
      <w:pPr>
        <w:spacing w:after="0" w:line="139" w:lineRule="exact"/>
        <w:rPr>
          <w:sz w:val="24"/>
          <w:szCs w:val="24"/>
          <w:color w:val="auto"/>
        </w:rPr>
      </w:pPr>
    </w:p>
    <w:p>
      <w:pPr>
        <w:jc w:val="center"/>
        <w:ind w:left="3820" w:right="1320" w:hanging="2492"/>
        <w:spacing w:after="0" w:line="411" w:lineRule="auto"/>
        <w:tabs>
          <w:tab w:leader="none" w:pos="1523"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7"/>
          <w:szCs w:val="17"/>
          <w:b w:val="1"/>
          <w:bCs w:val="1"/>
          <w:color w:val="auto"/>
        </w:rPr>
        <w:t>or</w:t>
      </w:r>
    </w:p>
    <w:p>
      <w:pPr>
        <w:spacing w:after="0" w:line="139" w:lineRule="exact"/>
        <w:rPr>
          <w:sz w:val="24"/>
          <w:szCs w:val="24"/>
          <w:color w:val="auto"/>
        </w:rPr>
      </w:pPr>
    </w:p>
    <w:p>
      <w:pPr>
        <w:jc w:val="center"/>
        <w:ind w:left="3680" w:right="1320" w:hanging="2358"/>
        <w:spacing w:after="0" w:line="411" w:lineRule="auto"/>
        <w:tabs>
          <w:tab w:leader="none" w:pos="1511"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 to _________</w:t>
      </w:r>
    </w:p>
    <w:p>
      <w:pPr>
        <w:ind w:left="432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3157855</wp:posOffset>
            </wp:positionH>
            <wp:positionV relativeFrom="paragraph">
              <wp:posOffset>99060</wp:posOffset>
            </wp:positionV>
            <wp:extent cx="80327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3275" cy="661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840" w:type="dxa"/>
            <w:vAlign w:val="bottom"/>
          </w:tcPr>
          <w:p>
            <w:pPr>
              <w:spacing w:after="0"/>
              <w:rPr>
                <w:sz w:val="17"/>
                <w:szCs w:val="17"/>
                <w:color w:val="auto"/>
              </w:rPr>
            </w:pPr>
          </w:p>
        </w:tc>
        <w:tc>
          <w:tcPr>
            <w:tcW w:w="7400" w:type="dxa"/>
            <w:vAlign w:val="bottom"/>
            <w:gridSpan w:val="3"/>
          </w:tcPr>
          <w:p>
            <w:pPr>
              <w:jc w:val="center"/>
              <w:ind w:right="3737"/>
              <w:spacing w:after="0"/>
              <w:rPr>
                <w:sz w:val="20"/>
                <w:szCs w:val="20"/>
                <w:color w:val="auto"/>
              </w:rPr>
            </w:pPr>
            <w:r>
              <w:rPr>
                <w:rFonts w:ascii="Arial" w:cs="Arial" w:eastAsia="Arial" w:hAnsi="Arial"/>
                <w:sz w:val="17"/>
                <w:szCs w:val="17"/>
                <w:b w:val="1"/>
                <w:bCs w:val="1"/>
                <w:color w:val="auto"/>
                <w:w w:val="98"/>
              </w:rPr>
              <w:t>AGRIFY CORPORATION</w:t>
            </w:r>
          </w:p>
        </w:tc>
      </w:tr>
      <w:tr>
        <w:trPr>
          <w:trHeight w:val="209"/>
        </w:trPr>
        <w:tc>
          <w:tcPr>
            <w:tcW w:w="3840" w:type="dxa"/>
            <w:vAlign w:val="bottom"/>
          </w:tcPr>
          <w:p>
            <w:pPr>
              <w:spacing w:after="0"/>
              <w:rPr>
                <w:sz w:val="18"/>
                <w:szCs w:val="18"/>
                <w:color w:val="auto"/>
              </w:rPr>
            </w:pPr>
          </w:p>
        </w:tc>
        <w:tc>
          <w:tcPr>
            <w:tcW w:w="7400" w:type="dxa"/>
            <w:vAlign w:val="bottom"/>
            <w:gridSpan w:val="3"/>
          </w:tcPr>
          <w:p>
            <w:pPr>
              <w:jc w:val="center"/>
              <w:ind w:right="3737"/>
              <w:spacing w:after="0"/>
              <w:rPr>
                <w:sz w:val="20"/>
                <w:szCs w:val="20"/>
                <w:color w:val="auto"/>
              </w:rPr>
            </w:pPr>
            <w:r>
              <w:rPr>
                <w:rFonts w:ascii="Arial" w:cs="Arial" w:eastAsia="Arial" w:hAnsi="Arial"/>
                <w:sz w:val="17"/>
                <w:szCs w:val="17"/>
                <w:color w:val="auto"/>
                <w:w w:val="88"/>
              </w:rPr>
              <w:t>(Exact name of registrant as specified in its charter)</w:t>
            </w:r>
          </w:p>
        </w:tc>
      </w:tr>
      <w:tr>
        <w:trPr>
          <w:trHeight w:val="341"/>
        </w:trPr>
        <w:tc>
          <w:tcPr>
            <w:tcW w:w="3840" w:type="dxa"/>
            <w:vAlign w:val="bottom"/>
          </w:tcPr>
          <w:p>
            <w:pPr>
              <w:jc w:val="center"/>
              <w:ind w:left="1597"/>
              <w:spacing w:after="0"/>
              <w:rPr>
                <w:sz w:val="20"/>
                <w:szCs w:val="20"/>
                <w:color w:val="auto"/>
              </w:rPr>
            </w:pPr>
            <w:r>
              <w:rPr>
                <w:rFonts w:ascii="Arial" w:cs="Arial" w:eastAsia="Arial" w:hAnsi="Arial"/>
                <w:sz w:val="17"/>
                <w:szCs w:val="17"/>
                <w:b w:val="1"/>
                <w:bCs w:val="1"/>
                <w:color w:val="auto"/>
                <w:w w:val="85"/>
              </w:rPr>
              <w:t>Nevada</w:t>
            </w:r>
          </w:p>
        </w:tc>
        <w:tc>
          <w:tcPr>
            <w:tcW w:w="7400" w:type="dxa"/>
            <w:vAlign w:val="bottom"/>
            <w:gridSpan w:val="3"/>
          </w:tcPr>
          <w:p>
            <w:pPr>
              <w:jc w:val="center"/>
              <w:ind w:left="1837"/>
              <w:spacing w:after="0"/>
              <w:rPr>
                <w:sz w:val="20"/>
                <w:szCs w:val="20"/>
                <w:color w:val="auto"/>
              </w:rPr>
            </w:pPr>
            <w:r>
              <w:rPr>
                <w:rFonts w:ascii="Arial" w:cs="Arial" w:eastAsia="Arial" w:hAnsi="Arial"/>
                <w:sz w:val="17"/>
                <w:szCs w:val="17"/>
                <w:b w:val="1"/>
                <w:bCs w:val="1"/>
                <w:color w:val="auto"/>
                <w:w w:val="88"/>
              </w:rPr>
              <w:t>30-0943453</w:t>
            </w:r>
          </w:p>
        </w:tc>
      </w:tr>
      <w:tr>
        <w:trPr>
          <w:trHeight w:val="186"/>
        </w:trPr>
        <w:tc>
          <w:tcPr>
            <w:tcW w:w="3840" w:type="dxa"/>
            <w:vAlign w:val="bottom"/>
            <w:tcBorders>
              <w:top w:val="single" w:sz="8" w:color="auto"/>
            </w:tcBorders>
          </w:tcPr>
          <w:p>
            <w:pPr>
              <w:jc w:val="center"/>
              <w:ind w:left="1597"/>
              <w:spacing w:after="0" w:line="186" w:lineRule="exact"/>
              <w:rPr>
                <w:sz w:val="20"/>
                <w:szCs w:val="20"/>
                <w:color w:val="auto"/>
              </w:rPr>
            </w:pPr>
            <w:r>
              <w:rPr>
                <w:rFonts w:ascii="Arial" w:cs="Arial" w:eastAsia="Arial" w:hAnsi="Arial"/>
                <w:sz w:val="17"/>
                <w:szCs w:val="17"/>
                <w:color w:val="auto"/>
                <w:w w:val="90"/>
              </w:rPr>
              <w:t>(State or other jurisdiction of</w:t>
            </w: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(I.R.S. Employer</w:t>
            </w:r>
          </w:p>
        </w:tc>
      </w:tr>
      <w:tr>
        <w:trPr>
          <w:trHeight w:val="209"/>
        </w:trPr>
        <w:tc>
          <w:tcPr>
            <w:tcW w:w="3840" w:type="dxa"/>
            <w:vAlign w:val="bottom"/>
          </w:tcPr>
          <w:p>
            <w:pPr>
              <w:jc w:val="center"/>
              <w:ind w:left="1597"/>
              <w:spacing w:after="0"/>
              <w:rPr>
                <w:sz w:val="20"/>
                <w:szCs w:val="20"/>
                <w:color w:val="auto"/>
              </w:rPr>
            </w:pPr>
            <w:r>
              <w:rPr>
                <w:rFonts w:ascii="Arial" w:cs="Arial" w:eastAsia="Arial" w:hAnsi="Arial"/>
                <w:sz w:val="17"/>
                <w:szCs w:val="17"/>
                <w:color w:val="auto"/>
                <w:w w:val="90"/>
              </w:rPr>
              <w:t>incorporation or organization)</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7"/>
                <w:szCs w:val="17"/>
                <w:color w:val="auto"/>
                <w:w w:val="93"/>
              </w:rPr>
              <w:t>Identification No.)</w:t>
            </w:r>
          </w:p>
        </w:tc>
      </w:tr>
    </w:tbl>
    <w:p>
      <w:pPr>
        <w:spacing w:after="0" w:line="1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2468 Industrial Row, Dr.,</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Troy, Michigan 48084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(617) 896-5243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phone number, including area code)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840" w:type="dxa"/>
            <w:vAlign w:val="bottom"/>
            <w:gridSpan w:val="2"/>
          </w:tcPr>
          <w:p>
            <w:pPr>
              <w:spacing w:after="0"/>
              <w:rPr>
                <w:sz w:val="20"/>
                <w:szCs w:val="20"/>
                <w:color w:val="auto"/>
              </w:rPr>
            </w:pPr>
            <w:r>
              <w:rPr>
                <w:rFonts w:ascii="Arial" w:cs="Arial" w:eastAsia="Arial" w:hAnsi="Arial"/>
                <w:sz w:val="17"/>
                <w:szCs w:val="17"/>
                <w:color w:val="auto"/>
                <w:w w:val="88"/>
              </w:rPr>
              <w:t>Securities registered pursuant to Section 12(b) of the Act:</w:t>
            </w: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341"/>
        </w:trPr>
        <w:tc>
          <w:tcPr>
            <w:tcW w:w="38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4"/>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Trading Symbol(s)</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5"/>
              </w:rPr>
              <w:t>Name of each exchange on which registered</w:t>
            </w:r>
          </w:p>
        </w:tc>
      </w:tr>
      <w:tr>
        <w:trPr>
          <w:trHeight w:val="198"/>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6"/>
              </w:rPr>
              <w:t>Common Stock, par value $0.001 per share</w:t>
            </w:r>
          </w:p>
        </w:tc>
        <w:tc>
          <w:tcPr>
            <w:tcW w:w="2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AGFY</w:t>
            </w:r>
          </w:p>
        </w:tc>
        <w:tc>
          <w:tcPr>
            <w:tcW w:w="2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The Nasdaq Capital Market</w:t>
            </w:r>
          </w:p>
        </w:tc>
      </w:tr>
    </w:tbl>
    <w:p>
      <w:pPr>
        <w:spacing w:after="0" w:line="124" w:lineRule="exact"/>
        <w:rPr>
          <w:sz w:val="24"/>
          <w:szCs w:val="24"/>
          <w:color w:val="auto"/>
        </w:rPr>
      </w:pPr>
    </w:p>
    <w:p>
      <w:pPr>
        <w:ind w:right="160"/>
        <w:spacing w:after="0" w:line="25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4" w:lineRule="exact"/>
        <w:rPr>
          <w:sz w:val="24"/>
          <w:szCs w:val="24"/>
          <w:color w:val="auto"/>
        </w:rPr>
      </w:pPr>
    </w:p>
    <w:p>
      <w:pPr>
        <w:ind w:left="10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right="200"/>
        <w:spacing w:after="0" w:line="32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1" w:lineRule="exact"/>
        <w:rPr>
          <w:sz w:val="24"/>
          <w:szCs w:val="24"/>
          <w:color w:val="auto"/>
        </w:rPr>
      </w:pPr>
    </w:p>
    <w:p>
      <w:pPr>
        <w:ind w:left="10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5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4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640" w:type="dxa"/>
            <w:vAlign w:val="bottom"/>
          </w:tcPr>
          <w:p>
            <w:pPr>
              <w:ind w:left="500"/>
              <w:spacing w:after="0"/>
              <w:rPr>
                <w:sz w:val="20"/>
                <w:szCs w:val="20"/>
                <w:color w:val="auto"/>
              </w:rPr>
            </w:pPr>
            <w:r>
              <w:rPr>
                <w:rFonts w:ascii="Arial" w:cs="Arial" w:eastAsia="Arial" w:hAnsi="Arial"/>
                <w:sz w:val="17"/>
                <w:szCs w:val="17"/>
                <w:color w:val="auto"/>
              </w:rPr>
              <w:t>Accelerated filer</w:t>
            </w:r>
          </w:p>
        </w:tc>
        <w:tc>
          <w:tcPr>
            <w:tcW w:w="150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198"/>
        </w:trPr>
        <w:tc>
          <w:tcPr>
            <w:tcW w:w="3000" w:type="dxa"/>
            <w:vAlign w:val="bottom"/>
          </w:tcPr>
          <w:p>
            <w:pPr>
              <w:spacing w:after="0"/>
              <w:rPr>
                <w:sz w:val="20"/>
                <w:szCs w:val="20"/>
                <w:color w:val="auto"/>
              </w:rPr>
            </w:pPr>
            <w:r>
              <w:rPr>
                <w:rFonts w:ascii="Arial" w:cs="Arial" w:eastAsia="Arial" w:hAnsi="Arial"/>
                <w:sz w:val="17"/>
                <w:szCs w:val="17"/>
                <w:color w:val="auto"/>
              </w:rPr>
              <w:t>Non-accelerated filer</w:t>
            </w:r>
          </w:p>
        </w:tc>
        <w:tc>
          <w:tcPr>
            <w:tcW w:w="2140" w:type="dxa"/>
            <w:vAlign w:val="bottom"/>
          </w:tcPr>
          <w:p>
            <w:pPr>
              <w:ind w:left="1500"/>
              <w:spacing w:after="0" w:line="171" w:lineRule="exact"/>
              <w:rPr>
                <w:sz w:val="20"/>
                <w:szCs w:val="20"/>
                <w:color w:val="auto"/>
              </w:rPr>
            </w:pPr>
            <w:r>
              <w:rPr>
                <w:rFonts w:ascii="MS PGothic" w:cs="MS PGothic" w:eastAsia="MS PGothic" w:hAnsi="MS PGothic"/>
                <w:sz w:val="17"/>
                <w:szCs w:val="17"/>
                <w:color w:val="auto"/>
              </w:rPr>
              <w:t>☒</w:t>
            </w:r>
          </w:p>
        </w:tc>
        <w:tc>
          <w:tcPr>
            <w:tcW w:w="3640" w:type="dxa"/>
            <w:vAlign w:val="bottom"/>
          </w:tcPr>
          <w:p>
            <w:pPr>
              <w:ind w:left="500"/>
              <w:spacing w:after="0"/>
              <w:rPr>
                <w:sz w:val="20"/>
                <w:szCs w:val="20"/>
                <w:color w:val="auto"/>
              </w:rPr>
            </w:pPr>
            <w:r>
              <w:rPr>
                <w:rFonts w:ascii="Arial" w:cs="Arial" w:eastAsia="Arial" w:hAnsi="Arial"/>
                <w:sz w:val="17"/>
                <w:szCs w:val="17"/>
                <w:color w:val="auto"/>
              </w:rPr>
              <w:t>Smaller reporting company</w:t>
            </w:r>
          </w:p>
        </w:tc>
        <w:tc>
          <w:tcPr>
            <w:tcW w:w="150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9"/>
        </w:trPr>
        <w:tc>
          <w:tcPr>
            <w:tcW w:w="3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40" w:type="dxa"/>
            <w:vAlign w:val="bottom"/>
          </w:tcPr>
          <w:p>
            <w:pPr>
              <w:ind w:left="500"/>
              <w:spacing w:after="0"/>
              <w:rPr>
                <w:sz w:val="20"/>
                <w:szCs w:val="20"/>
                <w:color w:val="auto"/>
              </w:rPr>
            </w:pPr>
            <w:r>
              <w:rPr>
                <w:rFonts w:ascii="Arial" w:cs="Arial" w:eastAsia="Arial" w:hAnsi="Arial"/>
                <w:sz w:val="17"/>
                <w:szCs w:val="17"/>
                <w:color w:val="auto"/>
              </w:rPr>
              <w:t>Emerging growth company</w:t>
            </w:r>
          </w:p>
        </w:tc>
        <w:tc>
          <w:tcPr>
            <w:tcW w:w="1500" w:type="dxa"/>
            <w:vAlign w:val="bottom"/>
          </w:tcPr>
          <w:p>
            <w:pPr>
              <w:ind w:left="13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93" w:lineRule="exact"/>
        <w:rPr>
          <w:sz w:val="24"/>
          <w:szCs w:val="24"/>
          <w:color w:val="auto"/>
        </w:rPr>
      </w:pPr>
    </w:p>
    <w:p>
      <w:pPr>
        <w:ind w:right="380"/>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97" w:lineRule="exact"/>
        <w:rPr>
          <w:sz w:val="24"/>
          <w:szCs w:val="24"/>
          <w:color w:val="auto"/>
        </w:rPr>
      </w:pPr>
    </w:p>
    <w:p>
      <w:pPr>
        <w:jc w:val="right"/>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7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79"/>
              </w:rPr>
              <w:t>Class</w:t>
            </w:r>
          </w:p>
        </w:tc>
        <w:tc>
          <w:tcPr>
            <w:tcW w:w="5500" w:type="dxa"/>
            <w:vAlign w:val="bottom"/>
          </w:tcPr>
          <w:p>
            <w:pPr>
              <w:jc w:val="center"/>
              <w:spacing w:after="0"/>
              <w:rPr>
                <w:sz w:val="20"/>
                <w:szCs w:val="20"/>
                <w:color w:val="auto"/>
              </w:rPr>
            </w:pPr>
            <w:r>
              <w:rPr>
                <w:rFonts w:ascii="Arial" w:cs="Arial" w:eastAsia="Arial" w:hAnsi="Arial"/>
                <w:sz w:val="17"/>
                <w:szCs w:val="17"/>
                <w:b w:val="1"/>
                <w:bCs w:val="1"/>
                <w:color w:val="auto"/>
                <w:w w:val="87"/>
              </w:rPr>
              <w:t>Outstanding as of November 10, 2022</w:t>
            </w:r>
          </w:p>
        </w:tc>
      </w:tr>
      <w:tr>
        <w:trPr>
          <w:trHeight w:val="198"/>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Common Stock, $0.001 par value</w:t>
            </w:r>
          </w:p>
        </w:tc>
        <w:tc>
          <w:tcPr>
            <w:tcW w:w="2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auto"/>
            </w:tcBorders>
            <w:shd w:val="clear" w:color="auto" w:fill="CCEEFF"/>
          </w:tcPr>
          <w:p>
            <w:pPr>
              <w:jc w:val="right"/>
              <w:ind w:right="2397"/>
              <w:spacing w:after="0"/>
              <w:rPr>
                <w:sz w:val="20"/>
                <w:szCs w:val="20"/>
                <w:color w:val="auto"/>
              </w:rPr>
            </w:pPr>
            <w:r>
              <w:rPr>
                <w:rFonts w:ascii="Arial" w:cs="Arial" w:eastAsia="Arial" w:hAnsi="Arial"/>
                <w:sz w:val="17"/>
                <w:szCs w:val="17"/>
                <w:color w:val="auto"/>
              </w:rPr>
              <w:t>443,818</w:t>
            </w:r>
          </w:p>
        </w:tc>
      </w:tr>
      <w:tr>
        <w:trPr>
          <w:trHeight w:val="136"/>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2"/>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38"/>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8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References throughout this Amendment No. 1 to the Quarterly Report on Form 10-Q to “we,” “us,” the “Company” or “our company” are to Agrify Corporation.</w:t>
      </w:r>
    </w:p>
    <w:p>
      <w:pPr>
        <w:spacing w:after="0" w:line="224"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This Amendment No. 1 (“Amendment No. 1”) to the Quarterly Report on Form 10-Q/A amends the Quarterly Report on Form 10-Q of Agrify Corporation for the quarter ended September 30, 2022, as filed with the Securities and Exchange Commission (“SEC”) on November 14, 2022 (the “Original Filing”).</w:t>
      </w:r>
    </w:p>
    <w:p>
      <w:pPr>
        <w:spacing w:after="0" w:line="12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On April 12, 2023, the Audit Committee of the Board of Directors (the “Audit Committee”) of Agrify Corporation (the “Company”), in consultation with management of the Company and the Company’s independent registered public accounting firm, Marcum LLP (“Marcum”), concluded that the Company’s previously issued unaudited condensed consolidated interim financial statements as of and for the fiscal periods ended March 31, 2022, June 30, 2022 and September 30, 2022 included in the Company’s Quarterly Reports on Form 10-Q for such periods should no longer be relied upon. Similarly, earnings releases, and investor communications describing the financial statements for the periods described above should no longer be relied upon. The Company identified errors in the accounting for warrants previously issued by the Company.</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Specifically, the Audit Committee concluded 15,097 warrants issued in a private placement on January 28, 2022 and 34,423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 Additionally, the change in long-term debt classification and issuance costs will also be reflected in the Company’s balance sheet.</w:t>
      </w:r>
    </w:p>
    <w:p>
      <w:pPr>
        <w:spacing w:after="0" w:line="150" w:lineRule="exact"/>
        <w:rPr>
          <w:sz w:val="20"/>
          <w:szCs w:val="20"/>
          <w:color w:val="auto"/>
        </w:rPr>
      </w:pPr>
    </w:p>
    <w:p>
      <w:pPr>
        <w:ind w:right="580"/>
        <w:spacing w:after="0" w:line="260" w:lineRule="auto"/>
        <w:rPr>
          <w:sz w:val="20"/>
          <w:szCs w:val="20"/>
          <w:color w:val="auto"/>
        </w:rPr>
      </w:pPr>
      <w:r>
        <w:rPr>
          <w:rFonts w:ascii="Arial" w:cs="Arial" w:eastAsia="Arial" w:hAnsi="Arial"/>
          <w:sz w:val="17"/>
          <w:szCs w:val="17"/>
          <w:color w:val="auto"/>
        </w:rPr>
        <w:t>As such, the Company is restating in this Form 10-Q/A the unaudited consolidated interim financial statements for the three-month and nine-month period ended September 30, 2022.</w:t>
      </w:r>
    </w:p>
    <w:p>
      <w:pPr>
        <w:spacing w:after="0" w:line="17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We are filing this Amendment No. 1 to amend and restate the Original Filing with modification as necessary to reflect the restatement. The following items have been amended to reflect the restatement: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Part I, Item 1,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Part I, 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387985</wp:posOffset>
            </wp:positionV>
            <wp:extent cx="714375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540" w:type="dxa"/>
            <w:vAlign w:val="bottom"/>
            <w:gridSpan w:val="8"/>
          </w:tcPr>
          <w:p>
            <w:pPr>
              <w:ind w:left="40"/>
              <w:spacing w:after="0"/>
              <w:rPr>
                <w:sz w:val="20"/>
                <w:szCs w:val="20"/>
                <w:color w:val="auto"/>
              </w:rPr>
            </w:pPr>
            <w:r>
              <w:rPr>
                <w:rFonts w:ascii="Arial" w:cs="Arial" w:eastAsia="Arial" w:hAnsi="Arial"/>
                <w:sz w:val="17"/>
                <w:szCs w:val="17"/>
                <w:b w:val="1"/>
                <w:bCs w:val="1"/>
                <w:color w:val="auto"/>
              </w:rPr>
              <w:t>TABLE OF CONTENTS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PART I</w:t>
            </w:r>
          </w:p>
        </w:tc>
        <w:tc>
          <w:tcPr>
            <w:tcW w:w="9380" w:type="dxa"/>
            <w:vAlign w:val="bottom"/>
            <w:gridSpan w:val="22"/>
            <w:shd w:val="clear" w:color="auto" w:fill="CCEEFF"/>
          </w:tcPr>
          <w:p>
            <w:pPr>
              <w:ind w:left="160"/>
              <w:spacing w:after="0" w:line="129" w:lineRule="exact"/>
              <w:rPr>
                <w:sz w:val="20"/>
                <w:szCs w:val="20"/>
                <w:color w:val="auto"/>
              </w:rPr>
            </w:pPr>
            <w:r>
              <w:rPr>
                <w:rFonts w:ascii="Arial" w:cs="Arial" w:eastAsia="Arial" w:hAnsi="Arial"/>
                <w:sz w:val="14"/>
                <w:szCs w:val="14"/>
                <w:b w:val="1"/>
                <w:bCs w:val="1"/>
                <w:color w:val="0000EE"/>
              </w:rPr>
              <w:t>FINANCIAL INFORMATION</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1.</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FINANCIAL STATEMENTS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Condensed Consolidated Balance Sheets as of September 30, 2022 (unaudited) and December 31, 2021</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8580" w:type="dxa"/>
            <w:vAlign w:val="bottom"/>
            <w:tcBorders>
              <w:bottom w:val="single" w:sz="8" w:color="0000EE"/>
            </w:tcBorders>
            <w:gridSpan w:val="18"/>
            <w:shd w:val="clear" w:color="auto" w:fill="CCEEFF"/>
          </w:tcPr>
          <w:p>
            <w:pPr>
              <w:spacing w:after="0" w:line="161" w:lineRule="exact"/>
              <w:rPr>
                <w:sz w:val="20"/>
                <w:szCs w:val="20"/>
                <w:color w:val="auto"/>
              </w:rPr>
            </w:pPr>
            <w:r>
              <w:rPr>
                <w:rFonts w:ascii="Arial" w:cs="Arial" w:eastAsia="Arial" w:hAnsi="Arial"/>
                <w:sz w:val="17"/>
                <w:szCs w:val="17"/>
                <w:color w:val="0000EE"/>
                <w:w w:val="86"/>
              </w:rPr>
              <w:t>Condensed Consolidated Statements of Operations for the three and nine months ended September 30, 2022 (unaudited) and 2021</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0"/>
            <w:shd w:val="clear" w:color="auto" w:fill="CCEEFF"/>
          </w:tcPr>
          <w:p>
            <w:pPr>
              <w:spacing w:after="0" w:line="179" w:lineRule="exact"/>
              <w:rPr>
                <w:sz w:val="20"/>
                <w:szCs w:val="20"/>
                <w:color w:val="auto"/>
              </w:rPr>
            </w:pPr>
            <w:r>
              <w:rPr>
                <w:rFonts w:ascii="Arial" w:cs="Arial" w:eastAsia="Arial" w:hAnsi="Arial"/>
                <w:sz w:val="17"/>
                <w:szCs w:val="17"/>
                <w:color w:val="0000EE"/>
              </w:rPr>
              <w:t>(unaudited)</w:t>
            </w:r>
          </w:p>
        </w:tc>
        <w:tc>
          <w:tcPr>
            <w:tcW w:w="1000" w:type="dxa"/>
            <w:vAlign w:val="bottom"/>
            <w:shd w:val="clear" w:color="auto" w:fill="CCEEFF"/>
          </w:tcPr>
          <w:p>
            <w:pPr>
              <w:jc w:val="center"/>
              <w:spacing w:after="0" w:line="179" w:lineRule="exact"/>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8880" w:type="dxa"/>
            <w:vAlign w:val="bottom"/>
            <w:tcBorders>
              <w:bottom w:val="single" w:sz="8" w:color="0000EE"/>
            </w:tcBorders>
            <w:gridSpan w:val="20"/>
            <w:shd w:val="clear" w:color="auto" w:fill="CCEEFF"/>
          </w:tcPr>
          <w:p>
            <w:pPr>
              <w:spacing w:after="0" w:line="161" w:lineRule="exact"/>
              <w:rPr>
                <w:sz w:val="20"/>
                <w:szCs w:val="20"/>
                <w:color w:val="auto"/>
              </w:rPr>
            </w:pPr>
            <w:r>
              <w:rPr>
                <w:rFonts w:ascii="Arial" w:cs="Arial" w:eastAsia="Arial" w:hAnsi="Arial"/>
                <w:sz w:val="17"/>
                <w:szCs w:val="17"/>
                <w:color w:val="0000EE"/>
                <w:w w:val="86"/>
              </w:rPr>
              <w:t>Condensed Consolidated Statements of Stockholders’ Equity for the three and nine months ended September 30, 2022 (unaudited) and</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0"/>
            <w:shd w:val="clear" w:color="auto" w:fill="CCEEFF"/>
          </w:tcPr>
          <w:p>
            <w:pPr>
              <w:spacing w:after="0" w:line="179" w:lineRule="exact"/>
              <w:rPr>
                <w:sz w:val="20"/>
                <w:szCs w:val="20"/>
                <w:color w:val="auto"/>
              </w:rPr>
            </w:pPr>
            <w:r>
              <w:rPr>
                <w:rFonts w:ascii="Arial" w:cs="Arial" w:eastAsia="Arial" w:hAnsi="Arial"/>
                <w:sz w:val="17"/>
                <w:szCs w:val="17"/>
                <w:color w:val="0000EE"/>
              </w:rPr>
              <w:t>2021 (unaudited)</w:t>
            </w:r>
          </w:p>
        </w:tc>
        <w:tc>
          <w:tcPr>
            <w:tcW w:w="1000" w:type="dxa"/>
            <w:vAlign w:val="bottom"/>
            <w:shd w:val="clear" w:color="auto" w:fill="CCEEFF"/>
          </w:tcPr>
          <w:p>
            <w:pPr>
              <w:jc w:val="center"/>
              <w:spacing w:after="0" w:line="179" w:lineRule="exact"/>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w w:val="90"/>
              </w:rPr>
              <w:t>Condensed Consolidated Statements of Cash Flows for the nine months ended September 30, 2022 (unaudited) and 2021 (unaudited)</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Notes to Condensed Consolidated Financial Statements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2.</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62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3.</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Quantitative and Qualitative Disclosures About Market Risk</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4.</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Controls and Procedures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PART II</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b w:val="1"/>
                <w:bCs w:val="1"/>
                <w:color w:val="0000EE"/>
              </w:rPr>
              <w:t>OTHER INFORMATION</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1.</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Legal Proceedings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1A.</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Risk Factors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2.</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Unregistered Sales of Equity Securities and Use of Proceeds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3.</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Defaults Upon Senior Securities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4.</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Mine Safety Disclosures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5.</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Other Information</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8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ITEM 6.</w:t>
            </w:r>
          </w:p>
        </w:tc>
        <w:tc>
          <w:tcPr>
            <w:tcW w:w="9380" w:type="dxa"/>
            <w:vAlign w:val="bottom"/>
            <w:gridSpan w:val="22"/>
            <w:shd w:val="clear" w:color="auto" w:fill="CCEEFF"/>
          </w:tcPr>
          <w:p>
            <w:pPr>
              <w:ind w:left="160"/>
              <w:spacing w:after="0" w:line="161" w:lineRule="exact"/>
              <w:rPr>
                <w:sz w:val="20"/>
                <w:szCs w:val="20"/>
                <w:color w:val="auto"/>
              </w:rPr>
            </w:pPr>
            <w:r>
              <w:rPr>
                <w:rFonts w:ascii="Arial" w:cs="Arial" w:eastAsia="Arial" w:hAnsi="Arial"/>
                <w:sz w:val="17"/>
                <w:szCs w:val="17"/>
                <w:color w:val="0000EE"/>
              </w:rPr>
              <w:t>Exhibits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04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10220" w:type="dxa"/>
            <w:vAlign w:val="bottom"/>
            <w:gridSpan w:val="23"/>
            <w:shd w:val="clear" w:color="auto" w:fill="CCEEFF"/>
          </w:tcPr>
          <w:p>
            <w:pPr>
              <w:spacing w:after="0" w:line="161" w:lineRule="exact"/>
              <w:rPr>
                <w:sz w:val="20"/>
                <w:szCs w:val="20"/>
                <w:color w:val="auto"/>
              </w:rPr>
            </w:pPr>
            <w:r>
              <w:rPr>
                <w:rFonts w:ascii="Arial" w:cs="Arial" w:eastAsia="Arial" w:hAnsi="Arial"/>
                <w:sz w:val="17"/>
                <w:szCs w:val="17"/>
                <w:b w:val="1"/>
                <w:bCs w:val="1"/>
                <w:color w:val="0000EE"/>
              </w:rPr>
              <w:t>SIGNATURES</w:t>
            </w:r>
          </w:p>
        </w:tc>
        <w:tc>
          <w:tcPr>
            <w:tcW w:w="1000" w:type="dxa"/>
            <w:vAlign w:val="bottom"/>
            <w:shd w:val="clear" w:color="auto" w:fill="CCEEFF"/>
          </w:tcPr>
          <w:p>
            <w:pPr>
              <w:jc w:val="center"/>
              <w:spacing w:after="0" w:line="161" w:lineRule="exact"/>
              <w:rPr>
                <w:sz w:val="20"/>
                <w:szCs w:val="20"/>
                <w:color w:val="auto"/>
              </w:rPr>
            </w:pPr>
            <w:r>
              <w:rPr>
                <w:rFonts w:ascii="Arial" w:cs="Arial" w:eastAsia="Arial" w:hAnsi="Arial"/>
                <w:sz w:val="17"/>
                <w:szCs w:val="17"/>
                <w:color w:val="auto"/>
                <w:w w:val="84"/>
              </w:rPr>
              <w:t>87</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3" w:name="page4"/>
    <w:bookmarkEnd w:id="3"/>
    <w:tbl>
      <w:tblPr>
        <w:tblLayout w:type="fixed"/>
        <w:tblInd w:w="1" w:type="dxa"/>
        <w:tblCellMar>
          <w:top w:w="0" w:type="dxa"/>
          <w:left w:w="0" w:type="dxa"/>
          <w:bottom w:w="0" w:type="dxa"/>
          <w:right w:w="0" w:type="dxa"/>
        </w:tblCellMar>
      </w:tblPr>
      <w:tr>
        <w:trPr>
          <w:trHeight w:val="213"/>
        </w:trPr>
        <w:tc>
          <w:tcPr>
            <w:tcW w:w="8680" w:type="dxa"/>
            <w:vAlign w:val="bottom"/>
          </w:tcPr>
          <w:p>
            <w:pPr>
              <w:jc w:val="center"/>
              <w:ind w:left="2497"/>
              <w:spacing w:after="0"/>
              <w:rPr>
                <w:sz w:val="20"/>
                <w:szCs w:val="20"/>
                <w:color w:val="auto"/>
              </w:rPr>
            </w:pPr>
            <w:r>
              <w:rPr>
                <w:rFonts w:ascii="Arial" w:cs="Arial" w:eastAsia="Arial" w:hAnsi="Arial"/>
                <w:sz w:val="17"/>
                <w:szCs w:val="17"/>
                <w:b w:val="1"/>
                <w:bCs w:val="1"/>
                <w:color w:val="auto"/>
                <w:w w:val="99"/>
              </w:rPr>
              <w:t>PART I — FINANCIAL INFORMATION</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68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680" w:type="dxa"/>
            <w:vAlign w:val="bottom"/>
          </w:tcPr>
          <w:p>
            <w:pPr>
              <w:jc w:val="center"/>
              <w:ind w:left="2497"/>
              <w:spacing w:after="0"/>
              <w:rPr>
                <w:sz w:val="20"/>
                <w:szCs w:val="20"/>
                <w:color w:val="auto"/>
              </w:rPr>
            </w:pPr>
            <w:r>
              <w:rPr>
                <w:rFonts w:ascii="Arial" w:cs="Arial" w:eastAsia="Arial" w:hAnsi="Arial"/>
                <w:sz w:val="17"/>
                <w:szCs w:val="17"/>
                <w:b w:val="1"/>
                <w:bCs w:val="1"/>
                <w:color w:val="auto"/>
                <w:w w:val="97"/>
              </w:rPr>
              <w:t>AGRIFY CORPORATION AND SUBSIDIARIES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680" w:type="dxa"/>
            <w:vAlign w:val="bottom"/>
          </w:tcPr>
          <w:p>
            <w:pPr>
              <w:jc w:val="center"/>
              <w:ind w:left="2477"/>
              <w:spacing w:after="0"/>
              <w:rPr>
                <w:sz w:val="20"/>
                <w:szCs w:val="20"/>
                <w:color w:val="auto"/>
              </w:rPr>
            </w:pPr>
            <w:r>
              <w:rPr>
                <w:rFonts w:ascii="Arial" w:cs="Arial" w:eastAsia="Arial" w:hAnsi="Arial"/>
                <w:sz w:val="17"/>
                <w:szCs w:val="17"/>
                <w:b w:val="1"/>
                <w:bCs w:val="1"/>
                <w:color w:val="auto"/>
                <w:w w:val="84"/>
              </w:rPr>
              <w:t>Condensed Consolidated Balance Sheets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Pr>
          <w:p>
            <w:pPr>
              <w:jc w:val="center"/>
              <w:ind w:left="2497"/>
              <w:spacing w:after="0"/>
              <w:rPr>
                <w:sz w:val="20"/>
                <w:szCs w:val="20"/>
                <w:color w:val="auto"/>
              </w:rPr>
            </w:pPr>
            <w:r>
              <w:rPr>
                <w:rFonts w:ascii="Arial" w:cs="Arial" w:eastAsia="Arial" w:hAnsi="Arial"/>
                <w:sz w:val="17"/>
                <w:szCs w:val="17"/>
                <w:b w:val="1"/>
                <w:bCs w:val="1"/>
                <w:color w:val="auto"/>
                <w:w w:val="86"/>
              </w:rPr>
              <w:t>(In thousands, except share and per share data)</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6"/>
              </w:rPr>
              <w:t>September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4"/>
              </w:rPr>
              <w:t>2022</w:t>
            </w:r>
          </w:p>
        </w:tc>
        <w:tc>
          <w:tcPr>
            <w:tcW w:w="220" w:type="dxa"/>
            <w:vAlign w:val="bottom"/>
          </w:tcPr>
          <w:p>
            <w:pPr>
              <w:spacing w:after="0"/>
              <w:rPr>
                <w:sz w:val="17"/>
                <w:szCs w:val="17"/>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0"/>
        </w:trPr>
        <w:tc>
          <w:tcPr>
            <w:tcW w:w="8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(As Restated)</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(Unaudited)</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12,014</w:t>
            </w: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Restricted cash and restricted marketable securities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10,000</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Marketable securities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381</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44,550</w:t>
            </w:r>
          </w:p>
        </w:tc>
        <w:tc>
          <w:tcPr>
            <w:tcW w:w="0" w:type="dxa"/>
            <w:vAlign w:val="bottom"/>
          </w:tcPr>
          <w:p>
            <w:pPr>
              <w:spacing w:after="0"/>
              <w:rPr>
                <w:sz w:val="1"/>
                <w:szCs w:val="1"/>
                <w:color w:val="auto"/>
              </w:rPr>
            </w:pPr>
          </w:p>
        </w:tc>
      </w:tr>
      <w:tr>
        <w:trPr>
          <w:trHeight w:val="186"/>
        </w:trPr>
        <w:tc>
          <w:tcPr>
            <w:tcW w:w="8680" w:type="dxa"/>
            <w:vAlign w:val="bottom"/>
          </w:tcPr>
          <w:p>
            <w:pPr>
              <w:ind w:left="140"/>
              <w:spacing w:after="0" w:line="186" w:lineRule="exact"/>
              <w:rPr>
                <w:sz w:val="20"/>
                <w:szCs w:val="20"/>
                <w:color w:val="auto"/>
              </w:rPr>
            </w:pPr>
            <w:r>
              <w:rPr>
                <w:rFonts w:ascii="Arial" w:cs="Arial" w:eastAsia="Arial" w:hAnsi="Arial"/>
                <w:sz w:val="17"/>
                <w:szCs w:val="17"/>
                <w:color w:val="auto"/>
                <w:w w:val="91"/>
              </w:rPr>
              <w:t>Accounts receivable, net of allowance for doubtful accounts of $3,125 and $1,415 at September 30, 2022 and December 31,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80" w:type="dxa"/>
            <w:vAlign w:val="bottom"/>
          </w:tcPr>
          <w:p>
            <w:pPr>
              <w:ind w:left="300"/>
              <w:spacing w:after="0"/>
              <w:rPr>
                <w:sz w:val="20"/>
                <w:szCs w:val="20"/>
                <w:color w:val="auto"/>
              </w:rPr>
            </w:pPr>
            <w:r>
              <w:rPr>
                <w:rFonts w:ascii="Arial" w:cs="Arial" w:eastAsia="Arial" w:hAnsi="Arial"/>
                <w:sz w:val="17"/>
                <w:szCs w:val="17"/>
                <w:color w:val="auto"/>
              </w:rPr>
              <w:t>2021, respectively</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7,222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 net of reserves of $1,909 and $942 at September 30, 2022 and December 31, 2021, respectively</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41,791</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20,498</w:t>
            </w: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Prepaid and refundable taxes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204</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680" w:type="dxa"/>
            <w:vAlign w:val="bottom"/>
            <w:tcBorders>
              <w:top w:val="single" w:sz="8" w:color="CCEEFF"/>
            </w:tcBorders>
          </w:tcPr>
          <w:p>
            <w:pPr>
              <w:ind w:left="300"/>
              <w:spacing w:after="0" w:line="184" w:lineRule="exact"/>
              <w:rPr>
                <w:sz w:val="20"/>
                <w:szCs w:val="20"/>
                <w:color w:val="auto"/>
              </w:rPr>
            </w:pPr>
            <w:r>
              <w:rPr>
                <w:rFonts w:ascii="Arial" w:cs="Arial" w:eastAsia="Arial" w:hAnsi="Arial"/>
                <w:sz w:val="17"/>
                <w:szCs w:val="17"/>
                <w:color w:val="auto"/>
              </w:rPr>
              <w:t>Total current assets</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63,690</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86,736</w:t>
            </w:r>
          </w:p>
        </w:tc>
        <w:tc>
          <w:tcPr>
            <w:tcW w:w="100" w:type="dxa"/>
            <w:vAlign w:val="bottom"/>
            <w:tcBorders>
              <w:top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6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3"/>
              </w:rPr>
              <w:t>Loan receivable, net of allowance for doubtful accounts of $21,770 and $0 at September 30, 2022 and December 31, 2021,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29,232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22,255</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13,208</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6,232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net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50,090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14,072</w:t>
            </w: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non-current assets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110,045</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182,048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9,558</w:t>
            </w:r>
          </w:p>
        </w:tc>
        <w:tc>
          <w:tcPr>
            <w:tcW w:w="220" w:type="dxa"/>
            <w:vAlign w:val="bottom"/>
          </w:tcPr>
          <w:p>
            <w:pPr>
              <w:spacing w:after="0"/>
              <w:rPr>
                <w:sz w:val="17"/>
                <w:szCs w:val="17"/>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9,151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 and other current liabilities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20,505</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28,764</w:t>
            </w: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Operating lease liabilities, current</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822</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current</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31,814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7"/>
                <w:szCs w:val="17"/>
                <w:color w:val="auto"/>
              </w:rPr>
              <w:t>Deferred revenue</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10,136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72,835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187</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liabilities</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5,118</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Operating lease liabilities, non-current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704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bottom w:val="single" w:sz="8" w:color="CCEEFF"/>
            </w:tcBorders>
          </w:tcPr>
          <w:p>
            <w:pPr>
              <w:ind w:left="300"/>
              <w:spacing w:after="0" w:line="184" w:lineRule="exact"/>
              <w:rPr>
                <w:sz w:val="20"/>
                <w:szCs w:val="20"/>
                <w:color w:val="auto"/>
              </w:rPr>
            </w:pPr>
            <w:r>
              <w:rPr>
                <w:rFonts w:ascii="Arial" w:cs="Arial" w:eastAsia="Arial" w:hAnsi="Arial"/>
                <w:sz w:val="17"/>
                <w:szCs w:val="17"/>
                <w:color w:val="auto"/>
              </w:rPr>
              <w:t>Total liabilities</w:t>
            </w: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80,364</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44,624</w:t>
            </w:r>
          </w:p>
        </w:tc>
        <w:tc>
          <w:tcPr>
            <w:tcW w:w="100" w:type="dxa"/>
            <w:vAlign w:val="bottom"/>
            <w:tcBorders>
              <w:top w:val="single" w:sz="8" w:color="CCEEFF"/>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Stockholders’ equity:</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8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w w:val="88"/>
              </w:rPr>
              <w:t>Common Stock, $0.001 par value per share, 5,000,000 and 2,500,000 shares authorized at September 30, 2022 and December</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8"/>
              </w:rPr>
              <w:t>31, 2021, respectively, 134,550 and 111,035 shares issued and outstanding at September 30, 2022 and December 31, 2021,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680" w:type="dxa"/>
            <w:vAlign w:val="bottom"/>
            <w:shd w:val="clear" w:color="auto" w:fill="CCEEFF"/>
          </w:tcPr>
          <w:p>
            <w:pPr>
              <w:ind w:left="300"/>
              <w:spacing w:after="0" w:line="246" w:lineRule="exact"/>
              <w:rPr>
                <w:sz w:val="20"/>
                <w:szCs w:val="20"/>
                <w:color w:val="auto"/>
              </w:rPr>
            </w:pPr>
            <w:r>
              <w:rPr>
                <w:rFonts w:ascii="Arial" w:cs="Arial" w:eastAsia="Arial" w:hAnsi="Arial"/>
                <w:sz w:val="17"/>
                <w:szCs w:val="17"/>
                <w:color w:val="auto"/>
              </w:rPr>
              <w:t xml:space="preserve">respectively </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Preferred Stock, $0.001 par value per share, 2,895,000 shares authorized, no shares issued or outstanding</w:t>
            </w: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A Stock, $0.001 par value per share, 105,000 shares authorized, no shares issued or outstanding</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40"/>
              <w:spacing w:after="0" w:line="236" w:lineRule="exact"/>
              <w:rPr>
                <w:sz w:val="20"/>
                <w:szCs w:val="20"/>
                <w:color w:val="auto"/>
              </w:rPr>
            </w:pPr>
            <w:r>
              <w:rPr>
                <w:rFonts w:ascii="Arial" w:cs="Arial" w:eastAsia="Arial" w:hAnsi="Arial"/>
                <w:sz w:val="17"/>
                <w:szCs w:val="17"/>
                <w:color w:val="auto"/>
              </w:rPr>
              <w:t xml:space="preserve">Additional paid-in capital </w:t>
            </w:r>
            <w:r>
              <w:rPr>
                <w:rFonts w:ascii="Arial" w:cs="Arial" w:eastAsia="Arial" w:hAnsi="Arial"/>
                <w:sz w:val="27"/>
                <w:szCs w:val="27"/>
                <w:color w:val="auto"/>
                <w:vertAlign w:val="superscript"/>
              </w:rPr>
              <w:t>(1)</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218,523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196,034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(189,212)</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(58,975)</w:t>
            </w: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bottom w:val="single" w:sz="8" w:color="CCEEFF"/>
            </w:tcBorders>
          </w:tcPr>
          <w:p>
            <w:pPr>
              <w:ind w:left="300"/>
              <w:spacing w:after="0" w:line="184" w:lineRule="exact"/>
              <w:rPr>
                <w:sz w:val="20"/>
                <w:szCs w:val="20"/>
                <w:color w:val="auto"/>
              </w:rPr>
            </w:pPr>
            <w:r>
              <w:rPr>
                <w:rFonts w:ascii="Arial" w:cs="Arial" w:eastAsia="Arial" w:hAnsi="Arial"/>
                <w:sz w:val="17"/>
                <w:szCs w:val="17"/>
                <w:color w:val="auto"/>
              </w:rPr>
              <w:t>Total stockholders’ equity attributable to Agrify</w:t>
            </w: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29,311</w:t>
            </w:r>
          </w:p>
        </w:tc>
        <w:tc>
          <w:tcPr>
            <w:tcW w:w="22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137,059</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300"/>
              <w:spacing w:after="0" w:line="189" w:lineRule="exact"/>
              <w:rPr>
                <w:sz w:val="20"/>
                <w:szCs w:val="20"/>
                <w:color w:val="auto"/>
              </w:rPr>
            </w:pPr>
            <w:r>
              <w:rPr>
                <w:rFonts w:ascii="Arial" w:cs="Arial" w:eastAsia="Arial" w:hAnsi="Arial"/>
                <w:sz w:val="17"/>
                <w:szCs w:val="17"/>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110,045</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182,048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301" w:right="100" w:hanging="301"/>
        <w:spacing w:after="0" w:line="301" w:lineRule="auto"/>
        <w:tabs>
          <w:tab w:leader="none" w:pos="301" w:val="left"/>
        </w:tabs>
        <w:numPr>
          <w:ilvl w:val="0"/>
          <w:numId w:val="3"/>
        </w:numPr>
        <w:rPr>
          <w:rFonts w:ascii="Arial" w:cs="Arial" w:eastAsia="Arial" w:hAnsi="Arial"/>
          <w:sz w:val="15"/>
          <w:szCs w:val="15"/>
          <w:color w:val="auto"/>
        </w:rPr>
      </w:pPr>
      <w:r>
        <w:rPr>
          <w:rFonts w:ascii="Arial" w:cs="Arial" w:eastAsia="Arial" w:hAnsi="Arial"/>
          <w:sz w:val="15"/>
          <w:szCs w:val="15"/>
          <w:color w:val="auto"/>
        </w:rPr>
        <w:t>Periods presented have been adjusted to reflect the 1-for-1.581804 reverse stock split on January 12, 2021,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sectPr>
      </w:pPr>
    </w:p>
    <w:bookmarkStart w:id="4" w:name="page5"/>
    <w:bookmarkEnd w:id="4"/>
    <w:p>
      <w:pPr>
        <w:ind w:left="3861"/>
        <w:spacing w:after="0"/>
        <w:rPr>
          <w:sz w:val="20"/>
          <w:szCs w:val="20"/>
          <w:color w:val="auto"/>
        </w:rPr>
      </w:pPr>
      <w:r>
        <w:rPr>
          <w:rFonts w:ascii="Arial" w:cs="Arial" w:eastAsia="Arial" w:hAnsi="Arial"/>
          <w:sz w:val="17"/>
          <w:szCs w:val="17"/>
          <w:b w:val="1"/>
          <w:bCs w:val="1"/>
          <w:color w:val="auto"/>
        </w:rPr>
        <w:t>AGRIFY CORPORATION AND SUBSIDIARIES</w:t>
      </w:r>
    </w:p>
    <w:p>
      <w:pPr>
        <w:spacing w:after="0" w:line="18" w:lineRule="exact"/>
        <w:rPr>
          <w:sz w:val="20"/>
          <w:szCs w:val="20"/>
          <w:color w:val="auto"/>
        </w:rPr>
      </w:pPr>
    </w:p>
    <w:p>
      <w:pPr>
        <w:ind w:left="3861"/>
        <w:spacing w:after="0"/>
        <w:rPr>
          <w:sz w:val="20"/>
          <w:szCs w:val="20"/>
          <w:color w:val="auto"/>
        </w:rPr>
      </w:pPr>
      <w:r>
        <w:rPr>
          <w:rFonts w:ascii="Arial" w:cs="Arial" w:eastAsia="Arial" w:hAnsi="Arial"/>
          <w:sz w:val="17"/>
          <w:szCs w:val="17"/>
          <w:b w:val="1"/>
          <w:bCs w:val="1"/>
          <w:color w:val="auto"/>
        </w:rPr>
        <w:t>Condensed Consolidated Statement of Operations</w:t>
      </w:r>
    </w:p>
    <w:p>
      <w:pPr>
        <w:spacing w:after="0" w:line="3" w:lineRule="exact"/>
        <w:rPr>
          <w:sz w:val="20"/>
          <w:szCs w:val="20"/>
          <w:color w:val="auto"/>
        </w:rPr>
      </w:pPr>
    </w:p>
    <w:p>
      <w:pPr>
        <w:ind w:left="3961"/>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6"/>
          </w:tcPr>
          <w:p>
            <w:pPr>
              <w:jc w:val="right"/>
              <w:ind w:right="643"/>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7"/>
                <w:szCs w:val="17"/>
                <w:color w:val="auto"/>
              </w:rPr>
            </w:pPr>
          </w:p>
        </w:tc>
        <w:tc>
          <w:tcPr>
            <w:tcW w:w="2480" w:type="dxa"/>
            <w:vAlign w:val="bottom"/>
            <w:gridSpan w:val="6"/>
          </w:tcPr>
          <w:p>
            <w:pPr>
              <w:jc w:val="right"/>
              <w:ind w:right="54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319"/>
              <w:spacing w:after="0" w:line="182"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319"/>
              <w:spacing w:after="0" w:line="182"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w w:val="85"/>
              </w:rPr>
              <w:t>(As Restated)</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19"/>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3"/>
              <w:spacing w:after="0"/>
              <w:rPr>
                <w:sz w:val="20"/>
                <w:szCs w:val="20"/>
                <w:color w:val="auto"/>
              </w:rPr>
            </w:pPr>
            <w:r>
              <w:rPr>
                <w:rFonts w:ascii="Arial" w:cs="Arial" w:eastAsia="Arial" w:hAnsi="Arial"/>
                <w:sz w:val="17"/>
                <w:szCs w:val="17"/>
                <w:b w:val="1"/>
                <w:bCs w:val="1"/>
                <w:color w:val="auto"/>
                <w:w w:val="85"/>
              </w:rPr>
              <w:t>(As Restated)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19"/>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89"/>
              </w:rPr>
              <w:t>Revenue (including $0, $5,215, $2,411 and $21,570 from related parties, respectively)</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Cost of goods sold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11,135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16,131</w:t>
            </w:r>
          </w:p>
        </w:tc>
        <w:tc>
          <w:tcPr>
            <w:tcW w:w="8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50,703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34,977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Gross (loss) profit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4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2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24,126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7,705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53,263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16,562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2,160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890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2,288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827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2,483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Change in contingent consideration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3"/>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3"/>
              <w:spacing w:after="0"/>
              <w:rPr>
                <w:sz w:val="20"/>
                <w:szCs w:val="20"/>
                <w:color w:val="auto"/>
              </w:rPr>
            </w:pPr>
            <w:r>
              <w:rPr>
                <w:rFonts w:ascii="Arial" w:cs="Arial" w:eastAsia="Arial" w:hAnsi="Arial"/>
                <w:sz w:val="17"/>
                <w:szCs w:val="17"/>
                <w:color w:val="auto"/>
              </w:rPr>
              <w:t>(1,509)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goodwill and intangible assets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69,904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Total operating expenses</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27,431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9,422</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134,509</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21,333</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Loss from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(31,547</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(9,802</w:t>
            </w:r>
          </w:p>
        </w:tc>
        <w:tc>
          <w:tcPr>
            <w:tcW w:w="2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(132,843</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tcPr>
          <w:p>
            <w:pPr>
              <w:spacing w:after="0" w:line="183" w:lineRule="exact"/>
              <w:rPr>
                <w:sz w:val="20"/>
                <w:szCs w:val="20"/>
                <w:color w:val="auto"/>
              </w:rPr>
            </w:pPr>
            <w:r>
              <w:rPr>
                <w:rFonts w:ascii="Arial" w:cs="Arial" w:eastAsia="Arial" w:hAnsi="Arial"/>
                <w:sz w:val="17"/>
                <w:szCs w:val="17"/>
                <w:color w:val="auto"/>
              </w:rPr>
              <w:t>Interest (expense) income,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(4,654)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45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7"/>
                <w:szCs w:val="17"/>
                <w:color w:val="auto"/>
              </w:rPr>
              <w:t>(7,404)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Change in fair value of warrant liabilities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16,268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47,234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(Loss) gain on extinguishment of notes payable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(38,985)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(38,985)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2,685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Other (expense) income, net</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(25,865</w:t>
            </w:r>
          </w:p>
        </w:tc>
        <w:tc>
          <w:tcPr>
            <w:tcW w:w="140" w:type="dxa"/>
            <w:vAlign w:val="bottom"/>
            <w:tcBorders>
              <w:top w:val="single" w:sz="8" w:color="CCEEFF"/>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30</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2,351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2,675</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 before income taxes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Income tax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loss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(130,230)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Income (loss) attributable to non-controlling interests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83"/>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Net loss attributable to Agrify Corporation</w:t>
            </w: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vMerge w:val="continue"/>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(57,413</w:t>
            </w:r>
          </w:p>
        </w:tc>
        <w:tc>
          <w:tcPr>
            <w:tcW w:w="140" w:type="dxa"/>
            <w:vAlign w:val="bottom"/>
            <w:vMerge w:val="continue"/>
            <w:shd w:val="clear" w:color="auto" w:fill="CCEEFF"/>
          </w:tcPr>
          <w:p>
            <w:pPr>
              <w:spacing w:after="0"/>
              <w:rPr>
                <w:sz w:val="19"/>
                <w:szCs w:val="19"/>
                <w:color w:val="auto"/>
              </w:rPr>
            </w:pPr>
          </w:p>
        </w:tc>
        <w:tc>
          <w:tcPr>
            <w:tcW w:w="46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(9,758</w:t>
            </w:r>
          </w:p>
        </w:tc>
        <w:tc>
          <w:tcPr>
            <w:tcW w:w="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(130,235</w:t>
            </w:r>
          </w:p>
        </w:tc>
        <w:tc>
          <w:tcPr>
            <w:tcW w:w="14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(19,204</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spacing w:after="0" w:line="186" w:lineRule="exact"/>
              <w:rPr>
                <w:sz w:val="20"/>
                <w:szCs w:val="20"/>
                <w:color w:val="auto"/>
              </w:rPr>
            </w:pPr>
            <w:r>
              <w:rPr>
                <w:rFonts w:ascii="Arial" w:cs="Arial" w:eastAsia="Arial" w:hAnsi="Arial"/>
                <w:sz w:val="14"/>
                <w:szCs w:val="14"/>
                <w:color w:val="auto"/>
              </w:rPr>
              <w:t xml:space="preserve">Net loss per share attributable to Common Stockholders – basic and diluted </w:t>
            </w:r>
            <w:r>
              <w:rPr>
                <w:rFonts w:ascii="Arial" w:cs="Arial" w:eastAsia="Arial" w:hAnsi="Arial"/>
                <w:sz w:val="21"/>
                <w:szCs w:val="21"/>
                <w:color w:val="auto"/>
                <w:vertAlign w:val="superscript"/>
              </w:rPr>
              <w:t>(1)</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vMerge w:val="continue"/>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2"/>
                <w:szCs w:val="12"/>
                <w:color w:val="auto"/>
              </w:rPr>
            </w:pPr>
          </w:p>
        </w:tc>
        <w:tc>
          <w:tcPr>
            <w:tcW w:w="140" w:type="dxa"/>
            <w:vAlign w:val="bottom"/>
          </w:tcPr>
          <w:p>
            <w:pPr>
              <w:jc w:val="right"/>
              <w:ind w:right="3"/>
              <w:spacing w:after="0" w:line="146" w:lineRule="exact"/>
              <w:rPr>
                <w:sz w:val="20"/>
                <w:szCs w:val="20"/>
                <w:color w:val="auto"/>
              </w:rPr>
            </w:pPr>
            <w:r>
              <w:rPr>
                <w:rFonts w:ascii="Arial" w:cs="Arial" w:eastAsia="Arial" w:hAnsi="Arial"/>
                <w:sz w:val="15"/>
                <w:szCs w:val="15"/>
                <w:color w:val="auto"/>
                <w:w w:val="79"/>
              </w:rPr>
              <w:t>)</w:t>
            </w:r>
          </w:p>
        </w:tc>
        <w:tc>
          <w:tcPr>
            <w:tcW w:w="460" w:type="dxa"/>
            <w:vAlign w:val="bottom"/>
            <w:gridSpan w:val="2"/>
            <w:vMerge w:val="restart"/>
          </w:tcPr>
          <w:p>
            <w:pPr>
              <w:jc w:val="right"/>
              <w:ind w:right="223"/>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2"/>
                <w:szCs w:val="12"/>
                <w:color w:val="auto"/>
              </w:rPr>
            </w:pPr>
          </w:p>
        </w:tc>
        <w:tc>
          <w:tcPr>
            <w:tcW w:w="220" w:type="dxa"/>
            <w:vAlign w:val="bottom"/>
          </w:tcPr>
          <w:p>
            <w:pPr>
              <w:jc w:val="right"/>
              <w:ind w:right="83"/>
              <w:spacing w:after="0" w:line="146" w:lineRule="exact"/>
              <w:rPr>
                <w:sz w:val="20"/>
                <w:szCs w:val="20"/>
                <w:color w:val="auto"/>
              </w:rPr>
            </w:pPr>
            <w:r>
              <w:rPr>
                <w:rFonts w:ascii="Arial" w:cs="Arial" w:eastAsia="Arial" w:hAnsi="Arial"/>
                <w:sz w:val="15"/>
                <w:szCs w:val="15"/>
                <w:color w:val="auto"/>
                <w:w w:val="79"/>
              </w:rPr>
              <w: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12"/>
                <w:szCs w:val="12"/>
                <w:color w:val="auto"/>
              </w:rPr>
            </w:pPr>
          </w:p>
        </w:tc>
        <w:tc>
          <w:tcPr>
            <w:tcW w:w="140" w:type="dxa"/>
            <w:vAlign w:val="bottom"/>
          </w:tcPr>
          <w:p>
            <w:pPr>
              <w:jc w:val="right"/>
              <w:ind w:right="3"/>
              <w:spacing w:after="0" w:line="146" w:lineRule="exact"/>
              <w:rPr>
                <w:sz w:val="20"/>
                <w:szCs w:val="20"/>
                <w:color w:val="auto"/>
              </w:rPr>
            </w:pPr>
            <w:r>
              <w:rPr>
                <w:rFonts w:ascii="Arial" w:cs="Arial" w:eastAsia="Arial" w:hAnsi="Arial"/>
                <w:sz w:val="15"/>
                <w:szCs w:val="15"/>
                <w:color w:val="auto"/>
                <w:w w:val="79"/>
              </w:rPr>
              <w:t>)</w:t>
            </w:r>
          </w:p>
        </w:tc>
        <w:tc>
          <w:tcPr>
            <w:tcW w:w="480" w:type="dxa"/>
            <w:vAlign w:val="bottom"/>
            <w:gridSpan w:val="2"/>
            <w:vMerge w:val="restart"/>
          </w:tcPr>
          <w:p>
            <w:pPr>
              <w:jc w:val="right"/>
              <w:ind w:right="243"/>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2"/>
                <w:szCs w:val="12"/>
                <w:color w:val="auto"/>
              </w:rPr>
            </w:pPr>
          </w:p>
        </w:tc>
        <w:tc>
          <w:tcPr>
            <w:tcW w:w="100" w:type="dxa"/>
            <w:vAlign w:val="bottom"/>
          </w:tcPr>
          <w:p>
            <w:pPr>
              <w:jc w:val="right"/>
              <w:spacing w:after="0" w:line="146"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200" w:type="dxa"/>
            <w:vAlign w:val="bottom"/>
            <w:gridSpan w:val="2"/>
          </w:tcPr>
          <w:p>
            <w:pPr>
              <w:jc w:val="right"/>
              <w:ind w:right="63"/>
              <w:spacing w:after="0" w:line="87" w:lineRule="exact"/>
              <w:rPr>
                <w:sz w:val="20"/>
                <w:szCs w:val="20"/>
                <w:color w:val="auto"/>
              </w:rPr>
            </w:pPr>
            <w:r>
              <w:rPr>
                <w:rFonts w:ascii="Arial" w:cs="Arial" w:eastAsia="Arial" w:hAnsi="Arial"/>
                <w:sz w:val="10"/>
                <w:szCs w:val="10"/>
                <w:color w:val="auto"/>
              </w:rPr>
              <w:t>(429.98</w:t>
            </w:r>
          </w:p>
        </w:tc>
        <w:tc>
          <w:tcPr>
            <w:tcW w:w="460" w:type="dxa"/>
            <w:vAlign w:val="bottom"/>
            <w:gridSpan w:val="2"/>
            <w:vMerge w:val="continue"/>
          </w:tcPr>
          <w:p>
            <w:pPr>
              <w:spacing w:after="0"/>
              <w:rPr>
                <w:sz w:val="11"/>
                <w:szCs w:val="11"/>
                <w:color w:val="auto"/>
              </w:rPr>
            </w:pPr>
          </w:p>
        </w:tc>
        <w:tc>
          <w:tcPr>
            <w:tcW w:w="960" w:type="dxa"/>
            <w:vAlign w:val="bottom"/>
            <w:gridSpan w:val="2"/>
          </w:tcPr>
          <w:p>
            <w:pPr>
              <w:jc w:val="right"/>
              <w:ind w:right="143"/>
              <w:spacing w:after="0" w:line="87" w:lineRule="exact"/>
              <w:rPr>
                <w:sz w:val="20"/>
                <w:szCs w:val="20"/>
                <w:color w:val="auto"/>
              </w:rPr>
            </w:pPr>
            <w:r>
              <w:rPr>
                <w:rFonts w:ascii="Arial" w:cs="Arial" w:eastAsia="Arial" w:hAnsi="Arial"/>
                <w:sz w:val="10"/>
                <w:szCs w:val="10"/>
                <w:color w:val="auto"/>
              </w:rPr>
              <w:t>(93.67</w:t>
            </w:r>
          </w:p>
        </w:tc>
        <w:tc>
          <w:tcPr>
            <w:tcW w:w="80" w:type="dxa"/>
            <w:vAlign w:val="bottom"/>
            <w:vMerge w:val="continue"/>
          </w:tcPr>
          <w:p>
            <w:pPr>
              <w:spacing w:after="0"/>
              <w:rPr>
                <w:sz w:val="11"/>
                <w:szCs w:val="11"/>
                <w:color w:val="auto"/>
              </w:rPr>
            </w:pPr>
          </w:p>
        </w:tc>
        <w:tc>
          <w:tcPr>
            <w:tcW w:w="1180" w:type="dxa"/>
            <w:vAlign w:val="bottom"/>
            <w:gridSpan w:val="2"/>
          </w:tcPr>
          <w:p>
            <w:pPr>
              <w:jc w:val="right"/>
              <w:ind w:right="63"/>
              <w:spacing w:after="0" w:line="87" w:lineRule="exact"/>
              <w:rPr>
                <w:sz w:val="20"/>
                <w:szCs w:val="20"/>
                <w:color w:val="auto"/>
              </w:rPr>
            </w:pPr>
            <w:r>
              <w:rPr>
                <w:rFonts w:ascii="Arial" w:cs="Arial" w:eastAsia="Arial" w:hAnsi="Arial"/>
                <w:sz w:val="10"/>
                <w:szCs w:val="10"/>
                <w:color w:val="auto"/>
              </w:rPr>
              <w:t>(1,003.10</w:t>
            </w:r>
          </w:p>
        </w:tc>
        <w:tc>
          <w:tcPr>
            <w:tcW w:w="480" w:type="dxa"/>
            <w:vAlign w:val="bottom"/>
            <w:gridSpan w:val="2"/>
            <w:vMerge w:val="continue"/>
          </w:tcPr>
          <w:p>
            <w:pPr>
              <w:spacing w:after="0"/>
              <w:rPr>
                <w:sz w:val="11"/>
                <w:szCs w:val="11"/>
                <w:color w:val="auto"/>
              </w:rPr>
            </w:pPr>
          </w:p>
        </w:tc>
        <w:tc>
          <w:tcPr>
            <w:tcW w:w="820" w:type="dxa"/>
            <w:vAlign w:val="bottom"/>
            <w:gridSpan w:val="2"/>
          </w:tcPr>
          <w:p>
            <w:pPr>
              <w:jc w:val="right"/>
              <w:ind w:right="23"/>
              <w:spacing w:after="0" w:line="87" w:lineRule="exact"/>
              <w:rPr>
                <w:sz w:val="20"/>
                <w:szCs w:val="20"/>
                <w:color w:val="auto"/>
              </w:rPr>
            </w:pPr>
            <w:r>
              <w:rPr>
                <w:rFonts w:ascii="Arial" w:cs="Arial" w:eastAsia="Arial" w:hAnsi="Arial"/>
                <w:sz w:val="10"/>
                <w:szCs w:val="10"/>
                <w:color w:val="auto"/>
              </w:rPr>
              <w:t>(212.57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tcBorders>
              <w:top w:val="single" w:sz="8" w:color="CCEEFF"/>
              <w:bottom w:val="single" w:sz="8" w:color="CCEEFF"/>
            </w:tcBorders>
            <w:shd w:val="clear" w:color="auto" w:fill="CCEEFF"/>
          </w:tcPr>
          <w:p>
            <w:pPr>
              <w:spacing w:after="0" w:line="233" w:lineRule="exact"/>
              <w:rPr>
                <w:sz w:val="20"/>
                <w:szCs w:val="20"/>
                <w:color w:val="auto"/>
              </w:rPr>
            </w:pPr>
            <w:r>
              <w:rPr>
                <w:rFonts w:ascii="Arial" w:cs="Arial" w:eastAsia="Arial" w:hAnsi="Arial"/>
                <w:sz w:val="17"/>
                <w:szCs w:val="17"/>
                <w:color w:val="auto"/>
              </w:rPr>
              <w:t xml:space="preserve">Weighted-average common shares outstanding – basic and diluted </w:t>
            </w:r>
            <w:r>
              <w:rPr>
                <w:rFonts w:ascii="Arial" w:cs="Arial" w:eastAsia="Arial" w:hAnsi="Arial"/>
                <w:sz w:val="27"/>
                <w:szCs w:val="27"/>
                <w:color w:val="auto"/>
                <w:vertAlign w:val="superscript"/>
              </w:rPr>
              <w:t>(1)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133,526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301" w:right="100" w:hanging="301"/>
        <w:spacing w:after="0" w:line="301" w:lineRule="auto"/>
        <w:tabs>
          <w:tab w:leader="none" w:pos="301" w:val="left"/>
        </w:tabs>
        <w:numPr>
          <w:ilvl w:val="0"/>
          <w:numId w:val="4"/>
        </w:numPr>
        <w:rPr>
          <w:rFonts w:ascii="Arial" w:cs="Arial" w:eastAsia="Arial" w:hAnsi="Arial"/>
          <w:sz w:val="15"/>
          <w:szCs w:val="15"/>
          <w:color w:val="auto"/>
        </w:rPr>
      </w:pPr>
      <w:r>
        <w:rPr>
          <w:rFonts w:ascii="Arial" w:cs="Arial" w:eastAsia="Arial" w:hAnsi="Arial"/>
          <w:sz w:val="15"/>
          <w:szCs w:val="15"/>
          <w:color w:val="auto"/>
        </w:rPr>
        <w:t>Periods presented have been adjusted to reflect the 1-for-1.581804 reverse stock split on January 12, 2021,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AGRIFY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Total</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Arial" w:cs="Arial" w:eastAsia="Arial" w:hAnsi="Arial"/>
                <w:sz w:val="17"/>
                <w:szCs w:val="17"/>
                <w:b w:val="1"/>
                <w:bCs w:val="1"/>
                <w:color w:val="auto"/>
                <w:w w:val="94"/>
              </w:rPr>
              <w:t>Stockholders’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1520" w:type="dxa"/>
            <w:vAlign w:val="bottom"/>
            <w:gridSpan w:val="2"/>
            <w:vMerge w:val="restart"/>
          </w:tcPr>
          <w:p>
            <w:pPr>
              <w:jc w:val="right"/>
              <w:ind w:right="1"/>
              <w:spacing w:after="0"/>
              <w:rPr>
                <w:sz w:val="20"/>
                <w:szCs w:val="20"/>
                <w:color w:val="auto"/>
              </w:rPr>
            </w:pPr>
            <w:r>
              <w:rPr>
                <w:rFonts w:ascii="Arial" w:cs="Arial" w:eastAsia="Arial" w:hAnsi="Arial"/>
                <w:sz w:val="17"/>
                <w:szCs w:val="17"/>
                <w:b w:val="1"/>
                <w:bCs w:val="1"/>
                <w:color w:val="auto"/>
              </w:rPr>
              <w:t>Common 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vMerge w:val="restart"/>
          </w:tcPr>
          <w:p>
            <w:pPr>
              <w:ind w:left="220"/>
              <w:spacing w:after="0"/>
              <w:rPr>
                <w:sz w:val="20"/>
                <w:szCs w:val="20"/>
                <w:color w:val="auto"/>
              </w:rPr>
            </w:pPr>
            <w:r>
              <w:rPr>
                <w:rFonts w:ascii="Arial" w:cs="Arial" w:eastAsia="Arial" w:hAnsi="Arial"/>
                <w:sz w:val="17"/>
                <w:szCs w:val="17"/>
                <w:b w:val="1"/>
                <w:bCs w:val="1"/>
                <w:color w:val="auto"/>
              </w:rPr>
              <w:t>Preferred A Stock</w:t>
            </w:r>
          </w:p>
        </w:tc>
        <w:tc>
          <w:tcPr>
            <w:tcW w:w="100" w:type="dxa"/>
            <w:vAlign w:val="bottom"/>
            <w:vMerge w:val="restart"/>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Additional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Equity</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Non-</w:t>
            </w:r>
          </w:p>
        </w:tc>
        <w:tc>
          <w:tcPr>
            <w:tcW w:w="160" w:type="dxa"/>
            <w:vAlign w:val="bottom"/>
          </w:tcPr>
          <w:p>
            <w:pPr>
              <w:spacing w:after="0"/>
              <w:rPr>
                <w:sz w:val="17"/>
                <w:szCs w:val="17"/>
                <w:color w:val="auto"/>
              </w:rPr>
            </w:pPr>
          </w:p>
        </w:tc>
        <w:tc>
          <w:tcPr>
            <w:tcW w:w="880" w:type="dxa"/>
            <w:vAlign w:val="bottom"/>
          </w:tcPr>
          <w:p>
            <w:pPr>
              <w:jc w:val="right"/>
              <w:ind w:right="29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7"/>
        </w:trPr>
        <w:tc>
          <w:tcPr>
            <w:tcW w:w="2400" w:type="dxa"/>
            <w:vAlign w:val="bottom"/>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Paid-In</w:t>
            </w:r>
          </w:p>
        </w:tc>
        <w:tc>
          <w:tcPr>
            <w:tcW w:w="1040" w:type="dxa"/>
            <w:vAlign w:val="bottom"/>
            <w:gridSpan w:val="3"/>
          </w:tcPr>
          <w:p>
            <w:pPr>
              <w:ind w:left="20"/>
              <w:spacing w:after="0"/>
              <w:rPr>
                <w:sz w:val="20"/>
                <w:szCs w:val="20"/>
                <w:color w:val="auto"/>
              </w:rPr>
            </w:pPr>
            <w:r>
              <w:rPr>
                <w:rFonts w:ascii="Arial" w:cs="Arial" w:eastAsia="Arial" w:hAnsi="Arial"/>
                <w:sz w:val="17"/>
                <w:szCs w:val="17"/>
                <w:b w:val="1"/>
                <w:bCs w:val="1"/>
                <w:color w:val="auto"/>
                <w:w w:val="93"/>
              </w:rPr>
              <w:t>Accumulated</w:t>
            </w:r>
          </w:p>
        </w:tc>
        <w:tc>
          <w:tcPr>
            <w:tcW w:w="4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attributable</w:t>
            </w:r>
          </w:p>
        </w:tc>
        <w:tc>
          <w:tcPr>
            <w:tcW w:w="9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Controlling</w:t>
            </w:r>
          </w:p>
        </w:tc>
        <w:tc>
          <w:tcPr>
            <w:tcW w:w="1040" w:type="dxa"/>
            <w:vAlign w:val="bottom"/>
            <w:gridSpan w:val="2"/>
          </w:tcPr>
          <w:p>
            <w:pPr>
              <w:spacing w:after="0"/>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p>
        </w:tc>
        <w:tc>
          <w:tcPr>
            <w:tcW w:w="920" w:type="dxa"/>
            <w:vAlign w:val="bottom"/>
          </w:tcPr>
          <w:p>
            <w:pPr>
              <w:jc w:val="right"/>
              <w:ind w:right="97"/>
              <w:spacing w:after="0" w:line="236" w:lineRule="exact"/>
              <w:rPr>
                <w:sz w:val="20"/>
                <w:szCs w:val="20"/>
                <w:color w:val="auto"/>
              </w:rPr>
            </w:pPr>
            <w:r>
              <w:rPr>
                <w:rFonts w:ascii="Arial" w:cs="Arial" w:eastAsia="Arial" w:hAnsi="Arial"/>
                <w:sz w:val="17"/>
                <w:szCs w:val="17"/>
                <w:b w:val="1"/>
                <w:bCs w:val="1"/>
                <w:color w:val="auto"/>
                <w:w w:val="86"/>
              </w:rPr>
              <w:t xml:space="preserve">Shares </w:t>
            </w:r>
            <w:r>
              <w:rPr>
                <w:rFonts w:ascii="Arial" w:cs="Arial" w:eastAsia="Arial" w:hAnsi="Arial"/>
                <w:sz w:val="27"/>
                <w:szCs w:val="27"/>
                <w:b w:val="1"/>
                <w:bCs w:val="1"/>
                <w:color w:val="auto"/>
                <w:w w:val="86"/>
                <w:vertAlign w:val="superscript"/>
              </w:rPr>
              <w:t>(1)</w:t>
            </w:r>
          </w:p>
        </w:tc>
        <w:tc>
          <w:tcPr>
            <w:tcW w:w="840" w:type="dxa"/>
            <w:vAlign w:val="bottom"/>
            <w:gridSpan w:val="2"/>
          </w:tcPr>
          <w:p>
            <w:pPr>
              <w:ind w:left="20"/>
              <w:spacing w:after="0" w:line="236" w:lineRule="exact"/>
              <w:rPr>
                <w:sz w:val="20"/>
                <w:szCs w:val="20"/>
                <w:color w:val="auto"/>
              </w:rPr>
            </w:pPr>
            <w:r>
              <w:rPr>
                <w:rFonts w:ascii="Arial" w:cs="Arial" w:eastAsia="Arial" w:hAnsi="Arial"/>
                <w:sz w:val="17"/>
                <w:szCs w:val="17"/>
                <w:b w:val="1"/>
                <w:bCs w:val="1"/>
                <w:color w:val="auto"/>
                <w:w w:val="87"/>
              </w:rPr>
              <w:t xml:space="preserve">Amount </w:t>
            </w:r>
            <w:r>
              <w:rPr>
                <w:rFonts w:ascii="Arial" w:cs="Arial" w:eastAsia="Arial" w:hAnsi="Arial"/>
                <w:sz w:val="27"/>
                <w:szCs w:val="27"/>
                <w:b w:val="1"/>
                <w:bCs w:val="1"/>
                <w:color w:val="auto"/>
                <w:w w:val="87"/>
                <w:vertAlign w:val="superscript"/>
              </w:rPr>
              <w:t>(1)</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7"/>
                <w:szCs w:val="17"/>
                <w:b w:val="1"/>
                <w:bCs w:val="1"/>
                <w:color w:val="auto"/>
              </w:rPr>
              <w:t>Amount</w:t>
            </w:r>
          </w:p>
        </w:tc>
        <w:tc>
          <w:tcPr>
            <w:tcW w:w="960" w:type="dxa"/>
            <w:vAlign w:val="bottom"/>
            <w:gridSpan w:val="3"/>
          </w:tcPr>
          <w:p>
            <w:pPr>
              <w:jc w:val="center"/>
              <w:ind w:right="80"/>
              <w:spacing w:after="0" w:line="236" w:lineRule="exact"/>
              <w:rPr>
                <w:sz w:val="20"/>
                <w:szCs w:val="20"/>
                <w:color w:val="auto"/>
              </w:rPr>
            </w:pPr>
            <w:r>
              <w:rPr>
                <w:rFonts w:ascii="Arial" w:cs="Arial" w:eastAsia="Arial" w:hAnsi="Arial"/>
                <w:sz w:val="17"/>
                <w:szCs w:val="17"/>
                <w:b w:val="1"/>
                <w:bCs w:val="1"/>
                <w:color w:val="auto"/>
                <w:w w:val="86"/>
              </w:rPr>
              <w:t xml:space="preserve">Capital </w:t>
            </w:r>
            <w:r>
              <w:rPr>
                <w:rFonts w:ascii="Arial" w:cs="Arial" w:eastAsia="Arial" w:hAnsi="Arial"/>
                <w:sz w:val="27"/>
                <w:szCs w:val="27"/>
                <w:b w:val="1"/>
                <w:bCs w:val="1"/>
                <w:color w:val="auto"/>
                <w:w w:val="86"/>
                <w:vertAlign w:val="superscript"/>
              </w:rPr>
              <w:t>(1)</w:t>
            </w:r>
          </w:p>
        </w:tc>
        <w:tc>
          <w:tcPr>
            <w:tcW w:w="160" w:type="dxa"/>
            <w:vAlign w:val="bottom"/>
          </w:tcPr>
          <w:p>
            <w:pPr>
              <w:spacing w:after="0"/>
              <w:rPr>
                <w:sz w:val="20"/>
                <w:szCs w:val="20"/>
                <w:color w:val="auto"/>
              </w:rPr>
            </w:pPr>
          </w:p>
        </w:tc>
        <w:tc>
          <w:tcPr>
            <w:tcW w:w="880" w:type="dxa"/>
            <w:vAlign w:val="bottom"/>
            <w:gridSpan w:val="2"/>
          </w:tcPr>
          <w:p>
            <w:pPr>
              <w:jc w:val="right"/>
              <w:ind w:right="243"/>
              <w:spacing w:after="0"/>
              <w:rPr>
                <w:sz w:val="20"/>
                <w:szCs w:val="20"/>
                <w:color w:val="auto"/>
              </w:rPr>
            </w:pPr>
            <w:r>
              <w:rPr>
                <w:rFonts w:ascii="Arial" w:cs="Arial" w:eastAsia="Arial" w:hAnsi="Arial"/>
                <w:sz w:val="17"/>
                <w:szCs w:val="17"/>
                <w:b w:val="1"/>
                <w:bCs w:val="1"/>
                <w:color w:val="auto"/>
              </w:rPr>
              <w:t>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to Agrify</w:t>
            </w: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Interests</w:t>
            </w:r>
          </w:p>
        </w:tc>
        <w:tc>
          <w:tcPr>
            <w:tcW w:w="160" w:type="dxa"/>
            <w:vAlign w:val="bottom"/>
          </w:tcPr>
          <w:p>
            <w:pPr>
              <w:spacing w:after="0"/>
              <w:rPr>
                <w:sz w:val="20"/>
                <w:szCs w:val="20"/>
                <w:color w:val="auto"/>
              </w:rPr>
            </w:pPr>
          </w:p>
        </w:tc>
        <w:tc>
          <w:tcPr>
            <w:tcW w:w="880" w:type="dxa"/>
            <w:vAlign w:val="bottom"/>
          </w:tcPr>
          <w:p>
            <w:pPr>
              <w:jc w:val="right"/>
              <w:ind w:right="237"/>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198"/>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January 1, 2021</w:t>
            </w:r>
          </w:p>
        </w:tc>
        <w:tc>
          <w:tcPr>
            <w:tcW w:w="920" w:type="dxa"/>
            <w:vAlign w:val="bottom"/>
            <w:tcBorders>
              <w:top w:val="single" w:sz="8" w:color="auto"/>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21,058</w:t>
            </w:r>
          </w:p>
        </w:tc>
        <w:tc>
          <w:tcPr>
            <w:tcW w:w="60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2"/>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82"/>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(26,510)</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(6,679)</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(6,454)</w:t>
            </w:r>
          </w:p>
        </w:tc>
        <w:tc>
          <w:tcPr>
            <w:tcW w:w="0" w:type="dxa"/>
            <w:vAlign w:val="bottom"/>
          </w:tcPr>
          <w:p>
            <w:pPr>
              <w:spacing w:after="0"/>
              <w:rPr>
                <w:sz w:val="1"/>
                <w:szCs w:val="1"/>
                <w:color w:val="auto"/>
              </w:rPr>
            </w:pPr>
          </w:p>
        </w:tc>
      </w:tr>
      <w:tr>
        <w:trPr>
          <w:trHeight w:val="198"/>
        </w:trPr>
        <w:tc>
          <w:tcPr>
            <w:tcW w:w="240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3,066</w:t>
            </w:r>
          </w:p>
        </w:tc>
        <w:tc>
          <w:tcPr>
            <w:tcW w:w="16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3,066</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3,066</w:t>
            </w: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rPr>
              <w:t>Beneficial conversion feature</w:t>
            </w:r>
          </w:p>
        </w:tc>
        <w:tc>
          <w:tcPr>
            <w:tcW w:w="9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associated with amended</w:t>
            </w:r>
          </w:p>
        </w:tc>
        <w:tc>
          <w:tcPr>
            <w:tcW w:w="9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2"/>
              </w:rPr>
              <w:t>Convertible Promissory Notes</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3,869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3,869</w:t>
            </w:r>
          </w:p>
        </w:tc>
        <w:tc>
          <w:tcPr>
            <w:tcW w:w="0" w:type="dxa"/>
            <w:vAlign w:val="bottom"/>
          </w:tcPr>
          <w:p>
            <w:pPr>
              <w:spacing w:after="0"/>
              <w:rPr>
                <w:sz w:val="1"/>
                <w:szCs w:val="1"/>
                <w:color w:val="auto"/>
              </w:rPr>
            </w:pPr>
          </w:p>
        </w:tc>
      </w:tr>
      <w:tr>
        <w:trPr>
          <w:trHeight w:val="198"/>
        </w:trPr>
        <w:tc>
          <w:tcPr>
            <w:tcW w:w="2400" w:type="dxa"/>
            <w:vAlign w:val="bottom"/>
          </w:tcPr>
          <w:p>
            <w:pPr>
              <w:ind w:left="140"/>
              <w:spacing w:after="0"/>
              <w:rPr>
                <w:sz w:val="20"/>
                <w:szCs w:val="20"/>
                <w:color w:val="auto"/>
              </w:rPr>
            </w:pPr>
            <w:r>
              <w:rPr>
                <w:rFonts w:ascii="Arial" w:cs="Arial" w:eastAsia="Arial" w:hAnsi="Arial"/>
                <w:sz w:val="17"/>
                <w:szCs w:val="17"/>
                <w:color w:val="auto"/>
                <w:w w:val="91"/>
              </w:rPr>
              <w:t>Conversion of Convertible Notes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8,485</w:t>
            </w: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13,100</w:t>
            </w:r>
          </w:p>
        </w:tc>
        <w:tc>
          <w:tcPr>
            <w:tcW w:w="16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13,100</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13,100</w:t>
            </w: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rPr>
              <w:t>Issuance of Common Stock –</w:t>
            </w:r>
          </w:p>
        </w:tc>
        <w:tc>
          <w:tcPr>
            <w:tcW w:w="9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Initial Public Offering</w:t>
            </w:r>
          </w:p>
        </w:tc>
        <w:tc>
          <w:tcPr>
            <w:tcW w:w="9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(“IPO”), net of fees</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31,050</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56,961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56,961</w:t>
            </w:r>
          </w:p>
        </w:tc>
        <w:tc>
          <w:tcPr>
            <w:tcW w:w="0" w:type="dxa"/>
            <w:vAlign w:val="bottom"/>
          </w:tcPr>
          <w:p>
            <w:pPr>
              <w:spacing w:after="0"/>
              <w:rPr>
                <w:sz w:val="1"/>
                <w:szCs w:val="1"/>
                <w:color w:val="auto"/>
              </w:rPr>
            </w:pPr>
          </w:p>
        </w:tc>
      </w:tr>
      <w:tr>
        <w:trPr>
          <w:trHeight w:val="186"/>
        </w:trPr>
        <w:tc>
          <w:tcPr>
            <w:tcW w:w="2400" w:type="dxa"/>
            <w:vAlign w:val="bottom"/>
          </w:tcPr>
          <w:p>
            <w:pPr>
              <w:ind w:left="140"/>
              <w:spacing w:after="0" w:line="186" w:lineRule="exact"/>
              <w:rPr>
                <w:sz w:val="20"/>
                <w:szCs w:val="20"/>
                <w:color w:val="auto"/>
              </w:rPr>
            </w:pPr>
            <w:r>
              <w:rPr>
                <w:rFonts w:ascii="Arial" w:cs="Arial" w:eastAsia="Arial" w:hAnsi="Arial"/>
                <w:sz w:val="17"/>
                <w:szCs w:val="17"/>
                <w:color w:val="auto"/>
              </w:rPr>
              <w:t>Issuance of Common Stock –</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340"/>
              <w:spacing w:after="0"/>
              <w:rPr>
                <w:sz w:val="20"/>
                <w:szCs w:val="20"/>
                <w:color w:val="auto"/>
              </w:rPr>
            </w:pPr>
            <w:r>
              <w:rPr>
                <w:rFonts w:ascii="Arial" w:cs="Arial" w:eastAsia="Arial" w:hAnsi="Arial"/>
                <w:sz w:val="17"/>
                <w:szCs w:val="17"/>
                <w:color w:val="auto"/>
                <w:w w:val="90"/>
              </w:rPr>
              <w:t>Secondary public offering, net</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300"/>
              <w:spacing w:after="0"/>
              <w:rPr>
                <w:sz w:val="20"/>
                <w:szCs w:val="20"/>
                <w:color w:val="auto"/>
              </w:rPr>
            </w:pPr>
            <w:r>
              <w:rPr>
                <w:rFonts w:ascii="Arial" w:cs="Arial" w:eastAsia="Arial" w:hAnsi="Arial"/>
                <w:sz w:val="17"/>
                <w:szCs w:val="17"/>
                <w:color w:val="auto"/>
              </w:rPr>
              <w:t>of fees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31,945</w:t>
            </w:r>
          </w:p>
        </w:tc>
        <w:tc>
          <w:tcPr>
            <w:tcW w:w="6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79,839</w:t>
            </w:r>
          </w:p>
        </w:tc>
        <w:tc>
          <w:tcPr>
            <w:tcW w:w="160" w:type="dxa"/>
            <w:vAlign w:val="bottom"/>
          </w:tcPr>
          <w:p>
            <w:pPr>
              <w:spacing w:after="0"/>
              <w:rPr>
                <w:sz w:val="18"/>
                <w:szCs w:val="18"/>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79,839</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79,839</w:t>
            </w: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Conversion of Preferred A Stock</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6,865</w:t>
            </w: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400" w:type="dxa"/>
            <w:vAlign w:val="bottom"/>
          </w:tcPr>
          <w:p>
            <w:pPr>
              <w:ind w:left="140"/>
              <w:spacing w:after="0"/>
              <w:rPr>
                <w:sz w:val="20"/>
                <w:szCs w:val="20"/>
                <w:color w:val="auto"/>
              </w:rPr>
            </w:pPr>
            <w:r>
              <w:rPr>
                <w:rFonts w:ascii="Arial" w:cs="Arial" w:eastAsia="Arial" w:hAnsi="Arial"/>
                <w:sz w:val="17"/>
                <w:szCs w:val="17"/>
                <w:color w:val="auto"/>
              </w:rPr>
              <w:t>Exercise of options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1,265</w:t>
            </w: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721</w:t>
            </w:r>
          </w:p>
        </w:tc>
        <w:tc>
          <w:tcPr>
            <w:tcW w:w="16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 of warrants</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1,201</w:t>
            </w: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400" w:type="dxa"/>
            <w:vAlign w:val="bottom"/>
          </w:tcPr>
          <w:p>
            <w:pPr>
              <w:ind w:left="140"/>
              <w:spacing w:after="0"/>
              <w:rPr>
                <w:sz w:val="20"/>
                <w:szCs w:val="20"/>
                <w:color w:val="auto"/>
              </w:rPr>
            </w:pPr>
            <w:r>
              <w:rPr>
                <w:rFonts w:ascii="Arial" w:cs="Arial" w:eastAsia="Arial" w:hAnsi="Arial"/>
                <w:sz w:val="17"/>
                <w:szCs w:val="17"/>
                <w:color w:val="auto"/>
              </w:rPr>
              <w:t>Net loss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(9,446)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(9,446)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(9,279)</w:t>
            </w:r>
          </w:p>
        </w:tc>
        <w:tc>
          <w:tcPr>
            <w:tcW w:w="0" w:type="dxa"/>
            <w:vAlign w:val="bottom"/>
          </w:tcPr>
          <w:p>
            <w:pPr>
              <w:spacing w:after="0"/>
              <w:rPr>
                <w:sz w:val="1"/>
                <w:szCs w:val="1"/>
                <w:color w:val="auto"/>
              </w:rPr>
            </w:pPr>
          </w:p>
        </w:tc>
      </w:tr>
      <w:tr>
        <w:trPr>
          <w:trHeight w:val="26"/>
        </w:trPr>
        <w:tc>
          <w:tcPr>
            <w:tcW w:w="24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Balance at June 30, 2021</w:t>
            </w:r>
          </w:p>
        </w:tc>
        <w:tc>
          <w:tcPr>
            <w:tcW w:w="920" w:type="dxa"/>
            <w:vAlign w:val="bottom"/>
            <w:tcBorders>
              <w:right w:val="single" w:sz="8" w:color="CCEEFF"/>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79"/>
              </w:rPr>
              <w:t>)</w:t>
            </w: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400" w:type="dxa"/>
            <w:vAlign w:val="bottom"/>
            <w:vMerge w:val="continue"/>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101,869</w:t>
            </w:r>
          </w:p>
        </w:tc>
        <w:tc>
          <w:tcPr>
            <w:tcW w:w="600" w:type="dxa"/>
            <w:vAlign w:val="bottom"/>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177,392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(35,956</w:t>
            </w:r>
          </w:p>
        </w:tc>
        <w:tc>
          <w:tcPr>
            <w:tcW w:w="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141,436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141,828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Stock-based compensation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240" w:type="dxa"/>
            <w:vAlign w:val="bottom"/>
          </w:tcPr>
          <w:p>
            <w:pPr>
              <w:ind w:left="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w w:val="97"/>
              </w:rPr>
              <w:t>Issuance of common shares in</w:t>
            </w:r>
          </w:p>
        </w:tc>
        <w:tc>
          <w:tcPr>
            <w:tcW w:w="9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connection with acquisition</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40</w:t>
            </w: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98"/>
        </w:trPr>
        <w:tc>
          <w:tcPr>
            <w:tcW w:w="2400" w:type="dxa"/>
            <w:vAlign w:val="bottom"/>
          </w:tcPr>
          <w:p>
            <w:pPr>
              <w:ind w:left="140"/>
              <w:spacing w:after="0"/>
              <w:rPr>
                <w:sz w:val="20"/>
                <w:szCs w:val="20"/>
                <w:color w:val="auto"/>
              </w:rPr>
            </w:pPr>
            <w:r>
              <w:rPr>
                <w:rFonts w:ascii="Arial" w:cs="Arial" w:eastAsia="Arial" w:hAnsi="Arial"/>
                <w:sz w:val="17"/>
                <w:szCs w:val="17"/>
                <w:color w:val="auto"/>
              </w:rPr>
              <w:t>Exercise of options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1,829</w:t>
            </w: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1,499</w:t>
            </w:r>
          </w:p>
        </w:tc>
        <w:tc>
          <w:tcPr>
            <w:tcW w:w="16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1,499</w:t>
            </w: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 of warrants</w:t>
            </w: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2,569</w:t>
            </w: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400" w:type="dxa"/>
            <w:vAlign w:val="bottom"/>
          </w:tcPr>
          <w:p>
            <w:pPr>
              <w:ind w:left="140"/>
              <w:spacing w:after="0"/>
              <w:rPr>
                <w:sz w:val="20"/>
                <w:szCs w:val="20"/>
                <w:color w:val="auto"/>
              </w:rPr>
            </w:pPr>
            <w:r>
              <w:rPr>
                <w:rFonts w:ascii="Arial" w:cs="Arial" w:eastAsia="Arial" w:hAnsi="Arial"/>
                <w:sz w:val="17"/>
                <w:szCs w:val="17"/>
                <w:color w:val="auto"/>
              </w:rPr>
              <w:t>Net loss</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(9,758)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(9,758)</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(9,772)</w:t>
            </w:r>
          </w:p>
        </w:tc>
        <w:tc>
          <w:tcPr>
            <w:tcW w:w="0" w:type="dxa"/>
            <w:vAlign w:val="bottom"/>
          </w:tcPr>
          <w:p>
            <w:pPr>
              <w:spacing w:after="0"/>
              <w:rPr>
                <w:sz w:val="1"/>
                <w:szCs w:val="1"/>
                <w:color w:val="auto"/>
              </w:rPr>
            </w:pPr>
          </w:p>
        </w:tc>
      </w:tr>
      <w:tr>
        <w:trPr>
          <w:trHeight w:val="26"/>
        </w:trPr>
        <w:tc>
          <w:tcPr>
            <w:tcW w:w="24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99"/>
              </w:rPr>
              <w:t>Balance at September 30, 2021</w:t>
            </w:r>
          </w:p>
        </w:tc>
        <w:tc>
          <w:tcPr>
            <w:tcW w:w="920" w:type="dxa"/>
            <w:vAlign w:val="bottom"/>
            <w:tcBorders>
              <w:right w:val="single" w:sz="8" w:color="CCEEFF"/>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w w:val="79"/>
              </w:rPr>
              <w:t>)</w:t>
            </w: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400" w:type="dxa"/>
            <w:vAlign w:val="bottom"/>
            <w:vMerge w:val="continue"/>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106,307</w:t>
            </w:r>
          </w:p>
        </w:tc>
        <w:tc>
          <w:tcPr>
            <w:tcW w:w="600" w:type="dxa"/>
            <w:vAlign w:val="bottom"/>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180,011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(45,714</w:t>
            </w:r>
          </w:p>
        </w:tc>
        <w:tc>
          <w:tcPr>
            <w:tcW w:w="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134,675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8" w:right="339" w:bottom="1440" w:gutter="0" w:footer="0" w:header="0"/>
        </w:sectPr>
      </w:pPr>
    </w:p>
    <w:bookmarkStart w:id="6" w:name="page7"/>
    <w:bookmarkEnd w:id="6"/>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Total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1"/>
              </w:rPr>
              <w:t>Additional</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w w:val="92"/>
              </w:rPr>
              <w:t>Stockholders’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line="165" w:lineRule="exact"/>
              <w:rPr>
                <w:sz w:val="20"/>
                <w:szCs w:val="20"/>
                <w:color w:val="auto"/>
              </w:rPr>
            </w:pPr>
            <w:r>
              <w:rPr>
                <w:rFonts w:ascii="Arial" w:cs="Arial" w:eastAsia="Arial" w:hAnsi="Arial"/>
                <w:sz w:val="17"/>
                <w:szCs w:val="17"/>
                <w:b w:val="1"/>
                <w:bCs w:val="1"/>
                <w:color w:val="auto"/>
                <w:w w:val="92"/>
              </w:rPr>
              <w:t>Equity</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5" w:lineRule="exact"/>
              <w:rPr>
                <w:sz w:val="20"/>
                <w:szCs w:val="20"/>
                <w:color w:val="auto"/>
              </w:rPr>
            </w:pPr>
            <w:r>
              <w:rPr>
                <w:rFonts w:ascii="Arial" w:cs="Arial" w:eastAsia="Arial" w:hAnsi="Arial"/>
                <w:sz w:val="17"/>
                <w:szCs w:val="17"/>
                <w:b w:val="1"/>
                <w:bCs w:val="1"/>
                <w:color w:val="auto"/>
                <w:w w:val="87"/>
              </w:rPr>
              <w:t>Non-</w:t>
            </w:r>
          </w:p>
        </w:tc>
        <w:tc>
          <w:tcPr>
            <w:tcW w:w="160" w:type="dxa"/>
            <w:vAlign w:val="bottom"/>
          </w:tcPr>
          <w:p>
            <w:pPr>
              <w:spacing w:after="0"/>
              <w:rPr>
                <w:sz w:val="14"/>
                <w:szCs w:val="14"/>
                <w:color w:val="auto"/>
              </w:rPr>
            </w:pPr>
          </w:p>
        </w:tc>
        <w:tc>
          <w:tcPr>
            <w:tcW w:w="880" w:type="dxa"/>
            <w:vAlign w:val="bottom"/>
            <w:gridSpan w:val="2"/>
          </w:tcPr>
          <w:p>
            <w:pPr>
              <w:jc w:val="right"/>
              <w:ind w:right="380"/>
              <w:spacing w:after="0" w:line="165"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b w:val="1"/>
                <w:bCs w:val="1"/>
                <w:color w:val="auto"/>
              </w:rPr>
              <w:t>Common Stock</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4"/>
          </w:tcPr>
          <w:p>
            <w:pPr>
              <w:ind w:left="200"/>
              <w:spacing w:after="0"/>
              <w:rPr>
                <w:sz w:val="20"/>
                <w:szCs w:val="20"/>
                <w:color w:val="auto"/>
              </w:rPr>
            </w:pPr>
            <w:r>
              <w:rPr>
                <w:rFonts w:ascii="Arial" w:cs="Arial" w:eastAsia="Arial" w:hAnsi="Arial"/>
                <w:sz w:val="17"/>
                <w:szCs w:val="17"/>
                <w:b w:val="1"/>
                <w:bCs w:val="1"/>
                <w:color w:val="auto"/>
                <w:w w:val="98"/>
              </w:rPr>
              <w:t>Preferred A 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Paid-In-</w:t>
            </w: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w w:val="97"/>
              </w:rPr>
              <w:t>Accumulated</w:t>
            </w:r>
          </w:p>
        </w:tc>
        <w:tc>
          <w:tcPr>
            <w:tcW w:w="11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attributable</w:t>
            </w:r>
          </w:p>
        </w:tc>
        <w:tc>
          <w:tcPr>
            <w:tcW w:w="10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Controlling</w:t>
            </w: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w w:val="90"/>
              </w:rPr>
              <w:t>Stockholders’</w:t>
            </w:r>
          </w:p>
        </w:tc>
        <w:tc>
          <w:tcPr>
            <w:tcW w:w="0" w:type="dxa"/>
            <w:vAlign w:val="bottom"/>
          </w:tcPr>
          <w:p>
            <w:pPr>
              <w:spacing w:after="0"/>
              <w:rPr>
                <w:sz w:val="1"/>
                <w:szCs w:val="1"/>
                <w:color w:val="auto"/>
              </w:rPr>
            </w:pPr>
          </w:p>
        </w:tc>
      </w:tr>
      <w:tr>
        <w:trPr>
          <w:trHeight w:val="240"/>
        </w:trPr>
        <w:tc>
          <w:tcPr>
            <w:tcW w:w="228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(As Restated)</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auto"/>
            </w:tcBorders>
            <w:gridSpan w:val="4"/>
          </w:tcPr>
          <w:p>
            <w:pPr>
              <w:ind w:left="360"/>
              <w:spacing w:after="0"/>
              <w:rPr>
                <w:sz w:val="20"/>
                <w:szCs w:val="20"/>
                <w:color w:val="auto"/>
              </w:rPr>
            </w:pPr>
            <w:r>
              <w:rPr>
                <w:rFonts w:ascii="Arial" w:cs="Arial" w:eastAsia="Arial" w:hAnsi="Arial"/>
                <w:sz w:val="17"/>
                <w:szCs w:val="17"/>
                <w:b w:val="1"/>
                <w:bCs w:val="1"/>
                <w:color w:val="auto"/>
              </w:rPr>
              <w:t>(As Restated)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80"/>
              <w:spacing w:after="0" w:line="236" w:lineRule="exact"/>
              <w:rPr>
                <w:sz w:val="20"/>
                <w:szCs w:val="20"/>
                <w:color w:val="auto"/>
              </w:rPr>
            </w:pPr>
            <w:r>
              <w:rPr>
                <w:rFonts w:ascii="Arial" w:cs="Arial" w:eastAsia="Arial" w:hAnsi="Arial"/>
                <w:sz w:val="17"/>
                <w:szCs w:val="17"/>
                <w:b w:val="1"/>
                <w:bCs w:val="1"/>
                <w:color w:val="auto"/>
                <w:w w:val="86"/>
              </w:rPr>
              <w:t xml:space="preserve">Capital </w:t>
            </w:r>
            <w:r>
              <w:rPr>
                <w:rFonts w:ascii="Arial" w:cs="Arial" w:eastAsia="Arial" w:hAnsi="Arial"/>
                <w:sz w:val="27"/>
                <w:szCs w:val="27"/>
                <w:b w:val="1"/>
                <w:bCs w:val="1"/>
                <w:color w:val="auto"/>
                <w:w w:val="86"/>
                <w:vertAlign w:val="superscript"/>
              </w:rPr>
              <w:t>(1)</w:t>
            </w:r>
          </w:p>
        </w:tc>
        <w:tc>
          <w:tcPr>
            <w:tcW w:w="180" w:type="dxa"/>
            <w:vAlign w:val="bottom"/>
          </w:tcPr>
          <w:p>
            <w:pPr>
              <w:spacing w:after="0"/>
              <w:rPr>
                <w:sz w:val="20"/>
                <w:szCs w:val="20"/>
                <w:color w:val="auto"/>
              </w:rPr>
            </w:pPr>
          </w:p>
        </w:tc>
        <w:tc>
          <w:tcPr>
            <w:tcW w:w="900" w:type="dxa"/>
            <w:vAlign w:val="bottom"/>
            <w:gridSpan w:val="2"/>
          </w:tcPr>
          <w:p>
            <w:pPr>
              <w:jc w:val="right"/>
              <w:ind w:right="319"/>
              <w:spacing w:after="0"/>
              <w:rPr>
                <w:sz w:val="20"/>
                <w:szCs w:val="20"/>
                <w:color w:val="auto"/>
              </w:rPr>
            </w:pPr>
            <w:r>
              <w:rPr>
                <w:rFonts w:ascii="Arial" w:cs="Arial" w:eastAsia="Arial" w:hAnsi="Arial"/>
                <w:sz w:val="17"/>
                <w:szCs w:val="17"/>
                <w:b w:val="1"/>
                <w:bCs w:val="1"/>
                <w:color w:val="auto"/>
                <w:w w:val="99"/>
              </w:rPr>
              <w:t>Deficit</w:t>
            </w: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to Agrify</w:t>
            </w:r>
          </w:p>
        </w:tc>
        <w:tc>
          <w:tcPr>
            <w:tcW w:w="14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Interests</w:t>
            </w:r>
          </w:p>
        </w:tc>
        <w:tc>
          <w:tcPr>
            <w:tcW w:w="1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40"/>
        </w:trPr>
        <w:tc>
          <w:tcPr>
            <w:tcW w:w="2280" w:type="dxa"/>
            <w:vAlign w:val="bottom"/>
          </w:tcPr>
          <w:p>
            <w:pPr>
              <w:spacing w:after="0"/>
              <w:rPr>
                <w:sz w:val="20"/>
                <w:szCs w:val="20"/>
                <w:color w:val="auto"/>
              </w:rPr>
            </w:pPr>
          </w:p>
        </w:tc>
        <w:tc>
          <w:tcPr>
            <w:tcW w:w="800" w:type="dxa"/>
            <w:vAlign w:val="bottom"/>
          </w:tcPr>
          <w:p>
            <w:pPr>
              <w:jc w:val="right"/>
              <w:spacing w:after="0" w:line="236" w:lineRule="exact"/>
              <w:rPr>
                <w:sz w:val="20"/>
                <w:szCs w:val="20"/>
                <w:color w:val="auto"/>
              </w:rPr>
            </w:pPr>
            <w:r>
              <w:rPr>
                <w:rFonts w:ascii="Arial" w:cs="Arial" w:eastAsia="Arial" w:hAnsi="Arial"/>
                <w:sz w:val="17"/>
                <w:szCs w:val="17"/>
                <w:b w:val="1"/>
                <w:bCs w:val="1"/>
                <w:color w:val="auto"/>
                <w:w w:val="86"/>
              </w:rPr>
              <w:t xml:space="preserve">Shares </w:t>
            </w:r>
            <w:r>
              <w:rPr>
                <w:rFonts w:ascii="Arial" w:cs="Arial" w:eastAsia="Arial" w:hAnsi="Arial"/>
                <w:sz w:val="27"/>
                <w:szCs w:val="27"/>
                <w:b w:val="1"/>
                <w:bCs w:val="1"/>
                <w:color w:val="auto"/>
                <w:w w:val="86"/>
                <w:vertAlign w:val="superscript"/>
              </w:rPr>
              <w:t>(1)</w:t>
            </w:r>
          </w:p>
        </w:tc>
        <w:tc>
          <w:tcPr>
            <w:tcW w:w="100" w:type="dxa"/>
            <w:vAlign w:val="bottom"/>
          </w:tcPr>
          <w:p>
            <w:pPr>
              <w:spacing w:after="0"/>
              <w:rPr>
                <w:sz w:val="20"/>
                <w:szCs w:val="20"/>
                <w:color w:val="auto"/>
              </w:rPr>
            </w:pPr>
          </w:p>
        </w:tc>
        <w:tc>
          <w:tcPr>
            <w:tcW w:w="860" w:type="dxa"/>
            <w:vAlign w:val="bottom"/>
            <w:gridSpan w:val="2"/>
          </w:tcPr>
          <w:p>
            <w:pPr>
              <w:ind w:left="40"/>
              <w:spacing w:after="0" w:line="236" w:lineRule="exact"/>
              <w:rPr>
                <w:sz w:val="20"/>
                <w:szCs w:val="20"/>
                <w:color w:val="auto"/>
              </w:rPr>
            </w:pPr>
            <w:r>
              <w:rPr>
                <w:rFonts w:ascii="Arial" w:cs="Arial" w:eastAsia="Arial" w:hAnsi="Arial"/>
                <w:sz w:val="17"/>
                <w:szCs w:val="17"/>
                <w:b w:val="1"/>
                <w:bCs w:val="1"/>
                <w:color w:val="auto"/>
                <w:w w:val="87"/>
              </w:rPr>
              <w:t xml:space="preserve">Amount </w:t>
            </w:r>
            <w:r>
              <w:rPr>
                <w:rFonts w:ascii="Arial" w:cs="Arial" w:eastAsia="Arial" w:hAnsi="Arial"/>
                <w:sz w:val="27"/>
                <w:szCs w:val="27"/>
                <w:b w:val="1"/>
                <w:bCs w:val="1"/>
                <w:color w:val="auto"/>
                <w:w w:val="87"/>
                <w:vertAlign w:val="superscript"/>
              </w:rPr>
              <w:t>(1)</w:t>
            </w:r>
          </w:p>
        </w:tc>
        <w:tc>
          <w:tcPr>
            <w:tcW w:w="8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4"/>
              </w:rPr>
              <w:t>(As Restated)</w:t>
            </w: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(As Restated)</w:t>
            </w: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(As Restated)</w:t>
            </w: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w w:val="94"/>
              </w:rPr>
              <w:t>(As Restated)</w:t>
            </w:r>
          </w:p>
        </w:tc>
        <w:tc>
          <w:tcPr>
            <w:tcW w:w="1040" w:type="dxa"/>
            <w:vAlign w:val="bottom"/>
            <w:gridSpan w:val="3"/>
          </w:tcPr>
          <w:p>
            <w:pPr>
              <w:ind w:left="20"/>
              <w:spacing w:after="0"/>
              <w:rPr>
                <w:sz w:val="20"/>
                <w:szCs w:val="20"/>
                <w:color w:val="auto"/>
              </w:rPr>
            </w:pPr>
            <w:r>
              <w:rPr>
                <w:rFonts w:ascii="Arial" w:cs="Arial" w:eastAsia="Arial" w:hAnsi="Arial"/>
                <w:sz w:val="17"/>
                <w:szCs w:val="17"/>
                <w:b w:val="1"/>
                <w:bCs w:val="1"/>
                <w:color w:val="auto"/>
                <w:w w:val="91"/>
              </w:rPr>
              <w:t>(As Restated)</w:t>
            </w:r>
          </w:p>
        </w:tc>
        <w:tc>
          <w:tcPr>
            <w:tcW w:w="0" w:type="dxa"/>
            <w:vAlign w:val="bottom"/>
          </w:tcPr>
          <w:p>
            <w:pPr>
              <w:spacing w:after="0"/>
              <w:rPr>
                <w:sz w:val="1"/>
                <w:szCs w:val="1"/>
                <w:color w:val="auto"/>
              </w:rPr>
            </w:pPr>
          </w:p>
        </w:tc>
      </w:tr>
      <w:tr>
        <w:trPr>
          <w:trHeight w:val="198"/>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January 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111,035</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137,059</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137,424</w:t>
            </w: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1,893</w:t>
            </w:r>
          </w:p>
        </w:tc>
        <w:tc>
          <w:tcPr>
            <w:tcW w:w="18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8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rPr>
              <w:t>Issuance of Common Stock</w:t>
            </w:r>
          </w:p>
        </w:tc>
        <w:tc>
          <w:tcPr>
            <w:tcW w:w="8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and warrants in private</w:t>
            </w: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12,252</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14,800</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line="186" w:lineRule="exact"/>
              <w:rPr>
                <w:sz w:val="20"/>
                <w:szCs w:val="20"/>
                <w:color w:val="auto"/>
              </w:rPr>
            </w:pPr>
            <w:r>
              <w:rPr>
                <w:rFonts w:ascii="Arial" w:cs="Arial" w:eastAsia="Arial" w:hAnsi="Arial"/>
                <w:sz w:val="17"/>
                <w:szCs w:val="17"/>
                <w:color w:val="auto"/>
                <w:w w:val="93"/>
              </w:rPr>
              <w:t>Issuance of debt and warrants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300"/>
              <w:spacing w:after="0"/>
              <w:rPr>
                <w:sz w:val="20"/>
                <w:szCs w:val="20"/>
                <w:color w:val="auto"/>
              </w:rPr>
            </w:pPr>
            <w:r>
              <w:rPr>
                <w:rFonts w:ascii="Arial" w:cs="Arial" w:eastAsia="Arial" w:hAnsi="Arial"/>
                <w:sz w:val="17"/>
                <w:szCs w:val="17"/>
                <w:color w:val="auto"/>
              </w:rPr>
              <w:t>in private placement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Lab Society</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0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1,903</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140"/>
              <w:spacing w:after="0"/>
              <w:rPr>
                <w:sz w:val="20"/>
                <w:szCs w:val="20"/>
                <w:color w:val="auto"/>
              </w:rPr>
            </w:pPr>
            <w:r>
              <w:rPr>
                <w:rFonts w:ascii="Arial" w:cs="Arial" w:eastAsia="Arial" w:hAnsi="Arial"/>
                <w:sz w:val="17"/>
                <w:szCs w:val="17"/>
                <w:color w:val="auto"/>
              </w:rPr>
              <w:t>Exercise of options</w:t>
            </w: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 of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c>
          <w:tcPr>
            <w:tcW w:w="10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140"/>
              <w:spacing w:after="0"/>
              <w:rPr>
                <w:sz w:val="20"/>
                <w:szCs w:val="20"/>
                <w:color w:val="auto"/>
              </w:rPr>
            </w:pPr>
            <w:r>
              <w:rPr>
                <w:rFonts w:ascii="Arial" w:cs="Arial" w:eastAsia="Arial" w:hAnsi="Arial"/>
                <w:sz w:val="17"/>
                <w:szCs w:val="17"/>
                <w:color w:val="auto"/>
              </w:rPr>
              <w:t>Net loss</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7"/>
                <w:szCs w:val="17"/>
                <w:color w:val="auto"/>
              </w:rPr>
              <w:t>(72,824)</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(72,824)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(72,820)</w:t>
            </w:r>
          </w:p>
        </w:tc>
        <w:tc>
          <w:tcPr>
            <w:tcW w:w="0" w:type="dxa"/>
            <w:vAlign w:val="bottom"/>
          </w:tcPr>
          <w:p>
            <w:pPr>
              <w:spacing w:after="0"/>
              <w:rPr>
                <w:sz w:val="1"/>
                <w:szCs w:val="1"/>
                <w:color w:val="auto"/>
              </w:rPr>
            </w:pPr>
          </w:p>
        </w:tc>
      </w:tr>
      <w:tr>
        <w:trPr>
          <w:trHeight w:val="26"/>
        </w:trPr>
        <w:tc>
          <w:tcPr>
            <w:tcW w:w="2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Balance at June 30, 2022</w:t>
            </w: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vMerge w:val="continue"/>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132,957</w:t>
            </w:r>
          </w:p>
        </w:tc>
        <w:tc>
          <w:tcPr>
            <w:tcW w:w="700" w:type="dxa"/>
            <w:vAlign w:val="bottom"/>
            <w:tcBorders>
              <w:lef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214,652</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(131,799</w:t>
            </w:r>
          </w:p>
        </w:tc>
        <w:tc>
          <w:tcPr>
            <w:tcW w:w="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82,853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83,222</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7"/>
                <w:szCs w:val="17"/>
                <w:color w:val="auto"/>
              </w:rPr>
            </w:pP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80" w:type="dxa"/>
            <w:vAlign w:val="bottom"/>
            <w:shd w:val="clear" w:color="auto" w:fill="CCEEFF"/>
          </w:tcPr>
          <w:p>
            <w:pPr>
              <w:ind w:left="140"/>
              <w:spacing w:after="0" w:line="186" w:lineRule="exact"/>
              <w:rPr>
                <w:sz w:val="20"/>
                <w:szCs w:val="20"/>
                <w:color w:val="auto"/>
              </w:rPr>
            </w:pPr>
            <w:r>
              <w:rPr>
                <w:rFonts w:ascii="Arial" w:cs="Arial" w:eastAsia="Arial" w:hAnsi="Arial"/>
                <w:sz w:val="17"/>
                <w:szCs w:val="17"/>
                <w:color w:val="auto"/>
                <w:w w:val="91"/>
              </w:rPr>
              <w:t>Issuance of common shares in</w:t>
            </w:r>
          </w:p>
        </w:tc>
        <w:tc>
          <w:tcPr>
            <w:tcW w:w="8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6"/>
              </w:rPr>
              <w:t>connection with acquisition</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140"/>
              <w:spacing w:after="0"/>
              <w:rPr>
                <w:sz w:val="20"/>
                <w:szCs w:val="20"/>
                <w:color w:val="auto"/>
              </w:rPr>
            </w:pPr>
            <w:r>
              <w:rPr>
                <w:rFonts w:ascii="Arial" w:cs="Arial" w:eastAsia="Arial" w:hAnsi="Arial"/>
                <w:sz w:val="17"/>
                <w:szCs w:val="17"/>
                <w:color w:val="auto"/>
              </w:rPr>
              <w:t>Reclass of warrant liability</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7"/>
                <w:szCs w:val="17"/>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 of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line="186" w:lineRule="exact"/>
              <w:rPr>
                <w:sz w:val="20"/>
                <w:szCs w:val="20"/>
                <w:color w:val="auto"/>
              </w:rPr>
            </w:pPr>
            <w:r>
              <w:rPr>
                <w:rFonts w:ascii="Arial" w:cs="Arial" w:eastAsia="Arial" w:hAnsi="Arial"/>
                <w:sz w:val="17"/>
                <w:szCs w:val="17"/>
                <w:color w:val="auto"/>
              </w:rPr>
              <w:t>Issuance of restricted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300"/>
              <w:spacing w:after="0"/>
              <w:rPr>
                <w:sz w:val="20"/>
                <w:szCs w:val="20"/>
                <w:color w:val="auto"/>
              </w:rPr>
            </w:pPr>
            <w:r>
              <w:rPr>
                <w:rFonts w:ascii="Arial" w:cs="Arial" w:eastAsia="Arial" w:hAnsi="Arial"/>
                <w:sz w:val="17"/>
                <w:szCs w:val="17"/>
                <w:color w:val="auto"/>
              </w:rPr>
              <w:t>units</w:t>
            </w:r>
          </w:p>
        </w:tc>
        <w:tc>
          <w:tcPr>
            <w:tcW w:w="80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2"/>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0"/>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(57,413)</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(57,413)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color w:val="auto"/>
                <w:w w:val="94"/>
              </w:rPr>
              <w:t>Balance at September 30, 2022</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134,550</w:t>
            </w:r>
          </w:p>
        </w:tc>
        <w:tc>
          <w:tcPr>
            <w:tcW w:w="7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ind w:left="580"/>
              <w:spacing w:after="0"/>
              <w:rPr>
                <w:sz w:val="20"/>
                <w:szCs w:val="20"/>
                <w:color w:val="auto"/>
              </w:rPr>
            </w:pPr>
            <w:r>
              <w:rPr>
                <w:rFonts w:ascii="Arial" w:cs="Arial" w:eastAsia="Arial" w:hAnsi="Arial"/>
                <w:sz w:val="17"/>
                <w:szCs w:val="17"/>
                <w:color w:val="auto"/>
                <w:w w:val="82"/>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ind w:left="540"/>
              <w:spacing w:after="0"/>
              <w:rPr>
                <w:sz w:val="20"/>
                <w:szCs w:val="20"/>
                <w:color w:val="auto"/>
              </w:rPr>
            </w:pPr>
            <w:r>
              <w:rPr>
                <w:rFonts w:ascii="Arial" w:cs="Arial" w:eastAsia="Arial" w:hAnsi="Arial"/>
                <w:sz w:val="17"/>
                <w:szCs w:val="17"/>
                <w:color w:val="auto"/>
                <w:w w:val="70"/>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218,523</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(189,212</w:t>
            </w:r>
          </w:p>
        </w:tc>
        <w:tc>
          <w:tcPr>
            <w:tcW w:w="1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29,311</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370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301" w:right="100" w:hanging="301"/>
        <w:spacing w:after="0" w:line="301" w:lineRule="auto"/>
        <w:tabs>
          <w:tab w:leader="none" w:pos="301"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Periods presented have been adjusted to reflect the 1-for-1.581804 reverse stock split on January 12, 2021,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AGRIFY CORPORATION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right"/>
              <w:ind w:right="64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21"/>
              <w:spacing w:after="0" w:line="165" w:lineRule="exact"/>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w w:val="87"/>
              </w:rPr>
              <w:t>(As Restated)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2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680" w:type="dxa"/>
            <w:vAlign w:val="bottom"/>
            <w:gridSpan w:val="2"/>
          </w:tcPr>
          <w:p>
            <w:pPr>
              <w:spacing w:after="0" w:line="182"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Agrify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(130,235)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(19,204)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color w:val="auto"/>
              </w:rPr>
              <w:t>Adjustments to reconcile net loss attributable to Agrify Corporation to net cash used in operating activities: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2,602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Impairment on goodwill and intangible assets</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69,904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(gain) on extinguishment of notes payable, net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38,985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(47,234)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premium on investment securities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Amortization of debt discount</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4,195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investment securities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Provision for doubtful accounts</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23,708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slow-moving inventory</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Amortization of issuance costs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in connection with the issuance of stock options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3,538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4,007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Issuance of common shares in connection with acquisition</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interest (income) expense</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(1,581)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Loss from disposal of fixed assets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Income attributable to non-controlling interests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1,217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(20,129)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Right-of-use assets, net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80"/>
              <w:spacing w:after="0"/>
              <w:rPr>
                <w:sz w:val="20"/>
                <w:szCs w:val="20"/>
                <w:color w:val="auto"/>
              </w:rPr>
            </w:pPr>
            <w:r>
              <w:rPr>
                <w:rFonts w:ascii="Arial" w:cs="Arial" w:eastAsia="Arial" w:hAnsi="Arial"/>
                <w:sz w:val="16"/>
                <w:szCs w:val="16"/>
                <w:color w:val="auto"/>
              </w:rPr>
              <w:t>Other non-current assets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7,906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(8,165)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7,367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4,247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tcBorders>
              <w:top w:val="single" w:sz="8" w:color="CCEEFF"/>
              <w:bottom w:val="single" w:sz="8" w:color="CCEEFF"/>
            </w:tcBorders>
          </w:tcPr>
          <w:p>
            <w:pPr>
              <w:ind w:left="420"/>
              <w:spacing w:after="0" w:line="171" w:lineRule="exact"/>
              <w:rPr>
                <w:sz w:val="20"/>
                <w:szCs w:val="20"/>
                <w:color w:val="auto"/>
              </w:rPr>
            </w:pPr>
            <w:r>
              <w:rPr>
                <w:rFonts w:ascii="Arial" w:cs="Arial" w:eastAsia="Arial" w:hAnsi="Arial"/>
                <w:sz w:val="16"/>
                <w:szCs w:val="16"/>
                <w:color w:val="auto"/>
              </w:rPr>
              <w:t>Net cash used in operating activities</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(58,020</w:t>
            </w:r>
          </w:p>
        </w:tc>
        <w:tc>
          <w:tcPr>
            <w:tcW w:w="140" w:type="dxa"/>
            <w:vAlign w:val="bottom"/>
            <w:tcBorders>
              <w:top w:val="single" w:sz="8" w:color="CCEEFF"/>
              <w:bottom w:val="single" w:sz="8" w:color="CCEEFF"/>
            </w:tcBorders>
          </w:tcPr>
          <w:p>
            <w:pPr>
              <w:jc w:val="right"/>
              <w:ind w:right="1"/>
              <w:spacing w:after="0" w:line="171"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(17,557</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(8,002)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Purchase of securities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(283,271)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6"/>
                <w:szCs w:val="16"/>
                <w:color w:val="auto"/>
              </w:rPr>
              <w:t>(68,461)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sale of securities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317,593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Issuance of loan receivables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(26,942)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6"/>
                <w:szCs w:val="16"/>
                <w:color w:val="auto"/>
              </w:rPr>
              <w:t>(12,686)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business combination, net of cash acquired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(3,513)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tcBorders>
              <w:top w:val="single" w:sz="8" w:color="CCEEFF"/>
              <w:bottom w:val="single" w:sz="8" w:color="CCEEFF"/>
            </w:tcBorders>
          </w:tcPr>
          <w:p>
            <w:pPr>
              <w:ind w:left="420"/>
              <w:spacing w:after="0" w:line="171" w:lineRule="exact"/>
              <w:rPr>
                <w:sz w:val="20"/>
                <w:szCs w:val="20"/>
                <w:color w:val="auto"/>
              </w:rPr>
            </w:pPr>
            <w:r>
              <w:rPr>
                <w:rFonts w:ascii="Arial" w:cs="Arial" w:eastAsia="Arial" w:hAnsi="Arial"/>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(4,135</w:t>
            </w:r>
          </w:p>
        </w:tc>
        <w:tc>
          <w:tcPr>
            <w:tcW w:w="140" w:type="dxa"/>
            <w:vAlign w:val="bottom"/>
            <w:tcBorders>
              <w:top w:val="single" w:sz="8" w:color="CCEEFF"/>
              <w:bottom w:val="single" w:sz="8" w:color="CCEEFF"/>
            </w:tcBorders>
          </w:tcPr>
          <w:p>
            <w:pPr>
              <w:jc w:val="right"/>
              <w:ind w:right="1"/>
              <w:spacing w:after="0" w:line="171"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(84,683</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debt and warrants in private placement, net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61,891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Proceeds from issuance of Common Stock and warrants in private placement, net of fees</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25,797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IPO, net of fees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56,961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Proceeds from Secondary public offering, net of fees</w:t>
            </w:r>
          </w:p>
        </w:tc>
        <w:tc>
          <w:tcPr>
            <w:tcW w:w="100" w:type="dxa"/>
            <w:vAlign w:val="bottom"/>
          </w:tcPr>
          <w:p>
            <w:pPr>
              <w:spacing w:after="0"/>
              <w:rPr>
                <w:sz w:val="16"/>
                <w:szCs w:val="16"/>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79,839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options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Proceeds from exercise of warrants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debt in private placement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(33,170)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Repayments of notes payable, other</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on insurance financing loans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(1,714)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Payments of other financing loans</w:t>
            </w:r>
          </w:p>
        </w:tc>
        <w:tc>
          <w:tcPr>
            <w:tcW w:w="100" w:type="dxa"/>
            <w:vAlign w:val="bottom"/>
          </w:tcPr>
          <w:p>
            <w:pPr>
              <w:spacing w:after="0"/>
              <w:rPr>
                <w:sz w:val="16"/>
                <w:szCs w:val="16"/>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financing leases</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Impact of reverse stock split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60" w:type="dxa"/>
            <w:vAlign w:val="bottom"/>
          </w:tcPr>
          <w:p>
            <w:pPr>
              <w:ind w:left="120"/>
              <w:spacing w:after="0" w:line="171" w:lineRule="exact"/>
              <w:rPr>
                <w:sz w:val="20"/>
                <w:szCs w:val="20"/>
                <w:color w:val="auto"/>
              </w:rPr>
            </w:pPr>
            <w:r>
              <w:rPr>
                <w:rFonts w:ascii="Arial" w:cs="Arial" w:eastAsia="Arial" w:hAnsi="Arial"/>
                <w:sz w:val="16"/>
                <w:szCs w:val="16"/>
                <w:color w:val="auto"/>
              </w:rPr>
              <w:t>Net increase in cash and cash equivalents</w:t>
            </w:r>
          </w:p>
        </w:tc>
        <w:tc>
          <w:tcPr>
            <w:tcW w:w="10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Arial" w:cs="Arial" w:eastAsia="Arial" w:hAnsi="Arial"/>
                <w:sz w:val="16"/>
                <w:szCs w:val="16"/>
                <w:color w:val="auto"/>
              </w:rPr>
              <w:t>(9,863)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Arial" w:cs="Arial" w:eastAsia="Arial" w:hAnsi="Arial"/>
                <w:sz w:val="16"/>
                <w:szCs w:val="16"/>
                <w:color w:val="auto"/>
              </w:rPr>
              <w:t>36,635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660" w:type="dxa"/>
            <w:vAlign w:val="bottom"/>
          </w:tcPr>
          <w:p>
            <w:pPr>
              <w:spacing w:after="0" w:line="180" w:lineRule="exact"/>
              <w:rPr>
                <w:sz w:val="20"/>
                <w:szCs w:val="20"/>
                <w:color w:val="auto"/>
              </w:rPr>
            </w:pPr>
            <w:r>
              <w:rPr>
                <w:rFonts w:ascii="Arial" w:cs="Arial" w:eastAsia="Arial" w:hAnsi="Arial"/>
                <w:sz w:val="16"/>
                <w:szCs w:val="16"/>
                <w:color w:val="auto"/>
              </w:rPr>
              <w:t>Cash and cash equivalents at the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2,151</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44,746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Cash, cash equivalents, and restricted cash and restricted marketable securities at end of period</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2,151</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44,746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cash and restricted marketable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660" w:type="dxa"/>
            <w:vAlign w:val="bottom"/>
          </w:tcPr>
          <w:p>
            <w:pPr>
              <w:ind w:left="280"/>
              <w:spacing w:after="0" w:line="180" w:lineRule="exact"/>
              <w:rPr>
                <w:sz w:val="20"/>
                <w:szCs w:val="20"/>
                <w:color w:val="auto"/>
              </w:rPr>
            </w:pPr>
            <w:r>
              <w:rPr>
                <w:rFonts w:ascii="Arial" w:cs="Arial" w:eastAsia="Arial" w:hAnsi="Arial"/>
                <w:sz w:val="16"/>
                <w:szCs w:val="16"/>
                <w:color w:val="auto"/>
              </w:rPr>
              <w:t>Total cash, cash equivalents, and restricted cash and restricted marketable securities at the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12,151</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44,746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ind w:left="120"/>
              <w:spacing w:after="0" w:line="180" w:lineRule="exact"/>
              <w:rPr>
                <w:sz w:val="20"/>
                <w:szCs w:val="20"/>
                <w:color w:val="auto"/>
              </w:rPr>
            </w:pPr>
            <w:r>
              <w:rPr>
                <w:rFonts w:ascii="Arial" w:cs="Arial" w:eastAsia="Arial" w:hAnsi="Arial"/>
                <w:sz w:val="16"/>
                <w:szCs w:val="16"/>
                <w:b w:val="1"/>
                <w:bCs w:val="1"/>
                <w:color w:val="auto"/>
              </w:rPr>
              <w:t>Supplemental disclosures of non-cash information</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Equipment sold for loan receivable to customer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Initial fair value of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50,705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Arial" w:cs="Arial" w:eastAsia="Arial" w:hAnsi="Arial"/>
                <w:sz w:val="16"/>
                <w:szCs w:val="16"/>
                <w:color w:val="auto"/>
              </w:rPr>
              <w:t>Financing of prepaid insurance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1,928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31" w:right="339" w:bottom="608"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AGRIFY CORPORATION AND SUBSIDIARIES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Overview, Basis of Presentation and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205" w:lineRule="exact"/>
        <w:rPr>
          <w:sz w:val="20"/>
          <w:szCs w:val="20"/>
          <w:color w:val="auto"/>
        </w:rPr>
      </w:pPr>
    </w:p>
    <w:p>
      <w:pPr>
        <w:ind w:right="80" w:firstLine="298"/>
        <w:spacing w:after="0" w:line="288" w:lineRule="auto"/>
        <w:rPr>
          <w:sz w:val="20"/>
          <w:szCs w:val="20"/>
          <w:color w:val="auto"/>
        </w:rPr>
      </w:pPr>
      <w:r>
        <w:rPr>
          <w:rFonts w:ascii="Arial" w:cs="Arial" w:eastAsia="Arial" w:hAnsi="Arial"/>
          <w:sz w:val="15"/>
          <w:szCs w:val="15"/>
          <w:color w:val="auto"/>
        </w:rPr>
        <w:t>Agrify Corporation (“Agrify” or the “Company”) is one of the most innovative providers of advanced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it believes to be an unmatched consistency, yield, and Return on Investment at scale. The Company’s comprehensive extraction product line, which includes hydrocarbon, ethanol, solventless, post-processing, and lab equipment, empowers producers to maximize the quantity and quality of extract required for premium concentrates.</w:t>
      </w:r>
    </w:p>
    <w:p>
      <w:pPr>
        <w:spacing w:after="0" w:line="156"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 situated to create a dominant market position in the indoor agriculture sector.</w:t>
      </w:r>
    </w:p>
    <w:p>
      <w:pPr>
        <w:spacing w:after="0" w:line="185" w:lineRule="exact"/>
        <w:rPr>
          <w:sz w:val="20"/>
          <w:szCs w:val="20"/>
          <w:color w:val="auto"/>
        </w:rPr>
      </w:pPr>
    </w:p>
    <w:p>
      <w:pPr>
        <w:ind w:right="140" w:firstLine="298"/>
        <w:spacing w:after="0" w:line="260" w:lineRule="auto"/>
        <w:rPr>
          <w:sz w:val="20"/>
          <w:szCs w:val="20"/>
          <w:color w:val="auto"/>
        </w:rPr>
      </w:pPr>
      <w:r>
        <w:rPr>
          <w:rFonts w:ascii="Arial" w:cs="Arial" w:eastAsia="Arial" w:hAnsi="Arial"/>
          <w:sz w:val="17"/>
          <w:szCs w:val="17"/>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has nine wholly-owned subsidiaries, which are collectively referred to as the “Subsidiaries”:</w:t>
      </w:r>
    </w:p>
    <w:p>
      <w:pPr>
        <w:spacing w:after="0" w:line="201" w:lineRule="exact"/>
        <w:rPr>
          <w:sz w:val="20"/>
          <w:szCs w:val="20"/>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AGM Service Corp LLC (formerly AGM Service Corp Inc.);</w:t>
      </w:r>
    </w:p>
    <w:p>
      <w:pPr>
        <w:spacing w:after="0" w:line="201" w:lineRule="exact"/>
        <w:rPr>
          <w:rFonts w:ascii="Arial" w:cs="Arial" w:eastAsia="Arial" w:hAnsi="Arial"/>
          <w:sz w:val="17"/>
          <w:szCs w:val="17"/>
          <w:color w:val="auto"/>
        </w:rPr>
      </w:pPr>
    </w:p>
    <w:p>
      <w:pPr>
        <w:ind w:left="600" w:hanging="303"/>
        <w:spacing w:after="0" w:line="260"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TriGrow Systems, LLC (“TriGrow”, which acted as the Company’s exclusive distributor and which was acquired in January 2020 as TriGrow Systems, Inc. and converted to TriGrow Systems, LLC in May 2020);</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Ariafy Finance, LLC;</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Agxiom, LLC;</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Harbor Mountain Holdings, LLC (“HMH”) (acquired in July 2020);</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Cascade Sciences, LLC (“Cascade”) (which was acquired by the Company on October 1, 2021);</w:t>
      </w:r>
    </w:p>
    <w:p>
      <w:pPr>
        <w:spacing w:after="0" w:line="201" w:lineRule="exact"/>
        <w:rPr>
          <w:rFonts w:ascii="Arial" w:cs="Arial" w:eastAsia="Arial" w:hAnsi="Arial"/>
          <w:sz w:val="17"/>
          <w:szCs w:val="17"/>
          <w:color w:val="auto"/>
        </w:rPr>
      </w:pPr>
    </w:p>
    <w:p>
      <w:pPr>
        <w:ind w:left="600" w:right="300" w:hanging="303"/>
        <w:spacing w:after="0" w:line="260"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Precision Extraction NewCo, LLC (“Precision”) (which was a newly formed subsidiary in connection with the October 1, 2021 acquisition of Mass2Media, LLC, d/b/a PX2 Holdings, LLC, d/b/a Precision Extraction Solutions and Cascade); and</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PurePressure, LLC (“PurePressure”) (which was acquired by the Company on December 31, 2021); and</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Lab Society NewCo, LLC (“Lab Society”) (which was a newly formed subsidiary in connection with the February 1, 2022 acquisition of LS Holdings Corp).</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sectPr>
      </w:pPr>
    </w:p>
    <w:bookmarkStart w:id="9" w:name="page10"/>
    <w:bookmarkEnd w:id="9"/>
    <w:p>
      <w:pPr>
        <w:ind w:left="300"/>
        <w:spacing w:after="0"/>
        <w:rPr>
          <w:sz w:val="20"/>
          <w:szCs w:val="20"/>
          <w:color w:val="auto"/>
        </w:rPr>
      </w:pPr>
      <w:r>
        <w:rPr>
          <w:rFonts w:ascii="Arial" w:cs="Arial" w:eastAsia="Arial" w:hAnsi="Arial"/>
          <w:sz w:val="17"/>
          <w:szCs w:val="17"/>
          <w:color w:val="auto"/>
        </w:rPr>
        <w:t>The Company also has ownership interests in the following companies:</w:t>
      </w:r>
    </w:p>
    <w:p>
      <w:pPr>
        <w:spacing w:after="0" w:line="201" w:lineRule="exact"/>
        <w:rPr>
          <w:sz w:val="20"/>
          <w:szCs w:val="20"/>
          <w:color w:val="auto"/>
        </w:rPr>
      </w:pPr>
    </w:p>
    <w:p>
      <w:pPr>
        <w:ind w:left="600" w:hanging="303"/>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Teejan Podoponics International LLC (“TPI”) (the Company has owned 50% of TPI since December 2018);</w:t>
      </w:r>
    </w:p>
    <w:p>
      <w:pPr>
        <w:spacing w:after="0" w:line="201" w:lineRule="exact"/>
        <w:rPr>
          <w:rFonts w:ascii="Arial" w:cs="Arial" w:eastAsia="Arial" w:hAnsi="Arial"/>
          <w:sz w:val="17"/>
          <w:szCs w:val="17"/>
          <w:color w:val="auto"/>
        </w:rPr>
      </w:pPr>
    </w:p>
    <w:p>
      <w:pPr>
        <w:ind w:left="600" w:right="280" w:hanging="303"/>
        <w:spacing w:after="0" w:line="252"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Agrify-Valiant, LLC (“Agrify-Valiant”) (the Company is 60% majority owner and Valiant-America, LLC owns 40%, which was formed in December 2019. Subsequent to September 30, 2022, On October 27, 2022, the Company provided notice to Valiant-America, LLC of our intention to begin winding up of Agrify-Valiant); and</w:t>
      </w:r>
    </w:p>
    <w:p>
      <w:pPr>
        <w:spacing w:after="0" w:line="178" w:lineRule="exact"/>
        <w:rPr>
          <w:rFonts w:ascii="Arial" w:cs="Arial" w:eastAsia="Arial" w:hAnsi="Arial"/>
          <w:sz w:val="17"/>
          <w:szCs w:val="17"/>
          <w:color w:val="auto"/>
        </w:rPr>
      </w:pPr>
    </w:p>
    <w:p>
      <w:pPr>
        <w:ind w:left="600" w:right="60" w:hanging="303"/>
        <w:spacing w:after="0" w:line="260"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Agrify Brands, LLC (“Agrify Brands”) (formerly TriGrow Brands, LLC) (the Company owns 75% of Agrify Brands, which ownership position was created as part of the January 2020 acquisition of TriGrow).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Stock Split</w:t>
      </w:r>
    </w:p>
    <w:p>
      <w:pPr>
        <w:spacing w:after="0" w:line="205" w:lineRule="exact"/>
        <w:rPr>
          <w:sz w:val="20"/>
          <w:szCs w:val="20"/>
          <w:color w:val="auto"/>
        </w:rPr>
      </w:pPr>
    </w:p>
    <w:p>
      <w:pPr>
        <w:ind w:firstLine="298"/>
        <w:spacing w:after="0" w:line="327" w:lineRule="auto"/>
        <w:rPr>
          <w:sz w:val="20"/>
          <w:szCs w:val="20"/>
          <w:color w:val="auto"/>
        </w:rPr>
      </w:pPr>
      <w:r>
        <w:rPr>
          <w:rFonts w:ascii="Arial" w:cs="Arial" w:eastAsia="Arial" w:hAnsi="Arial"/>
          <w:sz w:val="15"/>
          <w:szCs w:val="15"/>
          <w:color w:val="auto"/>
        </w:rPr>
        <w:t>On January 12, 2021, the Company effected a 1-for-1.581804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25" w:lineRule="exact"/>
        <w:rPr>
          <w:sz w:val="20"/>
          <w:szCs w:val="20"/>
          <w:color w:val="auto"/>
        </w:rPr>
      </w:pPr>
    </w:p>
    <w:p>
      <w:pPr>
        <w:ind w:right="40" w:firstLine="298"/>
        <w:spacing w:after="0" w:line="260" w:lineRule="auto"/>
        <w:rPr>
          <w:sz w:val="20"/>
          <w:szCs w:val="20"/>
          <w:color w:val="auto"/>
        </w:rPr>
      </w:pPr>
      <w:r>
        <w:rPr>
          <w:rFonts w:ascii="Arial" w:cs="Arial" w:eastAsia="Arial" w:hAnsi="Arial"/>
          <w:sz w:val="17"/>
          <w:szCs w:val="17"/>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220" w:firstLine="298"/>
        <w:spacing w:after="0" w:line="260" w:lineRule="auto"/>
        <w:rPr>
          <w:sz w:val="20"/>
          <w:szCs w:val="20"/>
          <w:color w:val="auto"/>
        </w:rPr>
      </w:pPr>
      <w:r>
        <w:rPr>
          <w:rFonts w:ascii="Arial" w:cs="Arial" w:eastAsia="Arial" w:hAnsi="Arial"/>
          <w:sz w:val="17"/>
          <w:szCs w:val="17"/>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100" w:firstLine="298"/>
        <w:spacing w:after="0" w:line="284" w:lineRule="auto"/>
        <w:rPr>
          <w:sz w:val="20"/>
          <w:szCs w:val="20"/>
          <w:color w:val="auto"/>
        </w:rPr>
      </w:pPr>
      <w:r>
        <w:rPr>
          <w:rFonts w:ascii="Arial" w:cs="Arial" w:eastAsia="Arial" w:hAnsi="Arial"/>
          <w:sz w:val="15"/>
          <w:szCs w:val="15"/>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 and Secondary Public Offering</w:t>
      </w:r>
    </w:p>
    <w:p>
      <w:pPr>
        <w:spacing w:after="0" w:line="205" w:lineRule="exact"/>
        <w:rPr>
          <w:sz w:val="20"/>
          <w:szCs w:val="20"/>
          <w:color w:val="auto"/>
        </w:rPr>
      </w:pPr>
    </w:p>
    <w:p>
      <w:pPr>
        <w:ind w:right="20" w:firstLine="298"/>
        <w:spacing w:after="0" w:line="288" w:lineRule="auto"/>
        <w:rPr>
          <w:sz w:val="20"/>
          <w:szCs w:val="20"/>
          <w:color w:val="auto"/>
        </w:rPr>
      </w:pPr>
      <w:r>
        <w:rPr>
          <w:rFonts w:ascii="Arial" w:cs="Arial" w:eastAsia="Arial" w:hAnsi="Arial"/>
          <w:sz w:val="15"/>
          <w:szCs w:val="15"/>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Securities Exchange Commission (“SEC”) on January 27, 2021. In the IPO, Maxim Group LLC and Roth Capital Partners acted as the underwriters. The IPO price for shares of Common Stock was $2,000.00 per share. The total gross proceeds from the IPO were $62.1 million.</w:t>
      </w:r>
    </w:p>
    <w:p>
      <w:pPr>
        <w:spacing w:after="0" w:line="156" w:lineRule="exact"/>
        <w:rPr>
          <w:sz w:val="20"/>
          <w:szCs w:val="20"/>
          <w:color w:val="auto"/>
        </w:rPr>
      </w:pPr>
    </w:p>
    <w:p>
      <w:pPr>
        <w:ind w:right="180" w:firstLine="298"/>
        <w:spacing w:after="0" w:line="252" w:lineRule="auto"/>
        <w:rPr>
          <w:sz w:val="20"/>
          <w:szCs w:val="20"/>
          <w:color w:val="auto"/>
        </w:rPr>
      </w:pPr>
      <w:r>
        <w:rPr>
          <w:rFonts w:ascii="Arial" w:cs="Arial" w:eastAsia="Arial" w:hAnsi="Arial"/>
          <w:sz w:val="17"/>
          <w:szCs w:val="17"/>
          <w:color w:val="auto"/>
        </w:rPr>
        <w:t>After deducting underwriting discounts and commissions of $4 million and offering expenses paid or payable by us of approximately $1 million, the net proceeds from the IPO were approximately $57 million. The Company used the net proceeds from the IPO for its current working capital needs, to support revenue growth, increase inventory to meet customer demand forecasts, and support operational growth.</w:t>
      </w:r>
    </w:p>
    <w:p>
      <w:pPr>
        <w:spacing w:after="0" w:line="178" w:lineRule="exact"/>
        <w:rPr>
          <w:sz w:val="20"/>
          <w:szCs w:val="20"/>
          <w:color w:val="auto"/>
        </w:rPr>
      </w:pPr>
    </w:p>
    <w:p>
      <w:pPr>
        <w:ind w:firstLine="298"/>
        <w:spacing w:after="0" w:line="246" w:lineRule="auto"/>
        <w:rPr>
          <w:sz w:val="20"/>
          <w:szCs w:val="20"/>
          <w:color w:val="auto"/>
        </w:rPr>
      </w:pPr>
      <w:r>
        <w:rPr>
          <w:rFonts w:ascii="Arial" w:cs="Arial" w:eastAsia="Arial" w:hAnsi="Arial"/>
          <w:sz w:val="17"/>
          <w:szCs w:val="17"/>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over-allotment option.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increase inventory, meet customer demand forecasts, and support operational growth.</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80"/>
          </w:cols>
          <w:pgMar w:left="320" w:top="822" w:right="3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Coronavirus (“COVID-19”) Pandemic Impact and Uncertainties</w:t>
      </w:r>
    </w:p>
    <w:p>
      <w:pPr>
        <w:spacing w:after="0" w:line="205"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The COVID-19 pandemic has created significant public health concerns as well as economic disruption, uncertainty, and volatility that may negatively affect its business operations and financial results. As a result, if the pandemic or its effects persist or worsen, its accounting estimates and assumptions could be impacted in subsequent interim reports and upon final determination at year-end, and it is reasonably possible such changes could be significant (although the potential effects cannot be estimated at this time). The Company has experienced minimal business interruption as a result of the COVID-19 pandemic. The COVID-19 pandemic to date has resulted in supply chain delays of its inventory, higher operating costs and increased shipping costs, among other impacts. As events surrounding the COVID-19 pandemic can change rapidly, the Company cannot predict how it may disrupt its operations or the full extent of the disruption.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Paycheck Protection Program</w:t>
      </w:r>
    </w:p>
    <w:p>
      <w:pPr>
        <w:spacing w:after="0" w:line="205" w:lineRule="exact"/>
        <w:rPr>
          <w:sz w:val="20"/>
          <w:szCs w:val="20"/>
          <w:color w:val="auto"/>
        </w:rPr>
      </w:pPr>
    </w:p>
    <w:p>
      <w:pPr>
        <w:ind w:right="40" w:firstLine="298"/>
        <w:spacing w:after="0" w:line="247" w:lineRule="auto"/>
        <w:rPr>
          <w:sz w:val="20"/>
          <w:szCs w:val="20"/>
          <w:color w:val="auto"/>
        </w:rPr>
      </w:pPr>
      <w:r>
        <w:rPr>
          <w:rFonts w:ascii="Arial" w:cs="Arial" w:eastAsia="Arial" w:hAnsi="Arial"/>
          <w:sz w:val="17"/>
          <w:szCs w:val="17"/>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The SBA denied the Company’s application for the forgiveness of the outstanding balance of the PPP Loan. On June 23, 2022, the Company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Preparation of Condensed Consolidated Financial Statements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condensed consolidated financial statements included herein have been prepared in accordance with accounting principles generally accepted in the</w:t>
      </w:r>
    </w:p>
    <w:p>
      <w:pPr>
        <w:spacing w:after="0" w:line="3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36"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and nine months ended September 30, 2022 and 2021, condensed consolidated statements of stockholders’ equity for the three and nine months ended September 30, 2022 and 2021, and the condensed consolidated cash flows for the nine months ended September 30, 2022 and 2021.</w:t>
      </w:r>
    </w:p>
    <w:p>
      <w:pPr>
        <w:spacing w:after="0" w:line="181" w:lineRule="exact"/>
        <w:rPr>
          <w:sz w:val="20"/>
          <w:szCs w:val="20"/>
          <w:color w:val="auto"/>
        </w:rPr>
      </w:pPr>
    </w:p>
    <w:p>
      <w:pPr>
        <w:ind w:right="20" w:firstLine="298"/>
        <w:spacing w:after="0" w:line="247" w:lineRule="auto"/>
        <w:rPr>
          <w:sz w:val="20"/>
          <w:szCs w:val="20"/>
          <w:color w:val="auto"/>
        </w:rPr>
      </w:pPr>
      <w:r>
        <w:rPr>
          <w:rFonts w:ascii="Arial" w:cs="Arial" w:eastAsia="Arial" w:hAnsi="Arial"/>
          <w:sz w:val="17"/>
          <w:szCs w:val="17"/>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for Wholly-Owned Subsidiaries</w:t>
      </w:r>
    </w:p>
    <w:p>
      <w:pPr>
        <w:spacing w:after="0" w:line="201" w:lineRule="exact"/>
        <w:rPr>
          <w:sz w:val="20"/>
          <w:szCs w:val="20"/>
          <w:color w:val="auto"/>
        </w:rPr>
      </w:pPr>
    </w:p>
    <w:p>
      <w:pPr>
        <w:ind w:right="140" w:firstLine="298"/>
        <w:spacing w:after="0" w:line="293" w:lineRule="auto"/>
        <w:rPr>
          <w:sz w:val="20"/>
          <w:szCs w:val="20"/>
          <w:color w:val="auto"/>
        </w:rPr>
      </w:pPr>
      <w:r>
        <w:rPr>
          <w:rFonts w:ascii="Arial" w:cs="Arial" w:eastAsia="Arial" w:hAnsi="Arial"/>
          <w:sz w:val="15"/>
          <w:szCs w:val="15"/>
          <w:color w:val="auto"/>
        </w:rPr>
        <w:t>The accompanying consolidated financial statements have been prepared in accordance with GAAP and include the accounts of Agrify Corporation and its wholly-owned subsidiaries, as described above in Note 1 – Overview, Basis of Presentation and Significant Accounting Policies,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1" w:name="page12"/>
    <w:bookmarkEnd w:id="11"/>
    <w:p>
      <w:pPr>
        <w:ind w:left="301"/>
        <w:spacing w:after="0"/>
        <w:rPr>
          <w:sz w:val="20"/>
          <w:szCs w:val="20"/>
          <w:color w:val="auto"/>
        </w:rPr>
      </w:pPr>
      <w:r>
        <w:rPr>
          <w:rFonts w:ascii="Arial" w:cs="Arial" w:eastAsia="Arial" w:hAnsi="Arial"/>
          <w:sz w:val="17"/>
          <w:szCs w:val="17"/>
          <w:b w:val="1"/>
          <w:bCs w:val="1"/>
          <w:i w:val="1"/>
          <w:iCs w:val="1"/>
          <w:color w:val="auto"/>
        </w:rPr>
        <w:t>Accounting for Less Than Wholly-Owned Subsidiaries</w:t>
      </w:r>
    </w:p>
    <w:p>
      <w:pPr>
        <w:spacing w:after="0" w:line="201" w:lineRule="exact"/>
        <w:rPr>
          <w:sz w:val="20"/>
          <w:szCs w:val="20"/>
          <w:color w:val="auto"/>
        </w:rPr>
      </w:pPr>
    </w:p>
    <w:p>
      <w:pPr>
        <w:ind w:left="1" w:right="200" w:firstLine="298"/>
        <w:spacing w:after="0" w:line="281" w:lineRule="auto"/>
        <w:rPr>
          <w:sz w:val="20"/>
          <w:szCs w:val="20"/>
          <w:color w:val="auto"/>
        </w:rPr>
      </w:pPr>
      <w:r>
        <w:rPr>
          <w:rFonts w:ascii="Arial" w:cs="Arial" w:eastAsia="Arial" w:hAnsi="Arial"/>
          <w:sz w:val="15"/>
          <w:szCs w:val="15"/>
          <w:color w:val="auto"/>
        </w:rPr>
        <w:t>For the Company’s less than wholly-owned subsidiaries, which include TPI, Agrify-Valiant, and Agrify Brands, the Company first analyzes whether these entities are a variable interest entity (a “VIE”) in accordance with ASC Topic 810 Consolidation (“ASC810”), and if so, whether the Company is the primary beneficiary requiring consolidation. A VIE is an entity that has (i) insufficient equity to permit it to finance its activities without additional subordinated financial support or</w:t>
      </w:r>
    </w:p>
    <w:p>
      <w:pPr>
        <w:ind w:left="1" w:right="160" w:hanging="1"/>
        <w:spacing w:after="0" w:line="244" w:lineRule="auto"/>
        <w:tabs>
          <w:tab w:leader="none" w:pos="244"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86" w:lineRule="exact"/>
        <w:rPr>
          <w:sz w:val="20"/>
          <w:szCs w:val="20"/>
          <w:color w:val="auto"/>
        </w:rPr>
      </w:pPr>
    </w:p>
    <w:p>
      <w:pPr>
        <w:ind w:left="1" w:right="80" w:firstLine="298"/>
        <w:spacing w:after="0" w:line="282" w:lineRule="auto"/>
        <w:rPr>
          <w:sz w:val="20"/>
          <w:szCs w:val="20"/>
          <w:color w:val="auto"/>
        </w:rPr>
      </w:pPr>
      <w:r>
        <w:rPr>
          <w:rFonts w:ascii="Arial" w:cs="Arial" w:eastAsia="Arial" w:hAnsi="Arial"/>
          <w:sz w:val="15"/>
          <w:szCs w:val="15"/>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Going Concern</w:t>
      </w:r>
    </w:p>
    <w:p>
      <w:pPr>
        <w:spacing w:after="0" w:line="205" w:lineRule="exact"/>
        <w:rPr>
          <w:sz w:val="20"/>
          <w:szCs w:val="20"/>
          <w:color w:val="auto"/>
        </w:rPr>
      </w:pPr>
    </w:p>
    <w:p>
      <w:pPr>
        <w:ind w:left="1" w:right="240" w:firstLine="298"/>
        <w:spacing w:after="0" w:line="249" w:lineRule="auto"/>
        <w:rPr>
          <w:sz w:val="20"/>
          <w:szCs w:val="20"/>
          <w:color w:val="auto"/>
        </w:rPr>
      </w:pPr>
      <w:r>
        <w:rPr>
          <w:rFonts w:ascii="Arial" w:cs="Arial" w:eastAsia="Arial" w:hAnsi="Arial"/>
          <w:sz w:val="17"/>
          <w:szCs w:val="17"/>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1" w:lineRule="exact"/>
        <w:rPr>
          <w:sz w:val="20"/>
          <w:szCs w:val="20"/>
          <w:color w:val="auto"/>
        </w:rPr>
      </w:pPr>
    </w:p>
    <w:p>
      <w:pPr>
        <w:ind w:left="1" w:firstLine="298"/>
        <w:spacing w:after="0" w:line="293" w:lineRule="auto"/>
        <w:rPr>
          <w:sz w:val="20"/>
          <w:szCs w:val="20"/>
          <w:color w:val="auto"/>
        </w:rPr>
      </w:pPr>
      <w:r>
        <w:rPr>
          <w:rFonts w:ascii="Arial" w:cs="Arial" w:eastAsia="Arial" w:hAnsi="Arial"/>
          <w:sz w:val="15"/>
          <w:szCs w:val="15"/>
          <w:color w:val="auto"/>
        </w:rPr>
        <w:t>The Company has incurred operating losses since its inception and has negative cash flows from operations. The Company also has an accumulated deficit of $189.2 million as of September 30, 2022.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50" w:lineRule="exact"/>
        <w:rPr>
          <w:sz w:val="20"/>
          <w:szCs w:val="20"/>
          <w:color w:val="auto"/>
        </w:rPr>
      </w:pPr>
    </w:p>
    <w:p>
      <w:pPr>
        <w:ind w:left="1" w:right="120" w:firstLine="298"/>
        <w:spacing w:after="0" w:line="293" w:lineRule="auto"/>
        <w:rPr>
          <w:sz w:val="20"/>
          <w:szCs w:val="20"/>
          <w:color w:val="auto"/>
        </w:rPr>
      </w:pPr>
      <w:r>
        <w:rPr>
          <w:rFonts w:ascii="Arial" w:cs="Arial" w:eastAsia="Arial" w:hAnsi="Arial"/>
          <w:sz w:val="15"/>
          <w:szCs w:val="15"/>
          <w:color w:val="auto"/>
        </w:rPr>
        <w:t>As of September 30, 2022, the Company had $12.5 million of cash, cash equivalents, marketable securities, and restricted cash and restricted marketable securities. The Company’s restricted cash and restricted marketable securities is associated with its new senior secured note (the “Exchange Note”) was $10.0 million as of September 30, 2022. Current liabilities were $72.8 million as of September 30, 2022. Additional information regarding the Company’s Exchange Note may be found in Note 10 – Debt, included elsewhere in the notes to the consolidated financial statements.</w:t>
      </w:r>
    </w:p>
    <w:p>
      <w:pPr>
        <w:spacing w:after="0" w:line="150" w:lineRule="exact"/>
        <w:rPr>
          <w:sz w:val="20"/>
          <w:szCs w:val="20"/>
          <w:color w:val="auto"/>
        </w:rPr>
      </w:pPr>
    </w:p>
    <w:p>
      <w:pPr>
        <w:ind w:left="1" w:right="20" w:firstLine="298"/>
        <w:spacing w:after="0" w:line="284" w:lineRule="auto"/>
        <w:rPr>
          <w:sz w:val="20"/>
          <w:szCs w:val="20"/>
          <w:color w:val="auto"/>
        </w:rPr>
      </w:pPr>
      <w:r>
        <w:rPr>
          <w:rFonts w:ascii="Arial" w:cs="Arial" w:eastAsia="Arial" w:hAnsi="Arial"/>
          <w:sz w:val="15"/>
          <w:szCs w:val="15"/>
          <w:color w:val="auto"/>
        </w:rPr>
        <w:t>Subsequent to the end of the third quarter of 2022, the Company entered into an agreement for the ATM Program with Canaccord Genuity LLC (the “Agent”), pursuant to which the Company may issue and sell, from time to time, shares of its Common Stock having an aggregate offering price of up to $50 million, depending on market demand, with the Agent acting as an agent for sales.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$15.1 million in net proceeds generated from the ATM Program as of November 7, 2022 for working capital and general corporate purposes, including repayment of indebtedness, funding the Company’s transformation initiatives and product category expansion efforts and capital expenditures. As of November 7, 2022, the Company had $34.4 million of remaining availability for future issuances of Common Stock under the ATM Program.</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1"/>
          </w:cols>
          <w:pgMar w:left="319" w:top="822" w:right="359" w:bottom="1440" w:gutter="0" w:footer="0" w:header="0"/>
        </w:sectPr>
      </w:pPr>
    </w:p>
    <w:bookmarkStart w:id="12" w:name="page13"/>
    <w:bookmarkEnd w:id="12"/>
    <w:p>
      <w:pPr>
        <w:ind w:right="200" w:firstLine="298"/>
        <w:spacing w:after="0" w:line="260" w:lineRule="auto"/>
        <w:rPr>
          <w:sz w:val="20"/>
          <w:szCs w:val="20"/>
          <w:color w:val="auto"/>
        </w:rPr>
      </w:pPr>
      <w:r>
        <w:rPr>
          <w:rFonts w:ascii="Arial" w:cs="Arial" w:eastAsia="Arial" w:hAnsi="Arial"/>
          <w:sz w:val="17"/>
          <w:szCs w:val="17"/>
          <w:color w:val="auto"/>
        </w:rPr>
        <w:t>Additional information regarding the Company’s ATM Program and proceeds received subsequent to September 30, 2022, may be found in Note 20 – Subsequent Events, included elsewhere in the notes to the consolidated financial statements.</w:t>
      </w:r>
    </w:p>
    <w:p>
      <w:pPr>
        <w:spacing w:after="0" w:line="172" w:lineRule="exact"/>
        <w:rPr>
          <w:sz w:val="20"/>
          <w:szCs w:val="20"/>
          <w:color w:val="auto"/>
        </w:rPr>
      </w:pPr>
    </w:p>
    <w:p>
      <w:pPr>
        <w:ind w:right="40" w:firstLine="298"/>
        <w:spacing w:after="0" w:line="249" w:lineRule="auto"/>
        <w:rPr>
          <w:sz w:val="20"/>
          <w:szCs w:val="20"/>
          <w:color w:val="auto"/>
        </w:rPr>
      </w:pPr>
      <w:r>
        <w:rPr>
          <w:rFonts w:ascii="Arial" w:cs="Arial" w:eastAsia="Arial" w:hAnsi="Arial"/>
          <w:sz w:val="17"/>
          <w:szCs w:val="17"/>
          <w:color w:val="auto"/>
        </w:rPr>
        <w:t>These financial statements have been prepared on a going concern basis, which implies the Company believes these conditions raise substantial doubt about its ability to continue as a going concern within the next twelve months from the date these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w:t>
      </w:r>
    </w:p>
    <w:p>
      <w:pPr>
        <w:spacing w:after="0" w:line="181" w:lineRule="exact"/>
        <w:rPr>
          <w:sz w:val="20"/>
          <w:szCs w:val="20"/>
          <w:color w:val="auto"/>
        </w:rPr>
      </w:pPr>
    </w:p>
    <w:p>
      <w:pPr>
        <w:ind w:right="120" w:firstLine="298"/>
        <w:spacing w:after="0" w:line="367" w:lineRule="auto"/>
        <w:rPr>
          <w:sz w:val="20"/>
          <w:szCs w:val="20"/>
          <w:color w:val="auto"/>
        </w:rPr>
      </w:pPr>
      <w:r>
        <w:rPr>
          <w:rFonts w:ascii="Arial" w:cs="Arial" w:eastAsia="Arial" w:hAnsi="Arial"/>
          <w:sz w:val="14"/>
          <w:szCs w:val="14"/>
          <w:color w:val="auto"/>
        </w:rPr>
        <w:t>There is no assurance that the Company will ever be profitable. The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05" w:lineRule="exact"/>
        <w:rPr>
          <w:sz w:val="20"/>
          <w:szCs w:val="20"/>
          <w:color w:val="auto"/>
        </w:rPr>
      </w:pPr>
    </w:p>
    <w:p>
      <w:pPr>
        <w:ind w:firstLine="298"/>
        <w:spacing w:after="0" w:line="310" w:lineRule="auto"/>
        <w:rPr>
          <w:sz w:val="20"/>
          <w:szCs w:val="20"/>
          <w:color w:val="auto"/>
        </w:rPr>
      </w:pPr>
      <w:r>
        <w:rPr>
          <w:rFonts w:ascii="Arial" w:cs="Arial" w:eastAsia="Arial" w:hAnsi="Arial"/>
          <w:sz w:val="14"/>
          <w:szCs w:val="14"/>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the Company and its Subsidiaries, the fiscal year ends on December 31, each year.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w:t>
      </w:r>
    </w:p>
    <w:p>
      <w:pPr>
        <w:spacing w:after="0" w:line="205" w:lineRule="exact"/>
        <w:rPr>
          <w:sz w:val="20"/>
          <w:szCs w:val="20"/>
          <w:color w:val="auto"/>
        </w:rPr>
      </w:pPr>
    </w:p>
    <w:p>
      <w:pPr>
        <w:ind w:right="100" w:firstLine="298"/>
        <w:spacing w:after="0" w:line="327" w:lineRule="auto"/>
        <w:rPr>
          <w:sz w:val="20"/>
          <w:szCs w:val="20"/>
          <w:color w:val="auto"/>
        </w:rPr>
      </w:pPr>
      <w:r>
        <w:rPr>
          <w:rFonts w:ascii="Arial" w:cs="Arial" w:eastAsia="Arial" w:hAnsi="Arial"/>
          <w:sz w:val="15"/>
          <w:szCs w:val="15"/>
          <w:color w:val="auto"/>
        </w:rPr>
        <w:t>The Company qualifies as an “emerging growth company” as defined in the Jumpstart Our Business Startups Act of 2012, (“JOBS Act”). As a result, the Company is permitted to, and intends to, rely on exemptions from certain disclosure requirements that are applicable to companies that are not emerging growth companies.</w:t>
      </w:r>
    </w:p>
    <w:p>
      <w:pPr>
        <w:spacing w:after="0" w:line="125" w:lineRule="exact"/>
        <w:rPr>
          <w:sz w:val="20"/>
          <w:szCs w:val="20"/>
          <w:color w:val="auto"/>
        </w:rPr>
      </w:pPr>
    </w:p>
    <w:p>
      <w:pPr>
        <w:ind w:right="500" w:firstLine="298"/>
        <w:spacing w:after="0" w:line="260" w:lineRule="auto"/>
        <w:rPr>
          <w:sz w:val="20"/>
          <w:szCs w:val="20"/>
          <w:color w:val="auto"/>
        </w:rPr>
      </w:pPr>
      <w:r>
        <w:rPr>
          <w:rFonts w:ascii="Arial" w:cs="Arial" w:eastAsia="Arial" w:hAnsi="Arial"/>
          <w:sz w:val="17"/>
          <w:szCs w:val="17"/>
          <w:color w:val="auto"/>
        </w:rPr>
        <w:t>In addition, the JOBS Act provides that an “emerging growth company” can use the extended transition period for complying with new or revised accounting standards.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will remain an “emerging growth company” until the earliest to occur of:</w:t>
      </w:r>
    </w:p>
    <w:p>
      <w:pPr>
        <w:spacing w:after="0" w:line="201" w:lineRule="exact"/>
        <w:rPr>
          <w:sz w:val="20"/>
          <w:szCs w:val="20"/>
          <w:color w:val="auto"/>
        </w:rPr>
      </w:pPr>
    </w:p>
    <w:p>
      <w:pPr>
        <w:ind w:left="600" w:hanging="30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reporting $1.0 billion or more in annual gross revenues;</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issuance, in a three-year period, of more than $1.0 billion in non-convertible debt;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13" w:name="page14"/>
    <w:bookmarkEnd w:id="13"/>
    <w:p>
      <w:pPr>
        <w:ind w:left="600" w:right="160" w:hanging="303"/>
        <w:spacing w:after="0" w:line="260"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Common Stock held by non-affiliates exceeds $700 million on the last business day of our second fiscal quarter; or</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December 31, 2026.</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30, 2022, the market value of Common Stock held by non-affiliates did not exceed $700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205" w:lineRule="exact"/>
        <w:rPr>
          <w:sz w:val="20"/>
          <w:szCs w:val="20"/>
          <w:color w:val="auto"/>
        </w:rPr>
      </w:pPr>
    </w:p>
    <w:p>
      <w:pPr>
        <w:jc w:val="both"/>
        <w:ind w:right="120" w:firstLine="298"/>
        <w:spacing w:after="0" w:line="331" w:lineRule="auto"/>
        <w:rPr>
          <w:sz w:val="20"/>
          <w:szCs w:val="20"/>
          <w:color w:val="auto"/>
        </w:rPr>
      </w:pPr>
      <w:r>
        <w:rPr>
          <w:rFonts w:ascii="Arial" w:cs="Arial" w:eastAsia="Arial" w:hAnsi="Arial"/>
          <w:sz w:val="14"/>
          <w:szCs w:val="14"/>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statements of operations as general and administrative expenses and selling and marketing expenses for the three and nine months ended September 30, 2022 and 2021.</w:t>
      </w:r>
    </w:p>
    <w:p>
      <w:pPr>
        <w:spacing w:after="0" w:line="128" w:lineRule="exact"/>
        <w:rPr>
          <w:sz w:val="20"/>
          <w:szCs w:val="20"/>
          <w:color w:val="auto"/>
        </w:rPr>
      </w:pPr>
    </w:p>
    <w:p>
      <w:pPr>
        <w:ind w:firstLine="298"/>
        <w:spacing w:after="0" w:line="252" w:lineRule="auto"/>
        <w:rPr>
          <w:sz w:val="20"/>
          <w:szCs w:val="20"/>
          <w:color w:val="auto"/>
        </w:rPr>
      </w:pPr>
      <w:r>
        <w:rPr>
          <w:rFonts w:ascii="Arial" w:cs="Arial" w:eastAsia="Arial" w:hAnsi="Arial"/>
          <w:sz w:val="17"/>
          <w:szCs w:val="17"/>
          <w:color w:val="auto"/>
        </w:rPr>
        <w:t>On January 12, 2021, the Company effected a 1-for-1.581804 reverse stock split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78" w:lineRule="exact"/>
        <w:rPr>
          <w:sz w:val="20"/>
          <w:szCs w:val="20"/>
          <w:color w:val="auto"/>
        </w:rPr>
      </w:pPr>
    </w:p>
    <w:p>
      <w:pPr>
        <w:ind w:right="100" w:firstLine="298"/>
        <w:spacing w:after="0" w:line="260" w:lineRule="auto"/>
        <w:rPr>
          <w:sz w:val="20"/>
          <w:szCs w:val="20"/>
          <w:color w:val="auto"/>
        </w:rPr>
      </w:pPr>
      <w:r>
        <w:rPr>
          <w:rFonts w:ascii="Arial" w:cs="Arial" w:eastAsia="Arial" w:hAnsi="Arial"/>
          <w:sz w:val="17"/>
          <w:szCs w:val="17"/>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280" w:firstLine="298"/>
        <w:spacing w:after="0" w:line="260" w:lineRule="auto"/>
        <w:rPr>
          <w:sz w:val="20"/>
          <w:szCs w:val="20"/>
          <w:color w:val="auto"/>
        </w:rPr>
      </w:pPr>
      <w:r>
        <w:rPr>
          <w:rFonts w:ascii="Arial" w:cs="Arial" w:eastAsia="Arial" w:hAnsi="Arial"/>
          <w:sz w:val="17"/>
          <w:szCs w:val="17"/>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160" w:firstLine="298"/>
        <w:spacing w:after="0" w:line="284" w:lineRule="auto"/>
        <w:rPr>
          <w:sz w:val="20"/>
          <w:szCs w:val="20"/>
          <w:color w:val="auto"/>
        </w:rPr>
      </w:pPr>
      <w:r>
        <w:rPr>
          <w:rFonts w:ascii="Arial" w:cs="Arial" w:eastAsia="Arial" w:hAnsi="Arial"/>
          <w:sz w:val="15"/>
          <w:szCs w:val="15"/>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 and Restricted Marketable Securities</w:t>
      </w:r>
    </w:p>
    <w:p>
      <w:pPr>
        <w:spacing w:after="0" w:line="205"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Cash and cash equivalents consist principally of cash and deposits with maturities of three months or less as of September 30, 2022 and December 31, 2021. All cash equivalents are carried at cost, which approximates fair value. Restricted cash and restricted marketable securities represents cash required to be held as collateral for the Company’s Exchange Note. Accordingly, these balances contain restrictions as to their availability and usage and are classified as restricted cash and restricted marketable securities in the consolidated balance sheets. Additional information relating to the Company’s Exchange Note may be found in Note 10 – Debt, included elsewhere in the notes to the consolidated financial statements.</w:t>
      </w:r>
    </w:p>
    <w:p>
      <w:pPr>
        <w:spacing w:after="0" w:line="156" w:lineRule="exact"/>
        <w:rPr>
          <w:sz w:val="20"/>
          <w:szCs w:val="20"/>
          <w:color w:val="auto"/>
        </w:rPr>
      </w:pPr>
    </w:p>
    <w:p>
      <w:pPr>
        <w:jc w:val="both"/>
        <w:ind w:right="480" w:firstLine="298"/>
        <w:spacing w:after="0" w:line="252" w:lineRule="auto"/>
        <w:rPr>
          <w:sz w:val="20"/>
          <w:szCs w:val="20"/>
          <w:color w:val="auto"/>
        </w:rPr>
      </w:pPr>
      <w:r>
        <w:rPr>
          <w:rFonts w:ascii="Arial" w:cs="Arial" w:eastAsia="Arial" w:hAnsi="Arial"/>
          <w:sz w:val="17"/>
          <w:szCs w:val="17"/>
          <w:color w:val="auto"/>
        </w:rPr>
        <w:t>Cash deposits with financial institutions, including restricted cash and restricted marketable securities, generally exceed federally insured limits. Management believes minimal credit risk exists with respect to these financial institutions and the Company has not experienced any losses on such amounts. Balances held in a brokerage account are disclosed on the balance sheet as 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205" w:lineRule="exact"/>
        <w:rPr>
          <w:sz w:val="20"/>
          <w:szCs w:val="20"/>
          <w:color w:val="auto"/>
        </w:rPr>
      </w:pPr>
    </w:p>
    <w:p>
      <w:pPr>
        <w:ind w:right="120" w:firstLine="298"/>
        <w:spacing w:after="0" w:line="247" w:lineRule="auto"/>
        <w:rPr>
          <w:sz w:val="20"/>
          <w:szCs w:val="20"/>
          <w:color w:val="auto"/>
        </w:rPr>
      </w:pPr>
      <w:r>
        <w:rPr>
          <w:rFonts w:ascii="Arial" w:cs="Arial" w:eastAsia="Arial" w:hAnsi="Arial"/>
          <w:sz w:val="17"/>
          <w:szCs w:val="17"/>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14" w:name="page15"/>
    <w:bookmarkEnd w:id="14"/>
    <w:p>
      <w:pPr>
        <w:ind w:left="1"/>
        <w:spacing w:after="0"/>
        <w:rPr>
          <w:sz w:val="20"/>
          <w:szCs w:val="20"/>
          <w:color w:val="auto"/>
        </w:rPr>
      </w:pPr>
      <w:r>
        <w:rPr>
          <w:rFonts w:ascii="Arial" w:cs="Arial" w:eastAsia="Arial" w:hAnsi="Arial"/>
          <w:sz w:val="17"/>
          <w:szCs w:val="17"/>
          <w:b w:val="1"/>
          <w:bCs w:val="1"/>
          <w:color w:val="auto"/>
        </w:rPr>
        <w:t>Accounts Receivable, Net</w:t>
      </w:r>
    </w:p>
    <w:p>
      <w:pPr>
        <w:spacing w:after="0" w:line="205" w:lineRule="exact"/>
        <w:rPr>
          <w:sz w:val="20"/>
          <w:szCs w:val="20"/>
          <w:color w:val="auto"/>
        </w:rPr>
      </w:pPr>
    </w:p>
    <w:p>
      <w:pPr>
        <w:ind w:left="1" w:right="80" w:firstLine="298"/>
        <w:spacing w:after="0" w:line="286" w:lineRule="auto"/>
        <w:rPr>
          <w:sz w:val="20"/>
          <w:szCs w:val="20"/>
          <w:color w:val="auto"/>
        </w:rPr>
      </w:pPr>
      <w:r>
        <w:rPr>
          <w:rFonts w:ascii="Arial" w:cs="Arial" w:eastAsia="Arial" w:hAnsi="Arial"/>
          <w:sz w:val="15"/>
          <w:szCs w:val="15"/>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Concentration of Credit Risk and Significant Customer</w:t>
      </w:r>
    </w:p>
    <w:p>
      <w:pPr>
        <w:spacing w:after="0" w:line="205" w:lineRule="exact"/>
        <w:rPr>
          <w:sz w:val="20"/>
          <w:szCs w:val="20"/>
          <w:color w:val="auto"/>
        </w:rPr>
      </w:pPr>
    </w:p>
    <w:p>
      <w:pPr>
        <w:ind w:left="1" w:right="120" w:firstLine="298"/>
        <w:spacing w:after="0" w:line="247" w:lineRule="auto"/>
        <w:rPr>
          <w:sz w:val="20"/>
          <w:szCs w:val="20"/>
          <w:color w:val="auto"/>
        </w:rPr>
      </w:pPr>
      <w:r>
        <w:rPr>
          <w:rFonts w:ascii="Arial" w:cs="Arial" w:eastAsia="Arial" w:hAnsi="Arial"/>
          <w:sz w:val="17"/>
          <w:szCs w:val="17"/>
          <w:color w:val="auto"/>
        </w:rPr>
        <w:t>Financial instruments that potentially subject the Company to a concentration of credit risk primarily consist of cash, cash equivalents, restricted cash and restricted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and restricted marketable securities, generally exceed federally insured limits. Management believes minimal credit risk exists with respect to these financial institutions and the Company has not experienced any losses on such amounts.</w:t>
      </w:r>
    </w:p>
    <w:p>
      <w:pPr>
        <w:spacing w:after="0" w:line="185" w:lineRule="exact"/>
        <w:rPr>
          <w:sz w:val="20"/>
          <w:szCs w:val="20"/>
          <w:color w:val="auto"/>
        </w:rPr>
      </w:pPr>
    </w:p>
    <w:p>
      <w:pPr>
        <w:ind w:left="1" w:right="300" w:firstLine="298"/>
        <w:spacing w:after="0" w:line="260" w:lineRule="auto"/>
        <w:rPr>
          <w:sz w:val="20"/>
          <w:szCs w:val="20"/>
          <w:color w:val="auto"/>
        </w:rPr>
      </w:pPr>
      <w:r>
        <w:rPr>
          <w:rFonts w:ascii="Arial" w:cs="Arial" w:eastAsia="Arial" w:hAnsi="Arial"/>
          <w:sz w:val="17"/>
          <w:szCs w:val="17"/>
          <w:color w:val="auto"/>
        </w:rPr>
        <w:t>The tables below show customers who account for 10% or more of the Company’s total revenues and 10% or more of the Company’s accounts receivable for the periods presented:</w:t>
      </w:r>
    </w:p>
    <w:p>
      <w:pPr>
        <w:spacing w:after="0" w:line="172" w:lineRule="exact"/>
        <w:rPr>
          <w:sz w:val="20"/>
          <w:szCs w:val="20"/>
          <w:color w:val="auto"/>
        </w:rPr>
      </w:pPr>
    </w:p>
    <w:p>
      <w:pPr>
        <w:ind w:left="301"/>
        <w:spacing w:after="0"/>
        <w:rPr>
          <w:sz w:val="20"/>
          <w:szCs w:val="20"/>
          <w:color w:val="auto"/>
        </w:rPr>
      </w:pPr>
      <w:r>
        <w:rPr>
          <w:rFonts w:ascii="Arial" w:cs="Arial" w:eastAsia="Arial" w:hAnsi="Arial"/>
          <w:sz w:val="17"/>
          <w:szCs w:val="17"/>
          <w:b w:val="1"/>
          <w:bCs w:val="1"/>
          <w:i w:val="1"/>
          <w:iCs w:val="1"/>
          <w:color w:val="auto"/>
        </w:rPr>
        <w:t>Revenue</w:t>
      </w:r>
    </w:p>
    <w:p>
      <w:pPr>
        <w:spacing w:after="0" w:line="201" w:lineRule="exact"/>
        <w:rPr>
          <w:sz w:val="20"/>
          <w:szCs w:val="20"/>
          <w:color w:val="auto"/>
        </w:rPr>
      </w:pPr>
    </w:p>
    <w:p>
      <w:pPr>
        <w:ind w:left="301"/>
        <w:spacing w:after="0"/>
        <w:rPr>
          <w:sz w:val="20"/>
          <w:szCs w:val="20"/>
          <w:color w:val="auto"/>
        </w:rPr>
      </w:pPr>
      <w:r>
        <w:rPr>
          <w:rFonts w:ascii="Arial" w:cs="Arial" w:eastAsia="Arial" w:hAnsi="Arial"/>
          <w:sz w:val="15"/>
          <w:szCs w:val="15"/>
          <w:color w:val="auto"/>
        </w:rPr>
        <w:t>For the three months ended September 30, 2022 and 2021, the Company’s customers that accounted for 10% or more of the total revenue were as follows: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Pr>
          <w:p>
            <w:pPr>
              <w:spacing w:after="0"/>
              <w:rPr>
                <w:sz w:val="17"/>
                <w:szCs w:val="17"/>
                <w:color w:val="auto"/>
              </w:rPr>
            </w:pPr>
          </w:p>
        </w:tc>
        <w:tc>
          <w:tcPr>
            <w:tcW w:w="2420" w:type="dxa"/>
            <w:vAlign w:val="bottom"/>
            <w:gridSpan w:val="4"/>
          </w:tcPr>
          <w:p>
            <w:pPr>
              <w:jc w:val="right"/>
              <w:ind w:right="620"/>
              <w:spacing w:after="0"/>
              <w:rPr>
                <w:sz w:val="20"/>
                <w:szCs w:val="20"/>
                <w:color w:val="auto"/>
              </w:rPr>
            </w:pPr>
            <w:r>
              <w:rPr>
                <w:rFonts w:ascii="Arial" w:cs="Arial" w:eastAsia="Arial" w:hAnsi="Arial"/>
                <w:sz w:val="17"/>
                <w:szCs w:val="17"/>
                <w:b w:val="1"/>
                <w:bCs w:val="1"/>
                <w:color w:val="auto"/>
              </w:rPr>
              <w:t>Three Months Ended</w:t>
            </w:r>
          </w:p>
        </w:tc>
      </w:tr>
      <w:tr>
        <w:trPr>
          <w:trHeight w:val="220"/>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7"/>
                <w:szCs w:val="17"/>
                <w:b w:val="1"/>
                <w:bCs w:val="1"/>
                <w:color w:val="auto"/>
              </w:rPr>
              <w:t>September 30, 2022</w:t>
            </w:r>
          </w:p>
        </w:tc>
        <w:tc>
          <w:tcPr>
            <w:tcW w:w="180" w:type="dxa"/>
            <w:vAlign w:val="bottom"/>
          </w:tcPr>
          <w:p>
            <w:pPr>
              <w:spacing w:after="0"/>
              <w:rPr>
                <w:sz w:val="19"/>
                <w:szCs w:val="19"/>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7"/>
                <w:szCs w:val="17"/>
                <w:b w:val="1"/>
                <w:bCs w:val="1"/>
                <w:color w:val="auto"/>
              </w:rPr>
              <w:t>September 30, 2021</w:t>
            </w:r>
          </w:p>
        </w:tc>
      </w:tr>
      <w:tr>
        <w:trPr>
          <w:trHeight w:val="182"/>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7"/>
              <w:spacing w:after="0" w:line="182" w:lineRule="exact"/>
              <w:rPr>
                <w:sz w:val="20"/>
                <w:szCs w:val="20"/>
                <w:color w:val="auto"/>
              </w:rPr>
            </w:pPr>
            <w:r>
              <w:rPr>
                <w:rFonts w:ascii="Arial" w:cs="Arial" w:eastAsia="Arial" w:hAnsi="Arial"/>
                <w:sz w:val="17"/>
                <w:szCs w:val="17"/>
                <w:b w:val="1"/>
                <w:bCs w:val="1"/>
                <w:color w:val="auto"/>
              </w:rPr>
              <w:t>% of Total</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7"/>
              <w:spacing w:after="0" w:line="182" w:lineRule="exact"/>
              <w:rPr>
                <w:sz w:val="20"/>
                <w:szCs w:val="20"/>
                <w:color w:val="auto"/>
              </w:rPr>
            </w:pPr>
            <w:r>
              <w:rPr>
                <w:rFonts w:ascii="Arial" w:cs="Arial" w:eastAsia="Arial" w:hAnsi="Arial"/>
                <w:sz w:val="17"/>
                <w:szCs w:val="17"/>
                <w:b w:val="1"/>
                <w:bCs w:val="1"/>
                <w:color w:val="auto"/>
              </w:rPr>
              <w:t>% of Total</w:t>
            </w:r>
          </w:p>
        </w:tc>
        <w:tc>
          <w:tcPr>
            <w:tcW w:w="140" w:type="dxa"/>
            <w:vAlign w:val="bottom"/>
          </w:tcPr>
          <w:p>
            <w:pPr>
              <w:spacing w:after="0"/>
              <w:rPr>
                <w:sz w:val="15"/>
                <w:szCs w:val="15"/>
                <w:color w:val="auto"/>
              </w:rPr>
            </w:pPr>
          </w:p>
        </w:tc>
      </w:tr>
      <w:tr>
        <w:trPr>
          <w:trHeight w:val="220"/>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Revenue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bottom w:val="single" w:sz="8" w:color="CCEEFF"/>
            </w:tcBorders>
          </w:tcPr>
          <w:p>
            <w:pPr>
              <w:spacing w:after="0"/>
              <w:rPr>
                <w:sz w:val="19"/>
                <w:szCs w:val="19"/>
                <w:color w:val="auto"/>
              </w:rPr>
            </w:pP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New England Innovation Academy (“NEIA”) – Related Party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198"/>
        </w:trPr>
        <w:tc>
          <w:tcPr>
            <w:tcW w:w="5820" w:type="dxa"/>
            <w:vAlign w:val="bottom"/>
          </w:tcPr>
          <w:p>
            <w:pPr>
              <w:spacing w:after="0"/>
              <w:rPr>
                <w:sz w:val="20"/>
                <w:szCs w:val="20"/>
                <w:color w:val="auto"/>
              </w:rPr>
            </w:pPr>
            <w:r>
              <w:rPr>
                <w:rFonts w:ascii="Arial" w:cs="Arial" w:eastAsia="Arial" w:hAnsi="Arial"/>
                <w:sz w:val="17"/>
                <w:szCs w:val="17"/>
                <w:color w:val="auto"/>
              </w:rPr>
              <w:t>Greenstone Holdings (“Greenstone”) – Related Party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1,998</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12.7%</w:t>
            </w: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Company Customer Number – 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198"/>
        </w:trPr>
        <w:tc>
          <w:tcPr>
            <w:tcW w:w="5820" w:type="dxa"/>
            <w:vAlign w:val="bottom"/>
          </w:tcPr>
          <w:p>
            <w:pPr>
              <w:spacing w:after="0"/>
              <w:rPr>
                <w:sz w:val="20"/>
                <w:szCs w:val="20"/>
                <w:color w:val="auto"/>
              </w:rPr>
            </w:pPr>
            <w:r>
              <w:rPr>
                <w:rFonts w:ascii="Arial" w:cs="Arial" w:eastAsia="Arial" w:hAnsi="Arial"/>
                <w:sz w:val="17"/>
                <w:szCs w:val="17"/>
                <w:color w:val="auto"/>
              </w:rPr>
              <w:t>Company Customer Number – 136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908</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12.9%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2,480</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15.7%</w:t>
            </w: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Company Customer Number – 139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w:t>
            </w:r>
          </w:p>
        </w:tc>
      </w:tr>
    </w:tbl>
    <w:p>
      <w:pPr>
        <w:spacing w:after="0" w:line="186" w:lineRule="exact"/>
        <w:rPr>
          <w:sz w:val="20"/>
          <w:szCs w:val="20"/>
          <w:color w:val="auto"/>
        </w:rPr>
      </w:pPr>
    </w:p>
    <w:p>
      <w:pPr>
        <w:ind w:left="301" w:hanging="301"/>
        <w:spacing w:after="0"/>
        <w:tabs>
          <w:tab w:leader="none" w:pos="30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Customer revenue, as a percentage of total revenue, was less than 10%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sectPr>
      </w:pPr>
    </w:p>
    <w:bookmarkStart w:id="15" w:name="page16"/>
    <w:bookmarkEnd w:id="15"/>
    <w:p>
      <w:pPr>
        <w:ind w:left="301"/>
        <w:spacing w:after="0"/>
        <w:rPr>
          <w:sz w:val="20"/>
          <w:szCs w:val="20"/>
          <w:color w:val="auto"/>
        </w:rPr>
      </w:pPr>
      <w:r>
        <w:rPr>
          <w:rFonts w:ascii="Arial" w:cs="Arial" w:eastAsia="Arial" w:hAnsi="Arial"/>
          <w:sz w:val="15"/>
          <w:szCs w:val="15"/>
          <w:color w:val="auto"/>
        </w:rPr>
        <w:t>For the nine months ended September 30, 2022 and 2021, the Company’s customers that accounted for 10% or more of the total revenue were as follows: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4"/>
          </w:tcPr>
          <w:p>
            <w:pPr>
              <w:jc w:val="right"/>
              <w:ind w:right="780"/>
              <w:spacing w:after="0"/>
              <w:rPr>
                <w:sz w:val="20"/>
                <w:szCs w:val="20"/>
                <w:color w:val="auto"/>
              </w:rPr>
            </w:pPr>
            <w:r>
              <w:rPr>
                <w:rFonts w:ascii="Arial" w:cs="Arial" w:eastAsia="Arial" w:hAnsi="Arial"/>
                <w:sz w:val="17"/>
                <w:szCs w:val="17"/>
                <w:b w:val="1"/>
                <w:bCs w:val="1"/>
                <w:color w:val="auto"/>
              </w:rPr>
              <w:t>Nine Months Ended</w:t>
            </w:r>
          </w:p>
        </w:tc>
        <w:tc>
          <w:tcPr>
            <w:tcW w:w="180" w:type="dxa"/>
            <w:vAlign w:val="bottom"/>
          </w:tcPr>
          <w:p>
            <w:pPr>
              <w:spacing w:after="0"/>
              <w:rPr>
                <w:sz w:val="17"/>
                <w:szCs w:val="17"/>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7"/>
                <w:szCs w:val="17"/>
                <w:b w:val="1"/>
                <w:bCs w:val="1"/>
                <w:color w:val="auto"/>
              </w:rPr>
              <w:t>September 30, 2022</w:t>
            </w:r>
          </w:p>
        </w:tc>
        <w:tc>
          <w:tcPr>
            <w:tcW w:w="180" w:type="dxa"/>
            <w:vAlign w:val="bottom"/>
          </w:tcPr>
          <w:p>
            <w:pPr>
              <w:spacing w:after="0"/>
              <w:rPr>
                <w:sz w:val="19"/>
                <w:szCs w:val="19"/>
                <w:color w:val="auto"/>
              </w:rPr>
            </w:pPr>
          </w:p>
        </w:tc>
        <w:tc>
          <w:tcPr>
            <w:tcW w:w="2420" w:type="dxa"/>
            <w:vAlign w:val="bottom"/>
            <w:gridSpan w:val="4"/>
          </w:tcPr>
          <w:p>
            <w:pPr>
              <w:jc w:val="right"/>
              <w:ind w:right="680"/>
              <w:spacing w:after="0"/>
              <w:rPr>
                <w:sz w:val="20"/>
                <w:szCs w:val="20"/>
                <w:color w:val="auto"/>
              </w:rPr>
            </w:pPr>
            <w:r>
              <w:rPr>
                <w:rFonts w:ascii="Arial" w:cs="Arial" w:eastAsia="Arial" w:hAnsi="Arial"/>
                <w:sz w:val="17"/>
                <w:szCs w:val="17"/>
                <w:b w:val="1"/>
                <w:bCs w:val="1"/>
                <w:color w:val="auto"/>
              </w:rPr>
              <w:t>September 30, 2021</w:t>
            </w:r>
          </w:p>
        </w:tc>
      </w:tr>
      <w:tr>
        <w:trPr>
          <w:trHeight w:val="182"/>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17"/>
              <w:spacing w:after="0" w:line="182" w:lineRule="exact"/>
              <w:rPr>
                <w:sz w:val="20"/>
                <w:szCs w:val="20"/>
                <w:color w:val="auto"/>
              </w:rPr>
            </w:pPr>
            <w:r>
              <w:rPr>
                <w:rFonts w:ascii="Arial" w:cs="Arial" w:eastAsia="Arial" w:hAnsi="Arial"/>
                <w:sz w:val="17"/>
                <w:szCs w:val="17"/>
                <w:b w:val="1"/>
                <w:bCs w:val="1"/>
                <w:color w:val="auto"/>
              </w:rPr>
              <w:t>% of Total</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17"/>
              <w:spacing w:after="0" w:line="182" w:lineRule="exact"/>
              <w:rPr>
                <w:sz w:val="20"/>
                <w:szCs w:val="20"/>
                <w:color w:val="auto"/>
              </w:rPr>
            </w:pPr>
            <w:r>
              <w:rPr>
                <w:rFonts w:ascii="Arial" w:cs="Arial" w:eastAsia="Arial" w:hAnsi="Arial"/>
                <w:sz w:val="17"/>
                <w:szCs w:val="17"/>
                <w:b w:val="1"/>
                <w:bCs w:val="1"/>
                <w:color w:val="auto"/>
              </w:rPr>
              <w:t>% of Total</w:t>
            </w:r>
          </w:p>
        </w:tc>
        <w:tc>
          <w:tcPr>
            <w:tcW w:w="140" w:type="dxa"/>
            <w:vAlign w:val="bottom"/>
          </w:tcPr>
          <w:p>
            <w:pPr>
              <w:spacing w:after="0"/>
              <w:rPr>
                <w:sz w:val="15"/>
                <w:szCs w:val="15"/>
                <w:color w:val="auto"/>
              </w:rPr>
            </w:pPr>
          </w:p>
        </w:tc>
      </w:tr>
      <w:tr>
        <w:trPr>
          <w:trHeight w:val="220"/>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Revenue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bottom w:val="single" w:sz="8" w:color="CCEEFF"/>
            </w:tcBorders>
          </w:tcPr>
          <w:p>
            <w:pPr>
              <w:spacing w:after="0"/>
              <w:rPr>
                <w:sz w:val="19"/>
                <w:szCs w:val="19"/>
                <w:color w:val="auto"/>
              </w:rPr>
            </w:pP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NEIA – Related Party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198"/>
        </w:trPr>
        <w:tc>
          <w:tcPr>
            <w:tcW w:w="5820" w:type="dxa"/>
            <w:vAlign w:val="bottom"/>
          </w:tcPr>
          <w:p>
            <w:pPr>
              <w:spacing w:after="0"/>
              <w:rPr>
                <w:sz w:val="20"/>
                <w:szCs w:val="20"/>
                <w:color w:val="auto"/>
              </w:rPr>
            </w:pPr>
            <w:r>
              <w:rPr>
                <w:rFonts w:ascii="Arial" w:cs="Arial" w:eastAsia="Arial" w:hAnsi="Arial"/>
                <w:sz w:val="17"/>
                <w:szCs w:val="17"/>
                <w:color w:val="auto"/>
              </w:rPr>
              <w:t>Company Customer Number – 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3,520</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10.2%</w:t>
            </w: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Company Customer Number – 136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Company Customer Number – 139</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8,590</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16.4%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4,006</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11.6%</w:t>
            </w:r>
          </w:p>
        </w:tc>
      </w:tr>
    </w:tbl>
    <w:p>
      <w:pPr>
        <w:spacing w:after="0" w:line="175" w:lineRule="exact"/>
        <w:rPr>
          <w:sz w:val="20"/>
          <w:szCs w:val="20"/>
          <w:color w:val="auto"/>
        </w:rPr>
      </w:pPr>
    </w:p>
    <w:p>
      <w:pPr>
        <w:ind w:left="301" w:hanging="301"/>
        <w:spacing w:after="0"/>
        <w:tabs>
          <w:tab w:leader="none" w:pos="3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revenue, as a percentage of total revenue, was less than 10%</w:t>
      </w:r>
    </w:p>
    <w:p>
      <w:pPr>
        <w:spacing w:after="0" w:line="201" w:lineRule="exact"/>
        <w:rPr>
          <w:rFonts w:ascii="Arial" w:cs="Arial" w:eastAsia="Arial" w:hAnsi="Arial"/>
          <w:sz w:val="17"/>
          <w:szCs w:val="17"/>
          <w:color w:val="auto"/>
        </w:rPr>
      </w:pPr>
    </w:p>
    <w:p>
      <w:pPr>
        <w:ind w:left="301"/>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Accounts Receivable, Net</w:t>
      </w:r>
    </w:p>
    <w:p>
      <w:pPr>
        <w:spacing w:after="0" w:line="201" w:lineRule="exact"/>
        <w:rPr>
          <w:rFonts w:ascii="Arial" w:cs="Arial" w:eastAsia="Arial" w:hAnsi="Arial"/>
          <w:sz w:val="17"/>
          <w:szCs w:val="17"/>
          <w:color w:val="auto"/>
        </w:rPr>
      </w:pPr>
    </w:p>
    <w:p>
      <w:pPr>
        <w:ind w:left="301"/>
        <w:spacing w:after="0"/>
        <w:rPr>
          <w:rFonts w:ascii="Arial" w:cs="Arial" w:eastAsia="Arial" w:hAnsi="Arial"/>
          <w:sz w:val="17"/>
          <w:szCs w:val="17"/>
          <w:color w:val="auto"/>
        </w:rPr>
      </w:pPr>
      <w:r>
        <w:rPr>
          <w:rFonts w:ascii="Arial" w:cs="Arial" w:eastAsia="Arial" w:hAnsi="Arial"/>
          <w:sz w:val="15"/>
          <w:szCs w:val="15"/>
          <w:color w:val="auto"/>
        </w:rPr>
        <w:t>As of September 30, 2022 and December 31, 2021, the Company’s customers that accounted for 10% or more of the total accounts receivable, net, were as follows:</w:t>
      </w:r>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ind w:left="880"/>
              <w:spacing w:after="0"/>
              <w:rPr>
                <w:sz w:val="20"/>
                <w:szCs w:val="20"/>
                <w:color w:val="auto"/>
              </w:rPr>
            </w:pPr>
            <w:r>
              <w:rPr>
                <w:rFonts w:ascii="Arial" w:cs="Arial" w:eastAsia="Arial" w:hAnsi="Arial"/>
                <w:sz w:val="17"/>
                <w:szCs w:val="17"/>
                <w:b w:val="1"/>
                <w:bCs w:val="1"/>
                <w:color w:val="auto"/>
                <w:w w:val="94"/>
              </w:rPr>
              <w:t>As of</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ind w:left="880"/>
              <w:spacing w:after="0"/>
              <w:rPr>
                <w:sz w:val="20"/>
                <w:szCs w:val="20"/>
                <w:color w:val="auto"/>
              </w:rPr>
            </w:pPr>
            <w:r>
              <w:rPr>
                <w:rFonts w:ascii="Arial" w:cs="Arial" w:eastAsia="Arial" w:hAnsi="Arial"/>
                <w:sz w:val="17"/>
                <w:szCs w:val="17"/>
                <w:b w:val="1"/>
                <w:bCs w:val="1"/>
                <w:color w:val="auto"/>
                <w:w w:val="89"/>
              </w:rPr>
              <w:t>As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7"/>
                <w:szCs w:val="17"/>
                <w:b w:val="1"/>
                <w:bCs w:val="1"/>
                <w:color w:val="auto"/>
              </w:rPr>
              <w:t>September 30, 2022</w:t>
            </w:r>
          </w:p>
        </w:tc>
        <w:tc>
          <w:tcPr>
            <w:tcW w:w="180" w:type="dxa"/>
            <w:vAlign w:val="bottom"/>
          </w:tcPr>
          <w:p>
            <w:pPr>
              <w:spacing w:after="0"/>
              <w:rPr>
                <w:sz w:val="19"/>
                <w:szCs w:val="19"/>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December 31, 2021</w:t>
            </w:r>
          </w:p>
        </w:tc>
      </w:tr>
      <w:tr>
        <w:trPr>
          <w:trHeight w:val="182"/>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37"/>
              <w:spacing w:after="0" w:line="182" w:lineRule="exact"/>
              <w:rPr>
                <w:sz w:val="20"/>
                <w:szCs w:val="20"/>
                <w:color w:val="auto"/>
              </w:rPr>
            </w:pPr>
            <w:r>
              <w:rPr>
                <w:rFonts w:ascii="Arial" w:cs="Arial" w:eastAsia="Arial" w:hAnsi="Arial"/>
                <w:sz w:val="17"/>
                <w:szCs w:val="17"/>
                <w:b w:val="1"/>
                <w:bCs w:val="1"/>
                <w:color w:val="auto"/>
                <w:w w:val="91"/>
              </w:rPr>
              <w:t>% of Total</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37"/>
              <w:spacing w:after="0" w:line="182" w:lineRule="exact"/>
              <w:rPr>
                <w:sz w:val="20"/>
                <w:szCs w:val="20"/>
                <w:color w:val="auto"/>
              </w:rPr>
            </w:pPr>
            <w:r>
              <w:rPr>
                <w:rFonts w:ascii="Arial" w:cs="Arial" w:eastAsia="Arial" w:hAnsi="Arial"/>
                <w:sz w:val="17"/>
                <w:szCs w:val="17"/>
                <w:b w:val="1"/>
                <w:bCs w:val="1"/>
                <w:color w:val="auto"/>
                <w:w w:val="93"/>
              </w:rPr>
              <w:t>% of Total</w:t>
            </w:r>
          </w:p>
        </w:tc>
        <w:tc>
          <w:tcPr>
            <w:tcW w:w="140" w:type="dxa"/>
            <w:vAlign w:val="bottom"/>
          </w:tcPr>
          <w:p>
            <w:pPr>
              <w:spacing w:after="0"/>
              <w:rPr>
                <w:sz w:val="15"/>
                <w:szCs w:val="15"/>
                <w:color w:val="auto"/>
              </w:rPr>
            </w:pPr>
          </w:p>
        </w:tc>
      </w:tr>
      <w:tr>
        <w:trPr>
          <w:trHeight w:val="198"/>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5"/>
              </w:rPr>
              <w:t>Accounts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2"/>
              </w:rPr>
              <w:t>Accounts</w:t>
            </w:r>
          </w:p>
        </w:tc>
      </w:tr>
      <w:tr>
        <w:trPr>
          <w:trHeight w:val="220"/>
        </w:trPr>
        <w:tc>
          <w:tcPr>
            <w:tcW w:w="5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85"/>
              </w:rPr>
              <w:t>Receivable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5"/>
              </w:rPr>
              <w:t>Receivable</w:t>
            </w:r>
          </w:p>
        </w:tc>
        <w:tc>
          <w:tcPr>
            <w:tcW w:w="140" w:type="dxa"/>
            <w:vAlign w:val="bottom"/>
            <w:tcBorders>
              <w:bottom w:val="single" w:sz="8" w:color="CCEEFF"/>
            </w:tcBorders>
          </w:tcPr>
          <w:p>
            <w:pPr>
              <w:spacing w:after="0"/>
              <w:rPr>
                <w:sz w:val="19"/>
                <w:szCs w:val="19"/>
                <w:color w:val="auto"/>
              </w:rPr>
            </w:pP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NEIA – Related Party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198"/>
        </w:trPr>
        <w:tc>
          <w:tcPr>
            <w:tcW w:w="5820" w:type="dxa"/>
            <w:vAlign w:val="bottom"/>
          </w:tcPr>
          <w:p>
            <w:pPr>
              <w:spacing w:after="0"/>
              <w:rPr>
                <w:sz w:val="20"/>
                <w:szCs w:val="20"/>
                <w:color w:val="auto"/>
              </w:rPr>
            </w:pPr>
            <w:r>
              <w:rPr>
                <w:rFonts w:ascii="Arial" w:cs="Arial" w:eastAsia="Arial" w:hAnsi="Arial"/>
                <w:sz w:val="17"/>
                <w:szCs w:val="17"/>
                <w:color w:val="auto"/>
              </w:rPr>
              <w:t>Company Customer Number - 126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1,541</w:t>
            </w:r>
          </w:p>
        </w:tc>
        <w:tc>
          <w:tcPr>
            <w:tcW w:w="1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33.8%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21.3%</w:t>
            </w: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Company Customer Number - 15989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5820" w:type="dxa"/>
            <w:vAlign w:val="bottom"/>
          </w:tcPr>
          <w:p>
            <w:pPr>
              <w:spacing w:after="0"/>
              <w:rPr>
                <w:sz w:val="20"/>
                <w:szCs w:val="20"/>
                <w:color w:val="auto"/>
              </w:rPr>
            </w:pPr>
            <w:r>
              <w:rPr>
                <w:rFonts w:ascii="Arial" w:cs="Arial" w:eastAsia="Arial" w:hAnsi="Arial"/>
                <w:sz w:val="17"/>
                <w:szCs w:val="17"/>
                <w:color w:val="auto"/>
              </w:rPr>
              <w:t>Company Customer Number - 16540</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573</w:t>
            </w:r>
          </w:p>
        </w:tc>
        <w:tc>
          <w:tcPr>
            <w:tcW w:w="1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12.6%</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Company Customer Number - 185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9"/>
        </w:trPr>
        <w:tc>
          <w:tcPr>
            <w:tcW w:w="5820" w:type="dxa"/>
            <w:vAlign w:val="bottom"/>
          </w:tcPr>
          <w:p>
            <w:pPr>
              <w:spacing w:after="0"/>
              <w:rPr>
                <w:sz w:val="20"/>
                <w:szCs w:val="20"/>
                <w:color w:val="auto"/>
              </w:rPr>
            </w:pPr>
            <w:r>
              <w:rPr>
                <w:rFonts w:ascii="Arial" w:cs="Arial" w:eastAsia="Arial" w:hAnsi="Arial"/>
                <w:sz w:val="17"/>
                <w:szCs w:val="17"/>
                <w:color w:val="auto"/>
              </w:rPr>
              <w:t>Company Customer Number - 12237</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510</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11.2%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bl>
    <w:p>
      <w:pPr>
        <w:spacing w:after="0" w:line="175" w:lineRule="exact"/>
        <w:rPr>
          <w:sz w:val="20"/>
          <w:szCs w:val="20"/>
          <w:color w:val="auto"/>
        </w:rPr>
      </w:pPr>
    </w:p>
    <w:p>
      <w:pPr>
        <w:ind w:left="301" w:hanging="301"/>
        <w:spacing w:after="0"/>
        <w:tabs>
          <w:tab w:leader="none" w:pos="3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Customer accounts receivable balance, as a percentage of total accounts receivable balance, was less than 10%</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Inventories</w:t>
      </w:r>
    </w:p>
    <w:p>
      <w:pPr>
        <w:spacing w:after="0" w:line="205" w:lineRule="exact"/>
        <w:rPr>
          <w:sz w:val="20"/>
          <w:szCs w:val="20"/>
          <w:color w:val="auto"/>
        </w:rPr>
      </w:pPr>
    </w:p>
    <w:p>
      <w:pPr>
        <w:jc w:val="both"/>
        <w:ind w:left="1" w:right="20" w:firstLine="298"/>
        <w:spacing w:after="0" w:line="301" w:lineRule="auto"/>
        <w:rPr>
          <w:sz w:val="20"/>
          <w:szCs w:val="20"/>
          <w:color w:val="auto"/>
        </w:rPr>
      </w:pPr>
      <w:r>
        <w:rPr>
          <w:rFonts w:ascii="Arial" w:cs="Arial" w:eastAsia="Arial" w:hAnsi="Arial"/>
          <w:sz w:val="15"/>
          <w:szCs w:val="15"/>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2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Property and Equipment</w:t>
      </w:r>
    </w:p>
    <w:p>
      <w:pPr>
        <w:spacing w:after="0" w:line="205" w:lineRule="exact"/>
        <w:rPr>
          <w:sz w:val="20"/>
          <w:szCs w:val="20"/>
          <w:color w:val="auto"/>
        </w:rPr>
      </w:pPr>
    </w:p>
    <w:p>
      <w:pPr>
        <w:ind w:right="60" w:firstLine="298"/>
        <w:spacing w:after="0" w:line="260"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780" w:type="dxa"/>
            <w:vAlign w:val="bottom"/>
          </w:tcPr>
          <w:p>
            <w:pPr>
              <w:spacing w:after="0"/>
              <w:rPr>
                <w:sz w:val="17"/>
                <w:szCs w:val="17"/>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Estimated Useful</w:t>
            </w:r>
          </w:p>
        </w:tc>
      </w:tr>
      <w:tr>
        <w:trPr>
          <w:trHeight w:val="220"/>
        </w:trPr>
        <w:tc>
          <w:tcPr>
            <w:tcW w:w="878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Life (Years)</w:t>
            </w:r>
          </w:p>
        </w:tc>
      </w:tr>
      <w:tr>
        <w:trPr>
          <w:trHeight w:val="198"/>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Computer and office equipment</w:t>
            </w:r>
          </w:p>
        </w:tc>
        <w:tc>
          <w:tcPr>
            <w:tcW w:w="2360" w:type="dxa"/>
            <w:vAlign w:val="bottom"/>
            <w:tcBorders>
              <w:top w:val="single" w:sz="8" w:color="auto"/>
            </w:tcBorders>
            <w:shd w:val="clear" w:color="auto" w:fill="CCEEFF"/>
          </w:tcPr>
          <w:p>
            <w:pPr>
              <w:jc w:val="center"/>
              <w:ind w:left="17"/>
              <w:spacing w:after="0"/>
              <w:rPr>
                <w:sz w:val="20"/>
                <w:szCs w:val="20"/>
                <w:color w:val="auto"/>
              </w:rPr>
            </w:pPr>
            <w:r>
              <w:rPr>
                <w:rFonts w:ascii="Arial" w:cs="Arial" w:eastAsia="Arial" w:hAnsi="Arial"/>
                <w:sz w:val="17"/>
                <w:szCs w:val="17"/>
                <w:color w:val="auto"/>
                <w:w w:val="89"/>
              </w:rPr>
              <w:t>2 to 3</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7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36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17"/>
                <w:szCs w:val="17"/>
                <w:color w:val="auto"/>
              </w:rPr>
            </w:pP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236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3</w:t>
            </w:r>
          </w:p>
        </w:tc>
        <w:tc>
          <w:tcPr>
            <w:tcW w:w="100" w:type="dxa"/>
            <w:vAlign w:val="bottom"/>
            <w:shd w:val="clear" w:color="auto" w:fill="CCEEFF"/>
          </w:tcPr>
          <w:p>
            <w:pPr>
              <w:spacing w:after="0"/>
              <w:rPr>
                <w:sz w:val="17"/>
                <w:szCs w:val="17"/>
                <w:color w:val="auto"/>
              </w:rPr>
            </w:pPr>
          </w:p>
        </w:tc>
      </w:tr>
      <w:tr>
        <w:trPr>
          <w:trHeight w:val="198"/>
        </w:trPr>
        <w:tc>
          <w:tcPr>
            <w:tcW w:w="8780" w:type="dxa"/>
            <w:vAlign w:val="bottom"/>
          </w:tcPr>
          <w:p>
            <w:pPr>
              <w:spacing w:after="0"/>
              <w:rPr>
                <w:sz w:val="20"/>
                <w:szCs w:val="20"/>
                <w:color w:val="auto"/>
              </w:rPr>
            </w:pPr>
            <w:r>
              <w:rPr>
                <w:rFonts w:ascii="Arial" w:cs="Arial" w:eastAsia="Arial" w:hAnsi="Arial"/>
                <w:sz w:val="17"/>
                <w:szCs w:val="17"/>
                <w:color w:val="auto"/>
              </w:rPr>
              <w:t>Vehicles</w:t>
            </w:r>
          </w:p>
        </w:tc>
        <w:tc>
          <w:tcPr>
            <w:tcW w:w="2360" w:type="dxa"/>
            <w:vAlign w:val="bottom"/>
          </w:tcPr>
          <w:p>
            <w:pPr>
              <w:jc w:val="center"/>
              <w:ind w:left="37"/>
              <w:spacing w:after="0"/>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7"/>
                <w:szCs w:val="17"/>
                <w:color w:val="auto"/>
              </w:rPr>
            </w:pP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of laboratory equipment</w:t>
            </w:r>
          </w:p>
        </w:tc>
        <w:tc>
          <w:tcPr>
            <w:tcW w:w="236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5</w:t>
            </w:r>
          </w:p>
        </w:tc>
        <w:tc>
          <w:tcPr>
            <w:tcW w:w="100" w:type="dxa"/>
            <w:vAlign w:val="bottom"/>
            <w:shd w:val="clear" w:color="auto" w:fill="CCEEFF"/>
          </w:tcPr>
          <w:p>
            <w:pPr>
              <w:spacing w:after="0"/>
              <w:rPr>
                <w:sz w:val="17"/>
                <w:szCs w:val="17"/>
                <w:color w:val="auto"/>
              </w:rPr>
            </w:pPr>
          </w:p>
        </w:tc>
      </w:tr>
      <w:tr>
        <w:trPr>
          <w:trHeight w:val="198"/>
        </w:trPr>
        <w:tc>
          <w:tcPr>
            <w:tcW w:w="8780" w:type="dxa"/>
            <w:vAlign w:val="bottom"/>
          </w:tcPr>
          <w:p>
            <w:pPr>
              <w:spacing w:after="0"/>
              <w:rPr>
                <w:sz w:val="20"/>
                <w:szCs w:val="20"/>
                <w:color w:val="auto"/>
              </w:rPr>
            </w:pPr>
            <w:r>
              <w:rPr>
                <w:rFonts w:ascii="Arial" w:cs="Arial" w:eastAsia="Arial" w:hAnsi="Arial"/>
                <w:sz w:val="17"/>
                <w:szCs w:val="17"/>
                <w:color w:val="auto"/>
              </w:rPr>
              <w:t>Machinery and equipment</w:t>
            </w:r>
          </w:p>
        </w:tc>
        <w:tc>
          <w:tcPr>
            <w:tcW w:w="2460" w:type="dxa"/>
            <w:vAlign w:val="bottom"/>
            <w:gridSpan w:val="2"/>
          </w:tcPr>
          <w:p>
            <w:pPr>
              <w:jc w:val="center"/>
              <w:spacing w:after="0"/>
              <w:rPr>
                <w:sz w:val="20"/>
                <w:szCs w:val="20"/>
                <w:color w:val="auto"/>
              </w:rPr>
            </w:pPr>
            <w:r>
              <w:rPr>
                <w:rFonts w:ascii="Arial" w:cs="Arial" w:eastAsia="Arial" w:hAnsi="Arial"/>
                <w:sz w:val="17"/>
                <w:szCs w:val="17"/>
                <w:color w:val="auto"/>
                <w:w w:val="89"/>
              </w:rPr>
              <w:t>3 to 5</w:t>
            </w: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Leased equipment at customer</w:t>
            </w:r>
          </w:p>
        </w:tc>
        <w:tc>
          <w:tcPr>
            <w:tcW w:w="2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8"/>
              </w:rPr>
              <w:t>5 to 13</w:t>
            </w:r>
          </w:p>
        </w:tc>
      </w:tr>
      <w:tr>
        <w:trPr>
          <w:trHeight w:val="198"/>
        </w:trPr>
        <w:tc>
          <w:tcPr>
            <w:tcW w:w="8780" w:type="dxa"/>
            <w:vAlign w:val="bottom"/>
          </w:tcPr>
          <w:p>
            <w:pPr>
              <w:spacing w:after="0"/>
              <w:rPr>
                <w:sz w:val="20"/>
                <w:szCs w:val="20"/>
                <w:color w:val="auto"/>
              </w:rPr>
            </w:pPr>
            <w:r>
              <w:rPr>
                <w:rFonts w:ascii="Arial" w:cs="Arial" w:eastAsia="Arial" w:hAnsi="Arial"/>
                <w:sz w:val="17"/>
                <w:szCs w:val="17"/>
                <w:color w:val="auto"/>
              </w:rPr>
              <w:t>Trade show assets</w:t>
            </w:r>
          </w:p>
        </w:tc>
        <w:tc>
          <w:tcPr>
            <w:tcW w:w="2460" w:type="dxa"/>
            <w:vAlign w:val="bottom"/>
            <w:gridSpan w:val="2"/>
          </w:tcPr>
          <w:p>
            <w:pPr>
              <w:jc w:val="center"/>
              <w:spacing w:after="0"/>
              <w:rPr>
                <w:sz w:val="20"/>
                <w:szCs w:val="20"/>
                <w:color w:val="auto"/>
              </w:rPr>
            </w:pPr>
            <w:r>
              <w:rPr>
                <w:rFonts w:ascii="Arial" w:cs="Arial" w:eastAsia="Arial" w:hAnsi="Arial"/>
                <w:sz w:val="17"/>
                <w:szCs w:val="17"/>
                <w:color w:val="auto"/>
                <w:w w:val="89"/>
              </w:rPr>
              <w:t>3 to 5</w:t>
            </w:r>
          </w:p>
        </w:tc>
      </w:tr>
      <w:tr>
        <w:trPr>
          <w:trHeight w:val="186"/>
        </w:trPr>
        <w:tc>
          <w:tcPr>
            <w:tcW w:w="87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Leasehold improvements</w:t>
            </w:r>
          </w:p>
        </w:tc>
        <w:tc>
          <w:tcPr>
            <w:tcW w:w="2460" w:type="dxa"/>
            <w:vAlign w:val="bottom"/>
            <w:gridSpan w:val="2"/>
            <w:shd w:val="clear" w:color="auto" w:fill="CCEEFF"/>
          </w:tcPr>
          <w:p>
            <w:pPr>
              <w:jc w:val="center"/>
              <w:spacing w:after="0" w:line="186" w:lineRule="exact"/>
              <w:rPr>
                <w:sz w:val="20"/>
                <w:szCs w:val="20"/>
                <w:color w:val="auto"/>
              </w:rPr>
            </w:pPr>
            <w:r>
              <w:rPr>
                <w:rFonts w:ascii="Arial" w:cs="Arial" w:eastAsia="Arial" w:hAnsi="Arial"/>
                <w:sz w:val="17"/>
                <w:szCs w:val="17"/>
                <w:color w:val="auto"/>
                <w:w w:val="90"/>
              </w:rPr>
              <w:t>Lower of estimated useful life or</w:t>
            </w:r>
          </w:p>
        </w:tc>
      </w:tr>
      <w:tr>
        <w:trPr>
          <w:trHeight w:val="211"/>
        </w:trPr>
        <w:tc>
          <w:tcPr>
            <w:tcW w:w="87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6"/>
              </w:rPr>
              <w:t>remaining lease term</w:t>
            </w:r>
          </w:p>
        </w:tc>
      </w:tr>
    </w:tbl>
    <w:p>
      <w:pPr>
        <w:spacing w:after="0" w:line="186" w:lineRule="exact"/>
        <w:rPr>
          <w:sz w:val="20"/>
          <w:szCs w:val="20"/>
          <w:color w:val="auto"/>
        </w:rPr>
      </w:pPr>
    </w:p>
    <w:p>
      <w:pPr>
        <w:ind w:firstLine="298"/>
        <w:spacing w:after="0" w:line="319" w:lineRule="auto"/>
        <w:rPr>
          <w:sz w:val="20"/>
          <w:szCs w:val="20"/>
          <w:color w:val="auto"/>
        </w:rPr>
      </w:pPr>
      <w:r>
        <w:rPr>
          <w:rFonts w:ascii="Arial" w:cs="Arial" w:eastAsia="Arial" w:hAnsi="Arial"/>
          <w:sz w:val="14"/>
          <w:szCs w:val="14"/>
          <w:color w:val="auto"/>
        </w:rPr>
        <w:t>The estimated useful lives of the Company’s property and equipment are periodically assessed to determine if changes are appropriate. The Company charges maintenance and repairs to expenses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 Costs for capital assets not yet placed into service are capitalized as construction-in-progress and depreciated once placed into service.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05"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56" w:lineRule="exact"/>
        <w:rPr>
          <w:sz w:val="20"/>
          <w:szCs w:val="20"/>
          <w:color w:val="auto"/>
        </w:rPr>
      </w:pPr>
    </w:p>
    <w:p>
      <w:pPr>
        <w:jc w:val="both"/>
        <w:ind w:right="660" w:firstLine="298"/>
        <w:spacing w:after="0" w:line="301" w:lineRule="auto"/>
        <w:rPr>
          <w:sz w:val="20"/>
          <w:szCs w:val="20"/>
          <w:color w:val="auto"/>
        </w:rPr>
      </w:pPr>
      <w:r>
        <w:rPr>
          <w:rFonts w:ascii="Arial" w:cs="Arial" w:eastAsia="Arial" w:hAnsi="Arial"/>
          <w:sz w:val="15"/>
          <w:szCs w:val="15"/>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w:t>
      </w:r>
    </w:p>
    <w:p>
      <w:pPr>
        <w:spacing w:after="0" w:line="145" w:lineRule="exact"/>
        <w:rPr>
          <w:sz w:val="20"/>
          <w:szCs w:val="20"/>
          <w:color w:val="auto"/>
        </w:rPr>
      </w:pPr>
    </w:p>
    <w:p>
      <w:pPr>
        <w:jc w:val="both"/>
        <w:ind w:right="20" w:firstLine="298"/>
        <w:spacing w:after="0" w:line="293" w:lineRule="auto"/>
        <w:rPr>
          <w:sz w:val="20"/>
          <w:szCs w:val="20"/>
          <w:color w:val="auto"/>
        </w:rPr>
      </w:pPr>
      <w:r>
        <w:rPr>
          <w:rFonts w:ascii="Arial" w:cs="Arial" w:eastAsia="Arial" w:hAnsi="Arial"/>
          <w:sz w:val="15"/>
          <w:szCs w:val="15"/>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goodwill may be found in Note 8 – Goodwill and Intangible Assets, Net, included elsewhere in the notes to the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Intangible Assets</w:t>
      </w:r>
    </w:p>
    <w:p>
      <w:pPr>
        <w:spacing w:after="0" w:line="205" w:lineRule="exact"/>
        <w:rPr>
          <w:sz w:val="20"/>
          <w:szCs w:val="20"/>
          <w:color w:val="auto"/>
        </w:rPr>
      </w:pPr>
    </w:p>
    <w:p>
      <w:pPr>
        <w:ind w:right="140" w:firstLine="298"/>
        <w:spacing w:after="0" w:line="288" w:lineRule="auto"/>
        <w:rPr>
          <w:sz w:val="20"/>
          <w:szCs w:val="20"/>
          <w:color w:val="auto"/>
        </w:rPr>
      </w:pPr>
      <w:r>
        <w:rPr>
          <w:rFonts w:ascii="Arial" w:cs="Arial" w:eastAsia="Arial" w:hAnsi="Arial"/>
          <w:sz w:val="15"/>
          <w:szCs w:val="15"/>
          <w:color w:val="auto"/>
        </w:rPr>
        <w:t>The Company initially records intangible assets at their estimated fair values and reviews these assets periodically for impairment. Identifiable intangible assets, which consist principally of acquired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00" w:type="dxa"/>
            <w:vAlign w:val="bottom"/>
          </w:tcPr>
          <w:p>
            <w:pPr>
              <w:ind w:left="280"/>
              <w:spacing w:after="0"/>
              <w:rPr>
                <w:sz w:val="20"/>
                <w:szCs w:val="20"/>
                <w:color w:val="auto"/>
              </w:rPr>
            </w:pPr>
            <w:r>
              <w:rPr>
                <w:rFonts w:ascii="Arial" w:cs="Arial" w:eastAsia="Arial" w:hAnsi="Arial"/>
                <w:sz w:val="17"/>
                <w:szCs w:val="17"/>
                <w:color w:val="auto"/>
              </w:rPr>
              <w:t>The finite-lived useful lives are as follows:</w:t>
            </w: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Trade names</w:t>
            </w:r>
          </w:p>
        </w:tc>
        <w:tc>
          <w:tcPr>
            <w:tcW w:w="4520" w:type="dxa"/>
            <w:vAlign w:val="bottom"/>
            <w:shd w:val="clear" w:color="auto" w:fill="CCEEFF"/>
          </w:tcPr>
          <w:p>
            <w:pPr>
              <w:jc w:val="center"/>
              <w:ind w:left="3337"/>
              <w:spacing w:after="0"/>
              <w:rPr>
                <w:sz w:val="20"/>
                <w:szCs w:val="20"/>
                <w:color w:val="auto"/>
              </w:rPr>
            </w:pPr>
            <w:r>
              <w:rPr>
                <w:rFonts w:ascii="Arial" w:cs="Arial" w:eastAsia="Arial" w:hAnsi="Arial"/>
                <w:sz w:val="17"/>
                <w:szCs w:val="17"/>
                <w:color w:val="auto"/>
                <w:w w:val="87"/>
              </w:rPr>
              <w:t>5 to 7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Acquired developed technology</w:t>
            </w:r>
          </w:p>
        </w:tc>
        <w:tc>
          <w:tcPr>
            <w:tcW w:w="4520" w:type="dxa"/>
            <w:vAlign w:val="bottom"/>
          </w:tcPr>
          <w:p>
            <w:pPr>
              <w:jc w:val="center"/>
              <w:ind w:left="3337"/>
              <w:spacing w:after="0"/>
              <w:rPr>
                <w:sz w:val="20"/>
                <w:szCs w:val="20"/>
                <w:color w:val="auto"/>
              </w:rPr>
            </w:pPr>
            <w:r>
              <w:rPr>
                <w:rFonts w:ascii="Arial" w:cs="Arial" w:eastAsia="Arial" w:hAnsi="Arial"/>
                <w:sz w:val="17"/>
                <w:szCs w:val="17"/>
                <w:color w:val="auto"/>
                <w:w w:val="87"/>
              </w:rPr>
              <w:t>5 to 8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4520" w:type="dxa"/>
            <w:vAlign w:val="bottom"/>
            <w:shd w:val="clear" w:color="auto" w:fill="CCEEFF"/>
          </w:tcPr>
          <w:p>
            <w:pPr>
              <w:jc w:val="center"/>
              <w:ind w:left="3337"/>
              <w:spacing w:after="0"/>
              <w:rPr>
                <w:sz w:val="20"/>
                <w:szCs w:val="20"/>
                <w:color w:val="auto"/>
              </w:rPr>
            </w:pPr>
            <w:r>
              <w:rPr>
                <w:rFonts w:ascii="Arial" w:cs="Arial" w:eastAsia="Arial" w:hAnsi="Arial"/>
                <w:sz w:val="17"/>
                <w:szCs w:val="17"/>
                <w:color w:val="auto"/>
                <w:w w:val="82"/>
              </w:rPr>
              <w:t>5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4520" w:type="dxa"/>
            <w:vAlign w:val="bottom"/>
          </w:tcPr>
          <w:p>
            <w:pPr>
              <w:jc w:val="center"/>
              <w:ind w:left="3337"/>
              <w:spacing w:after="0"/>
              <w:rPr>
                <w:sz w:val="20"/>
                <w:szCs w:val="20"/>
                <w:color w:val="auto"/>
              </w:rPr>
            </w:pPr>
            <w:r>
              <w:rPr>
                <w:rFonts w:ascii="Arial" w:cs="Arial" w:eastAsia="Arial" w:hAnsi="Arial"/>
                <w:sz w:val="17"/>
                <w:szCs w:val="17"/>
                <w:color w:val="auto"/>
                <w:w w:val="87"/>
              </w:rPr>
              <w:t>5 to 8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Capitalized website costs</w:t>
            </w:r>
          </w:p>
        </w:tc>
        <w:tc>
          <w:tcPr>
            <w:tcW w:w="4520" w:type="dxa"/>
            <w:vAlign w:val="bottom"/>
            <w:shd w:val="clear" w:color="auto" w:fill="CCEEFF"/>
          </w:tcPr>
          <w:p>
            <w:pPr>
              <w:jc w:val="center"/>
              <w:ind w:left="3337"/>
              <w:spacing w:after="0"/>
              <w:rPr>
                <w:sz w:val="20"/>
                <w:szCs w:val="20"/>
                <w:color w:val="auto"/>
              </w:rPr>
            </w:pPr>
            <w:r>
              <w:rPr>
                <w:rFonts w:ascii="Arial" w:cs="Arial" w:eastAsia="Arial" w:hAnsi="Arial"/>
                <w:sz w:val="17"/>
                <w:szCs w:val="17"/>
                <w:color w:val="auto"/>
                <w:w w:val="87"/>
              </w:rPr>
              <w:t>3 to 5 years</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20" w:firstLine="298"/>
        <w:spacing w:after="0" w:line="247" w:lineRule="auto"/>
        <w:rPr>
          <w:sz w:val="20"/>
          <w:szCs w:val="20"/>
          <w:color w:val="auto"/>
        </w:rPr>
      </w:pPr>
      <w:r>
        <w:rPr>
          <w:rFonts w:ascii="Arial" w:cs="Arial" w:eastAsia="Arial" w:hAnsi="Arial"/>
          <w:sz w:val="17"/>
          <w:szCs w:val="17"/>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5" w:lineRule="exact"/>
        <w:rPr>
          <w:sz w:val="20"/>
          <w:szCs w:val="20"/>
          <w:color w:val="auto"/>
        </w:rPr>
      </w:pPr>
    </w:p>
    <w:p>
      <w:pPr>
        <w:jc w:val="both"/>
        <w:ind w:right="660" w:firstLine="298"/>
        <w:spacing w:after="0" w:line="301" w:lineRule="auto"/>
        <w:rPr>
          <w:sz w:val="20"/>
          <w:szCs w:val="20"/>
          <w:color w:val="auto"/>
        </w:rPr>
      </w:pPr>
      <w:r>
        <w:rPr>
          <w:rFonts w:ascii="Arial" w:cs="Arial" w:eastAsia="Arial" w:hAnsi="Arial"/>
          <w:sz w:val="15"/>
          <w:szCs w:val="15"/>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w:t>
      </w:r>
    </w:p>
    <w:p>
      <w:pPr>
        <w:spacing w:after="0" w:line="145" w:lineRule="exact"/>
        <w:rPr>
          <w:sz w:val="20"/>
          <w:szCs w:val="20"/>
          <w:color w:val="auto"/>
        </w:rPr>
      </w:pPr>
    </w:p>
    <w:p>
      <w:pPr>
        <w:ind w:right="40" w:firstLine="298"/>
        <w:spacing w:after="0" w:line="293" w:lineRule="auto"/>
        <w:rPr>
          <w:sz w:val="20"/>
          <w:szCs w:val="20"/>
          <w:color w:val="auto"/>
        </w:rPr>
      </w:pPr>
      <w:r>
        <w:rPr>
          <w:rFonts w:ascii="Arial" w:cs="Arial" w:eastAsia="Arial" w:hAnsi="Arial"/>
          <w:sz w:val="15"/>
          <w:szCs w:val="15"/>
          <w:color w:val="auto"/>
        </w:rPr>
        <w:t>Based on its interim testing, the Company noted that the carrying value of equity exceeded the calculated fair value by an amount greater than the aggregate value of our goodwill and intangible assets. Accordingly, the Company concluded that the entire carrying value of its goodwill and intangible assets should be impaired, resulting in a second-quarter impairment charge of $69.9 million. Additional information regarding the Company’s interim testing on intangible assets may be found in Note 8 – Goodwill and Intangible Assets, Net, included elsewhere in the notes to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 Payable</w:t>
      </w:r>
    </w:p>
    <w:p>
      <w:pPr>
        <w:spacing w:after="0" w:line="205"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59" w:lineRule="exact"/>
        <w:rPr>
          <w:sz w:val="20"/>
          <w:szCs w:val="20"/>
          <w:color w:val="auto"/>
        </w:rPr>
      </w:pPr>
    </w:p>
    <w:p>
      <w:pPr>
        <w:ind w:right="80" w:firstLine="298"/>
        <w:spacing w:after="0" w:line="249" w:lineRule="auto"/>
        <w:rPr>
          <w:sz w:val="20"/>
          <w:szCs w:val="20"/>
          <w:color w:val="auto"/>
        </w:rPr>
      </w:pPr>
      <w:r>
        <w:rPr>
          <w:rFonts w:ascii="Arial" w:cs="Arial" w:eastAsia="Arial" w:hAnsi="Arial"/>
          <w:sz w:val="17"/>
          <w:szCs w:val="17"/>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Warrant Liabilities</w:t>
      </w:r>
    </w:p>
    <w:p>
      <w:pPr>
        <w:spacing w:after="0" w:line="205" w:lineRule="exact"/>
        <w:rPr>
          <w:sz w:val="20"/>
          <w:szCs w:val="20"/>
          <w:color w:val="auto"/>
        </w:rPr>
      </w:pPr>
    </w:p>
    <w:p>
      <w:pPr>
        <w:ind w:right="20" w:firstLine="298"/>
        <w:spacing w:after="0" w:line="284" w:lineRule="auto"/>
        <w:rPr>
          <w:sz w:val="20"/>
          <w:szCs w:val="20"/>
          <w:color w:val="auto"/>
        </w:rPr>
      </w:pPr>
      <w:r>
        <w:rPr>
          <w:rFonts w:ascii="Arial" w:cs="Arial" w:eastAsia="Arial" w:hAnsi="Arial"/>
          <w:sz w:val="15"/>
          <w:szCs w:val="15"/>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(“ASC480”) and ASC815. The Company accounts for warrants as either equity-classified or liability-classified instruments based on an assessment of the warrant’s specific terms and applicable authoritative guidance in ASC480 and ASC815. Management’s assessment considers whether the warrants are freestanding financial instruments pursuant to ASC480, whether they meet the definition of a liability pursuant to ASC480, and whether the warrants meet all of the requirements for equity classification under ASC815, including whether the warrants are indexed to the Company’s own Common Stock among other conditions for equity classification.</w:t>
      </w:r>
    </w:p>
    <w:p>
      <w:pPr>
        <w:spacing w:after="0" w:line="159"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condensed consolidated statements of operations.</w:t>
      </w:r>
    </w:p>
    <w:p>
      <w:pPr>
        <w:spacing w:after="0" w:line="181" w:lineRule="exact"/>
        <w:rPr>
          <w:sz w:val="20"/>
          <w:szCs w:val="20"/>
          <w:color w:val="auto"/>
        </w:rPr>
      </w:pPr>
    </w:p>
    <w:p>
      <w:pPr>
        <w:ind w:right="120" w:firstLine="298"/>
        <w:spacing w:after="0" w:line="293" w:lineRule="auto"/>
        <w:rPr>
          <w:sz w:val="20"/>
          <w:szCs w:val="20"/>
          <w:color w:val="auto"/>
        </w:rPr>
      </w:pPr>
      <w:r>
        <w:rPr>
          <w:rFonts w:ascii="Arial" w:cs="Arial" w:eastAsia="Arial" w:hAnsi="Arial"/>
          <w:sz w:val="15"/>
          <w:szCs w:val="15"/>
          <w:color w:val="auto"/>
        </w:rPr>
        <w:t>On January 25, 2022, the Company entered into a Securities Purchase Agreement (the “Securities Agreement”) with an institutional investor and other accredited investors for the sale by the Company of (i) 12,252 shares (the “SA Shares”) of Common Stock, (ii) pre-funded warrants (the “Pre-Funded Warrants”) to purchase up to an aggregate of 7,853 shares of Common Stock and (iii) warrants to purchase up to an aggregate of 15,079 shares of Common Stock (the “Common Warrants” and, collectively with the Pre-Funded Warrants, the “PIPE Warrants”), in a private placement offering.</w:t>
      </w:r>
    </w:p>
    <w:p>
      <w:pPr>
        <w:spacing w:after="0" w:line="150" w:lineRule="exact"/>
        <w:rPr>
          <w:sz w:val="20"/>
          <w:szCs w:val="20"/>
          <w:color w:val="auto"/>
        </w:rPr>
      </w:pPr>
    </w:p>
    <w:p>
      <w:pPr>
        <w:ind w:right="60" w:firstLine="298"/>
        <w:spacing w:after="0" w:line="293" w:lineRule="auto"/>
        <w:rPr>
          <w:sz w:val="20"/>
          <w:szCs w:val="20"/>
          <w:color w:val="auto"/>
        </w:rPr>
      </w:pPr>
      <w:r>
        <w:rPr>
          <w:rFonts w:ascii="Arial" w:cs="Arial" w:eastAsia="Arial" w:hAnsi="Arial"/>
          <w:sz w:val="15"/>
          <w:szCs w:val="15"/>
          <w:color w:val="auto"/>
        </w:rPr>
        <w:t>On March 14, 2022, the Company entered into a Securities Purchase Agreement (the “Securities Purchase Agreement”) with an accredited investor (the “Investor”), pursuant to which the Company agreed to issue and sell to the Investor, in a private placement transaction, in exchange for the payment by the Investor of $65 million, less applicable expenses, as set forth in the Securities Purchase Agreement, (i) a SPA Note in an aggregate principal amount of $65 million, and (ii) a warrant (the “SPA Warrant”) to purchase up to an aggregate of 34,406 shares of Common Stock.</w:t>
      </w:r>
    </w:p>
    <w:p>
      <w:pPr>
        <w:spacing w:after="0" w:line="150" w:lineRule="exact"/>
        <w:rPr>
          <w:sz w:val="20"/>
          <w:szCs w:val="20"/>
          <w:color w:val="auto"/>
        </w:rPr>
      </w:pPr>
    </w:p>
    <w:p>
      <w:pPr>
        <w:ind w:firstLine="298"/>
        <w:spacing w:after="0" w:line="284" w:lineRule="auto"/>
        <w:rPr>
          <w:sz w:val="20"/>
          <w:szCs w:val="20"/>
          <w:color w:val="auto"/>
        </w:rPr>
      </w:pPr>
      <w:r>
        <w:rPr>
          <w:rFonts w:ascii="Arial" w:cs="Arial" w:eastAsia="Arial" w:hAnsi="Arial"/>
          <w:sz w:val="15"/>
          <w:szCs w:val="15"/>
          <w:color w:val="auto"/>
        </w:rPr>
        <w:t>On August 18, 2022, the Company reached an agreement with its institutional lender to amend its existing Securities Purchase Agreement and entered into a Securities Exchange Agreement (the “Exchange Agreement”). Pursuant to the Exchange Agreement, the Company issued a new warrant to purchase 71,138 shares of Common Stock (the “Note Exchange Warrant”) and modified the existing SPA Warrant. The Company exchanged the SPA Warrant for a new warrant for the same number of underlying shares but with a reduced exercise price (the “Modified Warrants” and, collectively with the Note Exchange Warrant, the “Warrant Liabilities”). As of September 30, 2022, the Company had outstanding liability-classified Warrant Liabilities that allows the accredited investor (the “Investor”) to purchase the Company’s Common Stock. Additional information regarding the Exchange Agreement and Warrant Liabilities may be found in Note 5 – Fair Value Measures and Note 10 – Debt, included elsewhere in the notes to the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Issue Costs and Debt Discount</w:t>
      </w:r>
    </w:p>
    <w:p>
      <w:pPr>
        <w:spacing w:after="0" w:line="205" w:lineRule="exact"/>
        <w:rPr>
          <w:sz w:val="20"/>
          <w:szCs w:val="20"/>
          <w:color w:val="auto"/>
        </w:rPr>
      </w:pPr>
    </w:p>
    <w:p>
      <w:pPr>
        <w:ind w:right="140" w:firstLine="298"/>
        <w:spacing w:after="0" w:line="252" w:lineRule="auto"/>
        <w:rPr>
          <w:sz w:val="20"/>
          <w:szCs w:val="20"/>
          <w:color w:val="auto"/>
        </w:rPr>
      </w:pPr>
      <w:r>
        <w:rPr>
          <w:rFonts w:ascii="Arial" w:cs="Arial" w:eastAsia="Arial" w:hAnsi="Arial"/>
          <w:sz w:val="17"/>
          <w:szCs w:val="17"/>
          <w:color w:val="auto"/>
        </w:rPr>
        <w:t>The Company may record debt issuance costs and/or debt discounts in connection with issuing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Original Issue Discount</w:t>
      </w:r>
    </w:p>
    <w:p>
      <w:pPr>
        <w:spacing w:after="0" w:line="205" w:lineRule="exact"/>
        <w:rPr>
          <w:sz w:val="20"/>
          <w:szCs w:val="20"/>
          <w:color w:val="auto"/>
        </w:rPr>
      </w:pPr>
    </w:p>
    <w:p>
      <w:pPr>
        <w:ind w:right="260" w:firstLine="298"/>
        <w:spacing w:after="0" w:line="327" w:lineRule="auto"/>
        <w:rPr>
          <w:sz w:val="20"/>
          <w:szCs w:val="20"/>
          <w:color w:val="auto"/>
        </w:rPr>
      </w:pPr>
      <w:r>
        <w:rPr>
          <w:rFonts w:ascii="Arial" w:cs="Arial" w:eastAsia="Arial" w:hAnsi="Arial"/>
          <w:sz w:val="15"/>
          <w:szCs w:val="15"/>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18"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Leases</w:t>
      </w:r>
    </w:p>
    <w:p>
      <w:pPr>
        <w:spacing w:after="0" w:line="205" w:lineRule="exact"/>
        <w:rPr>
          <w:sz w:val="20"/>
          <w:szCs w:val="20"/>
          <w:color w:val="auto"/>
        </w:rPr>
      </w:pPr>
    </w:p>
    <w:p>
      <w:pPr>
        <w:ind w:right="100" w:firstLine="298"/>
        <w:spacing w:after="0" w:line="247" w:lineRule="auto"/>
        <w:rPr>
          <w:sz w:val="20"/>
          <w:szCs w:val="20"/>
          <w:color w:val="auto"/>
        </w:rPr>
      </w:pPr>
      <w:r>
        <w:rPr>
          <w:rFonts w:ascii="Arial" w:cs="Arial" w:eastAsia="Arial" w:hAnsi="Arial"/>
          <w:sz w:val="17"/>
          <w:szCs w:val="17"/>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5" w:lineRule="exact"/>
        <w:rPr>
          <w:sz w:val="20"/>
          <w:szCs w:val="20"/>
          <w:color w:val="auto"/>
        </w:rPr>
      </w:pPr>
    </w:p>
    <w:p>
      <w:pPr>
        <w:ind w:right="80" w:firstLine="298"/>
        <w:spacing w:after="0" w:line="249" w:lineRule="auto"/>
        <w:rPr>
          <w:sz w:val="20"/>
          <w:szCs w:val="20"/>
          <w:color w:val="auto"/>
        </w:rPr>
      </w:pPr>
      <w:r>
        <w:rPr>
          <w:rFonts w:ascii="Arial" w:cs="Arial" w:eastAsia="Arial" w:hAnsi="Arial"/>
          <w:sz w:val="17"/>
          <w:szCs w:val="17"/>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1" w:lineRule="exact"/>
        <w:rPr>
          <w:sz w:val="20"/>
          <w:szCs w:val="20"/>
          <w:color w:val="auto"/>
        </w:rPr>
      </w:pPr>
    </w:p>
    <w:p>
      <w:pPr>
        <w:ind w:right="100" w:firstLine="298"/>
        <w:spacing w:after="0" w:line="293" w:lineRule="auto"/>
        <w:rPr>
          <w:sz w:val="20"/>
          <w:szCs w:val="20"/>
          <w:color w:val="auto"/>
        </w:rPr>
      </w:pPr>
      <w:r>
        <w:rPr>
          <w:rFonts w:ascii="Arial" w:cs="Arial" w:eastAsia="Arial" w:hAnsi="Arial"/>
          <w:sz w:val="15"/>
          <w:szCs w:val="15"/>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50" w:lineRule="exact"/>
        <w:rPr>
          <w:sz w:val="20"/>
          <w:szCs w:val="20"/>
          <w:color w:val="auto"/>
        </w:rPr>
      </w:pPr>
    </w:p>
    <w:p>
      <w:pPr>
        <w:jc w:val="both"/>
        <w:ind w:right="200" w:firstLine="298"/>
        <w:spacing w:after="0" w:line="252" w:lineRule="auto"/>
        <w:rPr>
          <w:sz w:val="20"/>
          <w:szCs w:val="20"/>
          <w:color w:val="auto"/>
        </w:rPr>
      </w:pPr>
      <w:r>
        <w:rPr>
          <w:rFonts w:ascii="Arial" w:cs="Arial" w:eastAsia="Arial" w:hAnsi="Arial"/>
          <w:sz w:val="17"/>
          <w:szCs w:val="17"/>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205" w:lineRule="exact"/>
        <w:rPr>
          <w:sz w:val="20"/>
          <w:szCs w:val="20"/>
          <w:color w:val="auto"/>
        </w:rPr>
      </w:pPr>
    </w:p>
    <w:p>
      <w:pPr>
        <w:ind w:right="20" w:firstLine="298"/>
        <w:spacing w:after="0" w:line="252" w:lineRule="auto"/>
        <w:rPr>
          <w:sz w:val="20"/>
          <w:szCs w:val="20"/>
          <w:color w:val="auto"/>
        </w:rPr>
      </w:pPr>
      <w:r>
        <w:rPr>
          <w:rFonts w:ascii="Arial" w:cs="Arial" w:eastAsia="Arial" w:hAnsi="Arial"/>
          <w:sz w:val="17"/>
          <w:szCs w:val="17"/>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05" w:lineRule="exact"/>
        <w:rPr>
          <w:sz w:val="20"/>
          <w:szCs w:val="20"/>
          <w:color w:val="auto"/>
        </w:rPr>
      </w:pPr>
    </w:p>
    <w:p>
      <w:pPr>
        <w:ind w:right="640" w:firstLine="298"/>
        <w:spacing w:after="0" w:line="260" w:lineRule="auto"/>
        <w:rPr>
          <w:sz w:val="20"/>
          <w:szCs w:val="20"/>
          <w:color w:val="auto"/>
        </w:rPr>
      </w:pPr>
      <w:r>
        <w:rPr>
          <w:rFonts w:ascii="Arial" w:cs="Arial" w:eastAsia="Arial" w:hAnsi="Arial"/>
          <w:sz w:val="17"/>
          <w:szCs w:val="17"/>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05"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1" w:lineRule="exact"/>
        <w:rPr>
          <w:sz w:val="20"/>
          <w:szCs w:val="20"/>
          <w:color w:val="auto"/>
        </w:rPr>
      </w:pPr>
    </w:p>
    <w:p>
      <w:pPr>
        <w:ind w:right="240" w:firstLine="298"/>
        <w:spacing w:after="0" w:line="260" w:lineRule="auto"/>
        <w:rPr>
          <w:sz w:val="20"/>
          <w:szCs w:val="20"/>
          <w:color w:val="auto"/>
        </w:rPr>
      </w:pPr>
      <w:r>
        <w:rPr>
          <w:rFonts w:ascii="Arial" w:cs="Arial" w:eastAsia="Arial" w:hAnsi="Arial"/>
          <w:sz w:val="17"/>
          <w:szCs w:val="17"/>
          <w:color w:val="auto"/>
        </w:rPr>
        <w:t>The Company classifies stock-based compensation expense in its consolidated statements of operations in the same manner in which the award recipient’s payroll costs are classified.</w:t>
      </w:r>
    </w:p>
    <w:p>
      <w:pPr>
        <w:spacing w:after="0" w:line="172" w:lineRule="exact"/>
        <w:rPr>
          <w:sz w:val="20"/>
          <w:szCs w:val="20"/>
          <w:color w:val="auto"/>
        </w:rPr>
      </w:pPr>
    </w:p>
    <w:p>
      <w:pPr>
        <w:ind w:firstLine="298"/>
        <w:spacing w:after="0" w:line="284" w:lineRule="auto"/>
        <w:rPr>
          <w:sz w:val="20"/>
          <w:szCs w:val="20"/>
          <w:color w:val="auto"/>
        </w:rPr>
      </w:pPr>
      <w:r>
        <w:rPr>
          <w:rFonts w:ascii="Arial" w:cs="Arial" w:eastAsia="Arial" w:hAnsi="Arial"/>
          <w:sz w:val="15"/>
          <w:szCs w:val="15"/>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Business Combinations</w:t>
      </w:r>
    </w:p>
    <w:p>
      <w:pPr>
        <w:spacing w:after="0" w:line="205" w:lineRule="exact"/>
        <w:rPr>
          <w:sz w:val="20"/>
          <w:szCs w:val="20"/>
          <w:color w:val="auto"/>
        </w:rPr>
      </w:pPr>
    </w:p>
    <w:p>
      <w:pPr>
        <w:ind w:right="280" w:firstLine="298"/>
        <w:spacing w:after="0" w:line="249" w:lineRule="auto"/>
        <w:rPr>
          <w:sz w:val="20"/>
          <w:szCs w:val="20"/>
          <w:color w:val="auto"/>
        </w:rPr>
      </w:pPr>
      <w:r>
        <w:rPr>
          <w:rFonts w:ascii="Arial" w:cs="Arial" w:eastAsia="Arial" w:hAnsi="Arial"/>
          <w:sz w:val="17"/>
          <w:szCs w:val="17"/>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1" w:lineRule="exact"/>
        <w:rPr>
          <w:sz w:val="20"/>
          <w:szCs w:val="20"/>
          <w:color w:val="auto"/>
        </w:rPr>
      </w:pPr>
    </w:p>
    <w:p>
      <w:pPr>
        <w:ind w:firstLine="298"/>
        <w:spacing w:after="0" w:line="246" w:lineRule="auto"/>
        <w:rPr>
          <w:sz w:val="20"/>
          <w:szCs w:val="20"/>
          <w:color w:val="auto"/>
        </w:rPr>
      </w:pPr>
      <w:r>
        <w:rPr>
          <w:rFonts w:ascii="Arial" w:cs="Arial" w:eastAsia="Arial" w:hAnsi="Arial"/>
          <w:sz w:val="17"/>
          <w:szCs w:val="17"/>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5" w:lineRule="exact"/>
        <w:rPr>
          <w:sz w:val="20"/>
          <w:szCs w:val="20"/>
          <w:color w:val="auto"/>
        </w:rPr>
      </w:pPr>
    </w:p>
    <w:p>
      <w:pPr>
        <w:ind w:right="20" w:firstLine="298"/>
        <w:spacing w:after="0" w:line="252" w:lineRule="auto"/>
        <w:rPr>
          <w:sz w:val="20"/>
          <w:szCs w:val="20"/>
          <w:color w:val="auto"/>
        </w:rPr>
      </w:pPr>
      <w:r>
        <w:rPr>
          <w:rFonts w:ascii="Arial" w:cs="Arial" w:eastAsia="Arial" w:hAnsi="Arial"/>
          <w:sz w:val="17"/>
          <w:szCs w:val="17"/>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5 – Fair Value Measures, included elsewhere in the notes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Overview</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generates revenue from the following sources: (1) equipment sales, (2) providing services and (3) construction contracts.</w:t>
      </w:r>
    </w:p>
    <w:p>
      <w:pPr>
        <w:spacing w:after="0" w:line="201" w:lineRule="exact"/>
        <w:rPr>
          <w:sz w:val="20"/>
          <w:szCs w:val="20"/>
          <w:color w:val="auto"/>
        </w:rPr>
      </w:pPr>
    </w:p>
    <w:p>
      <w:pPr>
        <w:ind w:right="140" w:firstLine="298"/>
        <w:spacing w:after="0" w:line="260" w:lineRule="auto"/>
        <w:rPr>
          <w:sz w:val="20"/>
          <w:szCs w:val="20"/>
          <w:color w:val="auto"/>
        </w:rPr>
      </w:pPr>
      <w:r>
        <w:rPr>
          <w:rFonts w:ascii="Arial" w:cs="Arial" w:eastAsia="Arial" w:hAnsi="Arial"/>
          <w:sz w:val="17"/>
          <w:szCs w:val="17"/>
          <w:color w:val="auto"/>
        </w:rPr>
        <w:t>In accordance with ASC 606 “Revenue Recognition”, the Company recognizes revenue from contracts with customers using a five-step model, which is described below:</w:t>
      </w:r>
    </w:p>
    <w:p>
      <w:pPr>
        <w:spacing w:after="0" w:line="172" w:lineRule="exact"/>
        <w:rPr>
          <w:sz w:val="20"/>
          <w:szCs w:val="20"/>
          <w:color w:val="auto"/>
        </w:rPr>
      </w:pPr>
    </w:p>
    <w:p>
      <w:pPr>
        <w:ind w:left="600" w:hanging="30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 the customer contract;</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 performance obligations that are distinct;</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allocate the transaction price to the distinct performance obligations; and</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recognize revenue as the performance obligations are satisfied.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sectPr>
      </w:pPr>
    </w:p>
    <w:bookmarkStart w:id="21" w:name="page22"/>
    <w:bookmarkEnd w:id="21"/>
    <w:p>
      <w:pPr>
        <w:ind w:left="300"/>
        <w:spacing w:after="0"/>
        <w:rPr>
          <w:sz w:val="20"/>
          <w:szCs w:val="20"/>
          <w:color w:val="auto"/>
        </w:rPr>
      </w:pPr>
      <w:r>
        <w:rPr>
          <w:rFonts w:ascii="Arial" w:cs="Arial" w:eastAsia="Arial" w:hAnsi="Arial"/>
          <w:sz w:val="17"/>
          <w:szCs w:val="17"/>
          <w:b w:val="1"/>
          <w:bCs w:val="1"/>
          <w:i w:val="1"/>
          <w:iCs w:val="1"/>
          <w:color w:val="auto"/>
        </w:rPr>
        <w:t>Identify the customer contract</w:t>
      </w:r>
    </w:p>
    <w:p>
      <w:pPr>
        <w:spacing w:after="0" w:line="201" w:lineRule="exact"/>
        <w:rPr>
          <w:sz w:val="20"/>
          <w:szCs w:val="20"/>
          <w:color w:val="auto"/>
        </w:rPr>
      </w:pPr>
    </w:p>
    <w:p>
      <w:pPr>
        <w:ind w:right="560" w:firstLine="298"/>
        <w:spacing w:after="0" w:line="301" w:lineRule="auto"/>
        <w:rPr>
          <w:sz w:val="20"/>
          <w:szCs w:val="20"/>
          <w:color w:val="auto"/>
        </w:rPr>
      </w:pPr>
      <w:r>
        <w:rPr>
          <w:rFonts w:ascii="Arial" w:cs="Arial" w:eastAsia="Arial" w:hAnsi="Arial"/>
          <w:sz w:val="15"/>
          <w:szCs w:val="15"/>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Identify performance obligations that are distinct</w:t>
      </w:r>
    </w:p>
    <w:p>
      <w:pPr>
        <w:spacing w:after="0" w:line="201" w:lineRule="exact"/>
        <w:rPr>
          <w:sz w:val="20"/>
          <w:szCs w:val="20"/>
          <w:color w:val="auto"/>
        </w:rPr>
      </w:pPr>
    </w:p>
    <w:p>
      <w:pPr>
        <w:ind w:right="160" w:firstLine="298"/>
        <w:spacing w:after="0" w:line="301" w:lineRule="auto"/>
        <w:rPr>
          <w:sz w:val="20"/>
          <w:szCs w:val="20"/>
          <w:color w:val="auto"/>
        </w:rPr>
      </w:pPr>
      <w:r>
        <w:rPr>
          <w:rFonts w:ascii="Arial" w:cs="Arial" w:eastAsia="Arial" w:hAnsi="Arial"/>
          <w:sz w:val="15"/>
          <w:szCs w:val="15"/>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Determine the transaction price</w:t>
      </w:r>
    </w:p>
    <w:p>
      <w:pPr>
        <w:spacing w:after="0" w:line="201" w:lineRule="exact"/>
        <w:rPr>
          <w:sz w:val="20"/>
          <w:szCs w:val="20"/>
          <w:color w:val="auto"/>
        </w:rPr>
      </w:pPr>
    </w:p>
    <w:p>
      <w:pPr>
        <w:ind w:right="480" w:firstLine="298"/>
        <w:spacing w:after="0" w:line="260"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Allocate the transaction price to distinct performance obligations</w:t>
      </w:r>
    </w:p>
    <w:p>
      <w:pPr>
        <w:spacing w:after="0" w:line="201" w:lineRule="exact"/>
        <w:rPr>
          <w:sz w:val="20"/>
          <w:szCs w:val="20"/>
          <w:color w:val="auto"/>
        </w:rPr>
      </w:pPr>
    </w:p>
    <w:p>
      <w:pPr>
        <w:ind w:right="200" w:firstLine="298"/>
        <w:spacing w:after="0" w:line="249" w:lineRule="auto"/>
        <w:rPr>
          <w:sz w:val="20"/>
          <w:szCs w:val="20"/>
          <w:color w:val="auto"/>
        </w:rPr>
      </w:pPr>
      <w:r>
        <w:rPr>
          <w:rFonts w:ascii="Arial" w:cs="Arial" w:eastAsia="Arial" w:hAnsi="Arial"/>
          <w:sz w:val="17"/>
          <w:szCs w:val="17"/>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Recognize revenue as the performance obligations are satisfied</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201" w:lineRule="exact"/>
        <w:rPr>
          <w:sz w:val="20"/>
          <w:szCs w:val="20"/>
          <w:color w:val="auto"/>
        </w:rPr>
      </w:pPr>
    </w:p>
    <w:p>
      <w:pPr>
        <w:jc w:val="both"/>
        <w:ind w:firstLine="298"/>
        <w:spacing w:after="0" w:line="301" w:lineRule="auto"/>
        <w:rPr>
          <w:sz w:val="20"/>
          <w:szCs w:val="20"/>
          <w:color w:val="auto"/>
        </w:rPr>
      </w:pPr>
      <w:r>
        <w:rPr>
          <w:rFonts w:ascii="Arial" w:cs="Arial" w:eastAsia="Arial" w:hAnsi="Arial"/>
          <w:sz w:val="14"/>
          <w:szCs w:val="14"/>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w:t>
      </w:r>
    </w:p>
    <w:p>
      <w:pPr>
        <w:ind w:right="340"/>
        <w:spacing w:after="0" w:line="245" w:lineRule="auto"/>
        <w:rPr>
          <w:sz w:val="20"/>
          <w:szCs w:val="20"/>
          <w:color w:val="auto"/>
        </w:rPr>
      </w:pPr>
      <w:r>
        <w:rPr>
          <w:rFonts w:ascii="Arial" w:cs="Arial" w:eastAsia="Arial" w:hAnsi="Arial"/>
          <w:sz w:val="17"/>
          <w:szCs w:val="17"/>
          <w:color w:val="auto"/>
        </w:rPr>
        <w:t>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4" w:lineRule="exact"/>
        <w:rPr>
          <w:sz w:val="20"/>
          <w:szCs w:val="20"/>
          <w:color w:val="auto"/>
        </w:rPr>
      </w:pPr>
    </w:p>
    <w:p>
      <w:pPr>
        <w:ind w:right="20" w:firstLine="298"/>
        <w:spacing w:after="0" w:line="284" w:lineRule="auto"/>
        <w:rPr>
          <w:sz w:val="20"/>
          <w:szCs w:val="20"/>
          <w:color w:val="auto"/>
        </w:rPr>
      </w:pPr>
      <w:r>
        <w:rPr>
          <w:rFonts w:ascii="Arial" w:cs="Arial" w:eastAsia="Arial" w:hAnsi="Arial"/>
          <w:sz w:val="15"/>
          <w:szCs w:val="15"/>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2" w:name="page23"/>
    <w:bookmarkEnd w:id="22"/>
    <w:p>
      <w:pPr>
        <w:ind w:right="60" w:firstLine="298"/>
        <w:spacing w:after="0" w:line="260" w:lineRule="auto"/>
        <w:rPr>
          <w:sz w:val="20"/>
          <w:szCs w:val="20"/>
          <w:color w:val="auto"/>
        </w:rPr>
      </w:pPr>
      <w:r>
        <w:rPr>
          <w:rFonts w:ascii="Arial" w:cs="Arial" w:eastAsia="Arial" w:hAnsi="Arial"/>
          <w:sz w:val="17"/>
          <w:szCs w:val="17"/>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determines the SSP for services in time and materials contracts by observable prices in standalone services arrangements.</w:t>
      </w:r>
    </w:p>
    <w:p>
      <w:pPr>
        <w:spacing w:after="0" w:line="201" w:lineRule="exact"/>
        <w:rPr>
          <w:sz w:val="20"/>
          <w:szCs w:val="20"/>
          <w:color w:val="auto"/>
        </w:rPr>
      </w:pPr>
    </w:p>
    <w:p>
      <w:pPr>
        <w:jc w:val="both"/>
        <w:ind w:right="80" w:firstLine="298"/>
        <w:spacing w:after="0" w:line="252" w:lineRule="auto"/>
        <w:rPr>
          <w:sz w:val="20"/>
          <w:szCs w:val="20"/>
          <w:color w:val="auto"/>
        </w:rPr>
      </w:pPr>
      <w:r>
        <w:rPr>
          <w:rFonts w:ascii="Arial" w:cs="Arial" w:eastAsia="Arial" w:hAnsi="Arial"/>
          <w:sz w:val="17"/>
          <w:szCs w:val="17"/>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8" w:lineRule="exact"/>
        <w:rPr>
          <w:sz w:val="20"/>
          <w:szCs w:val="20"/>
          <w:color w:val="auto"/>
        </w:rPr>
      </w:pPr>
    </w:p>
    <w:p>
      <w:pPr>
        <w:ind w:right="40" w:firstLine="298"/>
        <w:spacing w:after="0" w:line="284" w:lineRule="auto"/>
        <w:rPr>
          <w:sz w:val="20"/>
          <w:szCs w:val="20"/>
          <w:color w:val="auto"/>
        </w:rPr>
      </w:pPr>
      <w:r>
        <w:rPr>
          <w:rFonts w:ascii="Arial" w:cs="Arial" w:eastAsia="Arial" w:hAnsi="Arial"/>
          <w:sz w:val="15"/>
          <w:szCs w:val="15"/>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three months and nine months ended September 30, 2022 and 2021, the Company did not have any such financial income.</w:t>
      </w:r>
    </w:p>
    <w:p>
      <w:pPr>
        <w:spacing w:after="0" w:line="159" w:lineRule="exact"/>
        <w:rPr>
          <w:sz w:val="20"/>
          <w:szCs w:val="20"/>
          <w:color w:val="auto"/>
        </w:rPr>
      </w:pPr>
    </w:p>
    <w:p>
      <w:pPr>
        <w:jc w:val="both"/>
        <w:ind w:right="480" w:firstLine="298"/>
        <w:spacing w:after="0" w:line="331" w:lineRule="auto"/>
        <w:rPr>
          <w:sz w:val="20"/>
          <w:szCs w:val="20"/>
          <w:color w:val="auto"/>
        </w:rPr>
      </w:pPr>
      <w:r>
        <w:rPr>
          <w:rFonts w:ascii="Arial" w:cs="Arial" w:eastAsia="Arial" w:hAnsi="Arial"/>
          <w:sz w:val="14"/>
          <w:szCs w:val="14"/>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28" w:lineRule="exact"/>
        <w:rPr>
          <w:sz w:val="20"/>
          <w:szCs w:val="20"/>
          <w:color w:val="auto"/>
        </w:rPr>
      </w:pPr>
    </w:p>
    <w:p>
      <w:pPr>
        <w:ind w:right="80" w:firstLine="298"/>
        <w:spacing w:after="0" w:line="293" w:lineRule="auto"/>
        <w:rPr>
          <w:sz w:val="20"/>
          <w:szCs w:val="20"/>
          <w:color w:val="auto"/>
        </w:rPr>
      </w:pPr>
      <w:r>
        <w:rPr>
          <w:rFonts w:ascii="Arial" w:cs="Arial" w:eastAsia="Arial" w:hAnsi="Arial"/>
          <w:sz w:val="15"/>
          <w:szCs w:val="15"/>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50" w:lineRule="exact"/>
        <w:rPr>
          <w:sz w:val="20"/>
          <w:szCs w:val="20"/>
          <w:color w:val="auto"/>
        </w:rPr>
      </w:pPr>
    </w:p>
    <w:p>
      <w:pPr>
        <w:ind w:firstLine="298"/>
        <w:spacing w:after="0" w:line="286" w:lineRule="auto"/>
        <w:rPr>
          <w:sz w:val="20"/>
          <w:szCs w:val="20"/>
          <w:color w:val="auto"/>
        </w:rPr>
      </w:pPr>
      <w:r>
        <w:rPr>
          <w:rFonts w:ascii="Arial" w:cs="Arial" w:eastAsia="Arial" w:hAnsi="Arial"/>
          <w:sz w:val="15"/>
          <w:szCs w:val="15"/>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56"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1" w:lineRule="exact"/>
        <w:rPr>
          <w:sz w:val="20"/>
          <w:szCs w:val="20"/>
          <w:color w:val="auto"/>
        </w:rPr>
      </w:pPr>
    </w:p>
    <w:p>
      <w:pPr>
        <w:ind w:right="80" w:firstLine="298"/>
        <w:spacing w:after="0" w:line="249"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consolidated balance sheets.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05" w:lineRule="exact"/>
        <w:rPr>
          <w:sz w:val="20"/>
          <w:szCs w:val="20"/>
          <w:color w:val="auto"/>
        </w:rPr>
      </w:pPr>
    </w:p>
    <w:p>
      <w:pPr>
        <w:jc w:val="both"/>
        <w:ind w:right="320" w:firstLine="298"/>
        <w:spacing w:after="0" w:line="331" w:lineRule="auto"/>
        <w:rPr>
          <w:sz w:val="20"/>
          <w:szCs w:val="20"/>
          <w:color w:val="auto"/>
        </w:rPr>
      </w:pPr>
      <w:r>
        <w:rPr>
          <w:rFonts w:ascii="Arial" w:cs="Arial" w:eastAsia="Arial" w:hAnsi="Arial"/>
          <w:sz w:val="14"/>
          <w:szCs w:val="14"/>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Capitalization of Internal Software Development Costs</w:t>
      </w:r>
    </w:p>
    <w:p>
      <w:pPr>
        <w:spacing w:after="0" w:line="205" w:lineRule="exact"/>
        <w:rPr>
          <w:sz w:val="20"/>
          <w:szCs w:val="20"/>
          <w:color w:val="auto"/>
        </w:rPr>
      </w:pPr>
    </w:p>
    <w:p>
      <w:pPr>
        <w:ind w:right="40" w:firstLine="298"/>
        <w:spacing w:after="0" w:line="247" w:lineRule="auto"/>
        <w:rPr>
          <w:sz w:val="20"/>
          <w:szCs w:val="20"/>
          <w:color w:val="auto"/>
        </w:rPr>
      </w:pPr>
      <w:r>
        <w:rPr>
          <w:rFonts w:ascii="Arial" w:cs="Arial" w:eastAsia="Arial" w:hAnsi="Arial"/>
          <w:sz w:val="17"/>
          <w:szCs w:val="17"/>
          <w:color w:val="auto"/>
        </w:rPr>
        <w:t>The Company capitalizes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Charges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Company incurs costs related to shipping and handling of its manufactured products. These costs are expensed as incurred as a component of cost of goods sold.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Shipping and handling charges related to the receipt of raw materials are also incurred, which are recorded as a cost of the related inventory.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205" w:lineRule="exact"/>
        <w:rPr>
          <w:sz w:val="20"/>
          <w:szCs w:val="20"/>
          <w:color w:val="auto"/>
        </w:rPr>
      </w:pPr>
    </w:p>
    <w:p>
      <w:pPr>
        <w:ind w:right="80" w:firstLine="298"/>
        <w:spacing w:after="0" w:line="252" w:lineRule="auto"/>
        <w:rPr>
          <w:sz w:val="20"/>
          <w:szCs w:val="20"/>
          <w:color w:val="auto"/>
        </w:rPr>
      </w:pPr>
      <w:r>
        <w:rPr>
          <w:rFonts w:ascii="Arial" w:cs="Arial" w:eastAsia="Arial" w:hAnsi="Arial"/>
          <w:sz w:val="17"/>
          <w:szCs w:val="17"/>
          <w:color w:val="auto"/>
        </w:rPr>
        <w:t>Investments in affiliates that are 50% or less owned by the Company for which the Company exercises significant influence but does not have control are accounted for on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178"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is solely directed by TPI. Based on the consideration of these assessments, the Company concluded that the Company’s investment in TPI should be accounted for under the equity method.</w:t>
      </w:r>
    </w:p>
    <w:p>
      <w:pPr>
        <w:spacing w:after="0" w:line="156" w:lineRule="exact"/>
        <w:rPr>
          <w:sz w:val="20"/>
          <w:szCs w:val="20"/>
          <w:color w:val="auto"/>
        </w:rPr>
      </w:pPr>
    </w:p>
    <w:p>
      <w:pPr>
        <w:ind w:right="260" w:firstLine="298"/>
        <w:spacing w:after="0" w:line="260" w:lineRule="auto"/>
        <w:rPr>
          <w:sz w:val="20"/>
          <w:szCs w:val="20"/>
          <w:color w:val="auto"/>
        </w:rPr>
      </w:pPr>
      <w:r>
        <w:rPr>
          <w:rFonts w:ascii="Arial" w:cs="Arial" w:eastAsia="Arial" w:hAnsi="Arial"/>
          <w:sz w:val="17"/>
          <w:szCs w:val="17"/>
          <w:color w:val="auto"/>
        </w:rPr>
        <w:t>The carrying value of the Company’s investment in TPI was $0 as of September 30, 2022 and December 31, 2021. The Company did not recognize revenue from TPI for the three and nine months ended September 30, 2022 and September 30, 2021.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5" w:lineRule="exact"/>
        <w:rPr>
          <w:sz w:val="20"/>
          <w:szCs w:val="20"/>
          <w:color w:val="auto"/>
        </w:rPr>
      </w:pPr>
    </w:p>
    <w:p>
      <w:pPr>
        <w:ind w:right="240" w:firstLine="298"/>
        <w:spacing w:after="0" w:line="293" w:lineRule="auto"/>
        <w:rPr>
          <w:sz w:val="20"/>
          <w:szCs w:val="20"/>
          <w:color w:val="auto"/>
        </w:rPr>
      </w:pPr>
      <w:r>
        <w:rPr>
          <w:rFonts w:ascii="Arial" w:cs="Arial" w:eastAsia="Arial" w:hAnsi="Arial"/>
          <w:sz w:val="15"/>
          <w:szCs w:val="15"/>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24" w:name="page25"/>
    <w:bookmarkEnd w:id="24"/>
    <w:p>
      <w:pPr>
        <w:ind w:right="40" w:firstLine="298"/>
        <w:spacing w:after="0" w:line="281" w:lineRule="auto"/>
        <w:rPr>
          <w:sz w:val="20"/>
          <w:szCs w:val="20"/>
          <w:color w:val="auto"/>
        </w:rPr>
      </w:pPr>
      <w:r>
        <w:rPr>
          <w:rFonts w:ascii="Arial" w:cs="Arial" w:eastAsia="Arial" w:hAnsi="Arial"/>
          <w:sz w:val="15"/>
          <w:szCs w:val="15"/>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2022, tax years 2017 through 2021 remain open for IRS audit. The Company has received no notice of audit from the IRS for any of the open tax years.</w:t>
      </w:r>
    </w:p>
    <w:p>
      <w:pPr>
        <w:spacing w:after="0" w:line="160"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w:t>
      </w:r>
    </w:p>
    <w:p>
      <w:pPr>
        <w:spacing w:after="0" w:line="205" w:lineRule="exact"/>
        <w:rPr>
          <w:sz w:val="20"/>
          <w:szCs w:val="20"/>
          <w:color w:val="auto"/>
        </w:rPr>
      </w:pPr>
    </w:p>
    <w:p>
      <w:pPr>
        <w:ind w:right="80" w:firstLine="331"/>
        <w:spacing w:after="0" w:line="246" w:lineRule="auto"/>
        <w:rPr>
          <w:sz w:val="20"/>
          <w:szCs w:val="20"/>
          <w:color w:val="auto"/>
        </w:rPr>
      </w:pPr>
      <w:r>
        <w:rPr>
          <w:rFonts w:ascii="Arial" w:cs="Arial" w:eastAsia="Arial" w:hAnsi="Arial"/>
          <w:sz w:val="17"/>
          <w:szCs w:val="17"/>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Net loss per share calculations for all periods have been adjusted to reflect the reverse stock splits effected on January 12, 2021,October 18, 2022, and July 5, 2023.</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Net loss per share was calculated based on the weighted-average number of Common Stock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05" w:lineRule="exact"/>
        <w:rPr>
          <w:sz w:val="20"/>
          <w:szCs w:val="20"/>
          <w:color w:val="auto"/>
        </w:rPr>
      </w:pPr>
    </w:p>
    <w:p>
      <w:pPr>
        <w:ind w:right="60" w:firstLine="298"/>
        <w:spacing w:after="0" w:line="283" w:lineRule="auto"/>
        <w:rPr>
          <w:sz w:val="20"/>
          <w:szCs w:val="20"/>
          <w:color w:val="auto"/>
        </w:rPr>
      </w:pPr>
      <w:r>
        <w:rPr>
          <w:rFonts w:ascii="Arial" w:cs="Arial" w:eastAsia="Arial" w:hAnsi="Arial"/>
          <w:sz w:val="15"/>
          <w:szCs w:val="15"/>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The amendments in ASU No. 2020-</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Pending Accounting Pronouncements</w:t>
      </w:r>
    </w:p>
    <w:p>
      <w:pPr>
        <w:spacing w:after="0" w:line="205" w:lineRule="exact"/>
        <w:rPr>
          <w:sz w:val="20"/>
          <w:szCs w:val="20"/>
          <w:color w:val="auto"/>
        </w:rPr>
      </w:pPr>
    </w:p>
    <w:p>
      <w:pPr>
        <w:ind w:right="20" w:firstLine="298"/>
        <w:spacing w:after="0" w:line="288" w:lineRule="auto"/>
        <w:rPr>
          <w:sz w:val="20"/>
          <w:szCs w:val="20"/>
          <w:color w:val="auto"/>
        </w:rPr>
      </w:pPr>
      <w:r>
        <w:rPr>
          <w:rFonts w:ascii="Arial" w:cs="Arial" w:eastAsia="Arial" w:hAnsi="Arial"/>
          <w:sz w:val="15"/>
          <w:szCs w:val="15"/>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consolidated financial statements and related disclosures.</w:t>
      </w:r>
    </w:p>
    <w:p>
      <w:pPr>
        <w:spacing w:after="0" w:line="156" w:lineRule="exact"/>
        <w:rPr>
          <w:sz w:val="20"/>
          <w:szCs w:val="20"/>
          <w:color w:val="auto"/>
        </w:rPr>
      </w:pPr>
    </w:p>
    <w:p>
      <w:pPr>
        <w:ind w:right="100" w:firstLine="298"/>
        <w:spacing w:after="0" w:line="284" w:lineRule="auto"/>
        <w:rPr>
          <w:sz w:val="20"/>
          <w:szCs w:val="20"/>
          <w:color w:val="auto"/>
        </w:rPr>
      </w:pPr>
      <w:r>
        <w:rPr>
          <w:rFonts w:ascii="Arial" w:cs="Arial" w:eastAsia="Arial" w:hAnsi="Arial"/>
          <w:sz w:val="15"/>
          <w:szCs w:val="15"/>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consolidated financial statements and related disclosures.</w:t>
      </w:r>
    </w:p>
    <w:p>
      <w:pPr>
        <w:spacing w:after="0" w:line="159" w:lineRule="exact"/>
        <w:rPr>
          <w:sz w:val="20"/>
          <w:szCs w:val="20"/>
          <w:color w:val="auto"/>
        </w:rPr>
      </w:pPr>
    </w:p>
    <w:p>
      <w:pPr>
        <w:ind w:right="40" w:firstLine="298"/>
        <w:spacing w:after="0" w:line="327" w:lineRule="auto"/>
        <w:rPr>
          <w:sz w:val="20"/>
          <w:szCs w:val="20"/>
          <w:color w:val="auto"/>
        </w:rPr>
      </w:pPr>
      <w:r>
        <w:rPr>
          <w:rFonts w:ascii="Arial" w:cs="Arial" w:eastAsia="Arial" w:hAnsi="Arial"/>
          <w:sz w:val="15"/>
          <w:szCs w:val="15"/>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Restatement of Current Period</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Company’s financial statements as of and for the three and nine months ended September 30, 2022 have been restated due to the following errors: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 Warrants/Original SPA Warrants Classification and Measurement</w:t>
      </w:r>
    </w:p>
    <w:p>
      <w:pPr>
        <w:spacing w:after="0" w:line="201" w:lineRule="exact"/>
        <w:rPr>
          <w:sz w:val="20"/>
          <w:szCs w:val="20"/>
          <w:color w:val="auto"/>
        </w:rPr>
      </w:pPr>
    </w:p>
    <w:p>
      <w:pPr>
        <w:jc w:val="both"/>
        <w:ind w:right="220" w:firstLine="298"/>
        <w:spacing w:after="0" w:line="293" w:lineRule="auto"/>
        <w:rPr>
          <w:sz w:val="20"/>
          <w:szCs w:val="20"/>
          <w:color w:val="auto"/>
        </w:rPr>
      </w:pPr>
      <w:r>
        <w:rPr>
          <w:rFonts w:ascii="Arial" w:cs="Arial" w:eastAsia="Arial" w:hAnsi="Arial"/>
          <w:sz w:val="15"/>
          <w:szCs w:val="15"/>
          <w:color w:val="auto"/>
        </w:rPr>
        <w:t>During the nine months ended September 30, 2022 the Company entered into several debt and equity financing transactions including i) the issuance of common stock and warrants in a private placement on January 25, 2022 (the “PIPE Warrants”), ii) the issuance of a note payable (the “SPA Note”) with associated warrants on March 14, 2022 (the “SPA Warrants”), iii) the prepayment of the SPA Note on August 18, 2022 and the exchange of the remaining balance for a new note payable (the “Exchange Note”), the modification of the SPA Warrants (the “Modified Warrants”), and the issuance of new warrants (the “New Warrants”).</w:t>
      </w:r>
    </w:p>
    <w:p>
      <w:pPr>
        <w:spacing w:after="0" w:line="150" w:lineRule="exact"/>
        <w:rPr>
          <w:sz w:val="20"/>
          <w:szCs w:val="20"/>
          <w:color w:val="auto"/>
        </w:rPr>
      </w:pPr>
    </w:p>
    <w:p>
      <w:pPr>
        <w:ind w:right="60" w:firstLine="298"/>
        <w:spacing w:after="0" w:line="301" w:lineRule="auto"/>
        <w:rPr>
          <w:sz w:val="20"/>
          <w:szCs w:val="20"/>
          <w:color w:val="auto"/>
        </w:rPr>
      </w:pPr>
      <w:r>
        <w:rPr>
          <w:rFonts w:ascii="Arial" w:cs="Arial" w:eastAsia="Arial" w:hAnsi="Arial"/>
          <w:sz w:val="15"/>
          <w:szCs w:val="15"/>
          <w:color w:val="auto"/>
        </w:rPr>
        <w:t>In connection with the aforementioned transactions, the Company determined that the PIPE Warrants and the SPA Warrants were incorrectly classified as equity and must be reclassified to liabilities measured at fair value upon issuance and remeasured to fair value at each reporting date. In addition, the Company used an incorrect volatility percentage when calculating the value of the PIPE Warrants, the SPA Warrants, and the New Warrants upon issuance. As a result of these errors:</w:t>
      </w:r>
    </w:p>
    <w:p>
      <w:pPr>
        <w:spacing w:after="0" w:line="145" w:lineRule="exact"/>
        <w:rPr>
          <w:sz w:val="20"/>
          <w:szCs w:val="20"/>
          <w:color w:val="auto"/>
        </w:rPr>
      </w:pPr>
    </w:p>
    <w:p>
      <w:pPr>
        <w:ind w:left="600" w:right="540" w:hanging="303"/>
        <w:spacing w:after="0" w:line="260"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Additional paid-in capital was overstated by $24.0 million as of September 30, 2022 due to the incorrect classification of the SPA Warrants and the PIPE Warrants as equity rather than liabilities;</w:t>
      </w:r>
    </w:p>
    <w:p>
      <w:pPr>
        <w:spacing w:after="0" w:line="171" w:lineRule="exact"/>
        <w:rPr>
          <w:rFonts w:ascii="Arial" w:cs="Arial" w:eastAsia="Arial" w:hAnsi="Arial"/>
          <w:sz w:val="17"/>
          <w:szCs w:val="17"/>
          <w:color w:val="auto"/>
        </w:rPr>
      </w:pPr>
    </w:p>
    <w:p>
      <w:pPr>
        <w:ind w:left="600" w:right="200" w:hanging="303"/>
        <w:spacing w:after="0" w:line="260"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Warrant liabilities was understated by the fair value of the PIPE Warrants, the Modified SPA Warrants, and New Warrants of $4.1 million as of September 30, 2022;</w:t>
      </w:r>
    </w:p>
    <w:p>
      <w:pPr>
        <w:spacing w:after="0" w:line="171" w:lineRule="exact"/>
        <w:rPr>
          <w:rFonts w:ascii="Arial" w:cs="Arial" w:eastAsia="Arial" w:hAnsi="Arial"/>
          <w:sz w:val="17"/>
          <w:szCs w:val="17"/>
          <w:color w:val="auto"/>
        </w:rPr>
      </w:pPr>
    </w:p>
    <w:p>
      <w:pPr>
        <w:jc w:val="both"/>
        <w:ind w:left="600" w:hanging="303"/>
        <w:spacing w:after="0" w:line="252"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Long-term debt and Long-term debt, current was understated by $29.9 million and overstated by $31.3 million, respectively, as of September 30, 2022 due to the incorrect allocation of the debt discount in connection with the issuance of debt and SPA Warrants, as a result of the improper classification of the SPA Warrants as equity rather than liabilities;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26" w:name="page27"/>
    <w:bookmarkEnd w:id="26"/>
    <w:p>
      <w:pPr>
        <w:ind w:left="600" w:right="60" w:hanging="303"/>
        <w:spacing w:after="0" w:line="260"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Accumulated deficit as of September 30, 2022 was overstated by $18.3 million as a result of the net impact of the following errors in the consolidated statement of operations:</w:t>
      </w:r>
    </w:p>
    <w:p>
      <w:pPr>
        <w:spacing w:after="0" w:line="171" w:lineRule="exact"/>
        <w:rPr>
          <w:rFonts w:ascii="Arial" w:cs="Arial" w:eastAsia="Arial" w:hAnsi="Arial"/>
          <w:sz w:val="17"/>
          <w:szCs w:val="17"/>
          <w:color w:val="auto"/>
        </w:rPr>
      </w:pPr>
    </w:p>
    <w:p>
      <w:pPr>
        <w:jc w:val="both"/>
        <w:ind w:left="900" w:hanging="305"/>
        <w:spacing w:after="0" w:line="252"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change in fair value of warrant liabilities was understated by $10.6 million and $41.5 million during the three and nine months ended September 30, 2022, respectively due to the fact that the Company did not appropriately remeasure the fair value of the warrant liabilities as of September 30, 2022 through earnings;</w:t>
      </w:r>
    </w:p>
    <w:p>
      <w:pPr>
        <w:spacing w:after="0" w:line="178" w:lineRule="exact"/>
        <w:rPr>
          <w:rFonts w:ascii="Arial" w:cs="Arial" w:eastAsia="Arial" w:hAnsi="Arial"/>
          <w:sz w:val="17"/>
          <w:szCs w:val="17"/>
          <w:color w:val="auto"/>
        </w:rPr>
      </w:pPr>
    </w:p>
    <w:p>
      <w:pPr>
        <w:jc w:val="both"/>
        <w:ind w:left="900" w:hanging="305"/>
        <w:spacing w:after="0" w:line="252"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Interest expense, net was understated by $675 thousand and $2.2 million during the three and nine months ended September 30, 2022, respectively due to incorrect debt discount amortization in connection with the issuance of debt and SPA Warrants, as a result of the improper classification of the SPA Warrants as equity rather than liabilities.</w:t>
      </w:r>
    </w:p>
    <w:p>
      <w:pPr>
        <w:spacing w:after="0" w:line="178" w:lineRule="exact"/>
        <w:rPr>
          <w:rFonts w:ascii="Arial" w:cs="Arial" w:eastAsia="Arial" w:hAnsi="Arial"/>
          <w:sz w:val="17"/>
          <w:szCs w:val="17"/>
          <w:color w:val="auto"/>
        </w:rPr>
      </w:pPr>
    </w:p>
    <w:p>
      <w:pPr>
        <w:ind w:left="900" w:hanging="305"/>
        <w:spacing w:after="0"/>
        <w:tabs>
          <w:tab w:leader="none" w:pos="9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gain on extinguishment of notes payable was understated by $21.1 million during the three and nine months ended September 30, 2022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Debt Classification</w:t>
      </w:r>
    </w:p>
    <w:p>
      <w:pPr>
        <w:spacing w:after="0" w:line="201" w:lineRule="exact"/>
        <w:rPr>
          <w:sz w:val="20"/>
          <w:szCs w:val="20"/>
          <w:color w:val="auto"/>
        </w:rPr>
      </w:pPr>
    </w:p>
    <w:p>
      <w:pPr>
        <w:ind w:firstLine="298"/>
        <w:spacing w:after="0" w:line="252" w:lineRule="auto"/>
        <w:rPr>
          <w:sz w:val="20"/>
          <w:szCs w:val="20"/>
          <w:color w:val="auto"/>
        </w:rPr>
      </w:pPr>
      <w:r>
        <w:rPr>
          <w:rFonts w:ascii="Arial" w:cs="Arial" w:eastAsia="Arial" w:hAnsi="Arial"/>
          <w:sz w:val="17"/>
          <w:szCs w:val="17"/>
          <w:color w:val="auto"/>
        </w:rPr>
        <w:t>The Company incorrectly classified the Exchange Note as long-term debt. However, as the Investor has the option of requiring the Company to redeem the Exchange Note on the one-year or two-year anniversaries of issuance subject to certain conditions, the Exchange Note must be classified as a current liability. As a result of this error:</w:t>
      </w:r>
    </w:p>
    <w:p>
      <w:pPr>
        <w:spacing w:after="0" w:line="178" w:lineRule="exact"/>
        <w:rPr>
          <w:sz w:val="20"/>
          <w:szCs w:val="20"/>
          <w:color w:val="auto"/>
        </w:rPr>
      </w:pPr>
    </w:p>
    <w:p>
      <w:pPr>
        <w:ind w:left="600" w:hanging="30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Long-term debt, current was understated by $31.3 million as of September 30, 2022;</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Long-term debt was overstated by $29.9 million as of September 30,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 Classification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incorrectly classified debt issuance costs as an asset rather than as a contra-liability as of September 30, 2022. As a result of this error:</w:t>
      </w:r>
    </w:p>
    <w:p>
      <w:pPr>
        <w:spacing w:after="0" w:line="224" w:lineRule="exact"/>
        <w:rPr>
          <w:sz w:val="20"/>
          <w:szCs w:val="20"/>
          <w:color w:val="auto"/>
        </w:rPr>
      </w:pPr>
    </w:p>
    <w:p>
      <w:pPr>
        <w:ind w:left="600" w:hanging="303"/>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Prepaid expenses and other current assets were understated by $308 thousand as of September 30, 2022;</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non-current assets were overstated by $454 thousand as of September 30,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Stock Split</w:t>
      </w:r>
    </w:p>
    <w:p>
      <w:pPr>
        <w:spacing w:after="0" w:line="205" w:lineRule="exact"/>
        <w:rPr>
          <w:sz w:val="20"/>
          <w:szCs w:val="20"/>
          <w:color w:val="auto"/>
        </w:rPr>
      </w:pPr>
    </w:p>
    <w:p>
      <w:pPr>
        <w:ind w:right="40" w:firstLine="298"/>
        <w:spacing w:after="0" w:line="288" w:lineRule="auto"/>
        <w:rPr>
          <w:sz w:val="20"/>
          <w:szCs w:val="20"/>
          <w:color w:val="auto"/>
        </w:rPr>
      </w:pPr>
      <w:r>
        <w:rPr>
          <w:rFonts w:ascii="Arial" w:cs="Arial" w:eastAsia="Arial" w:hAnsi="Arial"/>
          <w:sz w:val="15"/>
          <w:szCs w:val="15"/>
          <w:color w:val="auto"/>
        </w:rPr>
        <w:t>On October 18, 2022, the Company effected a 1-for-10 reverse stock split of its Common. All owners of record as of October 18, 2022 received one issued and outstanding share of the Company’s Common Stock in exchange for ten outstanding shares of the Company’s Common Stock. Additionally, On October 18, 2022, the Company effected a 1-for-20 reverse stock split of its Common Stock on July 5, 2023. All owners of record as of July 5, 2023 received one issued and outstanding share of the Company’s Common Stock in exchange for twenty outstanding shares of the Company’s Common Stock. Additional information regarding the reverse stock splits may be found in Note 1 – Overview, Basis of Presentation and Significant Accounting Policies, included elsewhere in the notes to the consolidated financial statements.</w:t>
      </w:r>
    </w:p>
    <w:p>
      <w:pPr>
        <w:spacing w:after="0" w:line="156" w:lineRule="exact"/>
        <w:rPr>
          <w:sz w:val="20"/>
          <w:szCs w:val="20"/>
          <w:color w:val="auto"/>
        </w:rPr>
      </w:pPr>
    </w:p>
    <w:p>
      <w:pPr>
        <w:ind w:right="420" w:firstLine="298"/>
        <w:spacing w:after="0" w:line="260" w:lineRule="auto"/>
        <w:rPr>
          <w:sz w:val="20"/>
          <w:szCs w:val="20"/>
          <w:color w:val="auto"/>
        </w:rPr>
      </w:pPr>
      <w:r>
        <w:rPr>
          <w:rFonts w:ascii="Arial" w:cs="Arial" w:eastAsia="Arial" w:hAnsi="Arial"/>
          <w:sz w:val="17"/>
          <w:szCs w:val="17"/>
          <w:color w:val="auto"/>
        </w:rPr>
        <w:t>The impact of these/this adjustment(s) is/are shown below in the restated and reclassified consolidated balance sheet, consolidated statement of operations, and consolidated statement of cash flows for the quarter-ended September 30,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7" w:name="page28"/>
    <w:bookmarkEnd w:id="27"/>
    <w:p>
      <w:pPr>
        <w:ind w:left="300"/>
        <w:spacing w:after="0"/>
        <w:rPr>
          <w:sz w:val="20"/>
          <w:szCs w:val="20"/>
          <w:color w:val="auto"/>
        </w:rPr>
      </w:pPr>
      <w:r>
        <w:rPr>
          <w:rFonts w:ascii="Arial" w:cs="Arial" w:eastAsia="Arial" w:hAnsi="Arial"/>
          <w:sz w:val="17"/>
          <w:szCs w:val="17"/>
          <w:color w:val="auto"/>
        </w:rPr>
        <w:t>The following is a summary of the impact of the restatement and reclassifications on the Company’s condensed consolidated balance sheet: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7"/>
                <w:szCs w:val="17"/>
                <w:b w:val="1"/>
                <w:bCs w:val="1"/>
                <w:color w:val="auto"/>
              </w:rPr>
              <w:t>September 30, 2022</w:t>
            </w: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7"/>
                <w:szCs w:val="17"/>
                <w:b w:val="1"/>
                <w:bCs w:val="1"/>
                <w:color w:val="auto"/>
              </w:rPr>
              <w:t>Adjustments</w:t>
            </w: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00"/>
              <w:spacing w:after="0" w:line="182" w:lineRule="exact"/>
              <w:rPr>
                <w:sz w:val="20"/>
                <w:szCs w:val="20"/>
                <w:color w:val="auto"/>
              </w:rPr>
            </w:pPr>
            <w:r>
              <w:rPr>
                <w:rFonts w:ascii="Arial" w:cs="Arial" w:eastAsia="Arial" w:hAnsi="Arial"/>
                <w:sz w:val="17"/>
                <w:szCs w:val="17"/>
                <w:b w:val="1"/>
                <w:bCs w:val="1"/>
                <w:color w:val="auto"/>
                <w:w w:val="89"/>
              </w:rPr>
              <w:t>Debt</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0"/>
              </w:rPr>
              <w:t>Previously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2"/>
              </w:rPr>
              <w:t>Issuance</w:t>
            </w:r>
          </w:p>
        </w:tc>
        <w:tc>
          <w:tcPr>
            <w:tcW w:w="13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Debt</w:t>
            </w:r>
          </w:p>
        </w:tc>
        <w:tc>
          <w:tcPr>
            <w:tcW w:w="12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Reverse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9"/>
              </w:rPr>
              <w:t>Reported</w:t>
            </w:r>
          </w:p>
        </w:tc>
        <w:tc>
          <w:tcPr>
            <w:tcW w:w="13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Warrants</w:t>
            </w: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Costs</w:t>
            </w:r>
          </w:p>
        </w:tc>
        <w:tc>
          <w:tcPr>
            <w:tcW w:w="13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2"/>
              </w:rPr>
              <w:t>Classification</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Stock Split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4"/>
              </w:rPr>
              <w:t>Restated</w:t>
            </w:r>
          </w:p>
        </w:tc>
        <w:tc>
          <w:tcPr>
            <w:tcW w:w="0" w:type="dxa"/>
            <w:vAlign w:val="bottom"/>
          </w:tcPr>
          <w:p>
            <w:pPr>
              <w:spacing w:after="0"/>
              <w:rPr>
                <w:sz w:val="1"/>
                <w:szCs w:val="1"/>
                <w:color w:val="auto"/>
              </w:rPr>
            </w:pPr>
          </w:p>
        </w:tc>
      </w:tr>
      <w:tr>
        <w:trPr>
          <w:trHeight w:val="186"/>
        </w:trPr>
        <w:tc>
          <w:tcPr>
            <w:tcW w:w="3200" w:type="dxa"/>
            <w:vAlign w:val="bottom"/>
            <w:gridSpan w:val="2"/>
          </w:tcPr>
          <w:p>
            <w:pPr>
              <w:spacing w:after="0" w:line="186" w:lineRule="exact"/>
              <w:rPr>
                <w:sz w:val="20"/>
                <w:szCs w:val="20"/>
                <w:color w:val="auto"/>
              </w:rPr>
            </w:pPr>
            <w:r>
              <w:rPr>
                <w:rFonts w:ascii="Arial" w:cs="Arial" w:eastAsia="Arial" w:hAnsi="Arial"/>
                <w:sz w:val="17"/>
                <w:szCs w:val="17"/>
                <w:b w:val="1"/>
                <w:bCs w:val="1"/>
                <w:color w:val="auto"/>
              </w:rPr>
              <w:t>Assets</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20"/>
              <w:spacing w:after="0" w:line="186" w:lineRule="exact"/>
              <w:rPr>
                <w:sz w:val="20"/>
                <w:szCs w:val="20"/>
                <w:color w:val="auto"/>
              </w:rPr>
            </w:pPr>
            <w:r>
              <w:rPr>
                <w:rFonts w:ascii="Arial" w:cs="Arial" w:eastAsia="Arial" w:hAnsi="Arial"/>
                <w:sz w:val="17"/>
                <w:szCs w:val="17"/>
                <w:color w:val="auto"/>
                <w:w w:val="96"/>
              </w:rPr>
              <w:t>Restricted cash and restricted marketable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10,000</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Marketable securities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20"/>
              <w:spacing w:after="0" w:line="186" w:lineRule="exact"/>
              <w:rPr>
                <w:sz w:val="20"/>
                <w:szCs w:val="20"/>
                <w:color w:val="auto"/>
              </w:rPr>
            </w:pPr>
            <w:r>
              <w:rPr>
                <w:rFonts w:ascii="Arial" w:cs="Arial" w:eastAsia="Arial" w:hAnsi="Arial"/>
                <w:sz w:val="17"/>
                <w:szCs w:val="17"/>
                <w:color w:val="auto"/>
                <w:w w:val="98"/>
              </w:rPr>
              <w:t>Accounts receivable, net of allowance for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doubtful accounts of $2,740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4,559</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4,559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Inventory, net of reserves of $1,871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41,791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120"/>
              <w:spacing w:after="0"/>
              <w:rPr>
                <w:sz w:val="20"/>
                <w:szCs w:val="20"/>
                <w:color w:val="auto"/>
              </w:rPr>
            </w:pPr>
            <w:r>
              <w:rPr>
                <w:rFonts w:ascii="Arial" w:cs="Arial" w:eastAsia="Arial" w:hAnsi="Arial"/>
                <w:sz w:val="17"/>
                <w:szCs w:val="17"/>
                <w:color w:val="auto"/>
              </w:rPr>
              <w:t>Prepaid and refundable taxes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204</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Prepaid expenses and other current assets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4,296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tcBorders>
              <w:top w:val="single" w:sz="8" w:color="CCEEFF"/>
            </w:tcBorders>
          </w:tcPr>
          <w:p>
            <w:pPr>
              <w:ind w:left="280"/>
              <w:spacing w:after="0" w:line="183" w:lineRule="exact"/>
              <w:rPr>
                <w:sz w:val="20"/>
                <w:szCs w:val="20"/>
                <w:color w:val="auto"/>
              </w:rPr>
            </w:pPr>
            <w:r>
              <w:rPr>
                <w:rFonts w:ascii="Arial" w:cs="Arial" w:eastAsia="Arial" w:hAnsi="Arial"/>
                <w:sz w:val="17"/>
                <w:szCs w:val="17"/>
                <w:color w:val="auto"/>
              </w:rPr>
              <w:t>Total current assets</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63,382</w:t>
            </w:r>
          </w:p>
        </w:tc>
        <w:tc>
          <w:tcPr>
            <w:tcW w:w="24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63,690</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w w:val="92"/>
              </w:rPr>
              <w:t>Loan receivable, net of allowance for doubtful</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of $7,079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29,232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13,208</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13,208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non-current assets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1,899</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(454)</w:t>
            </w: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110,191</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9,558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20"/>
              <w:spacing w:after="0" w:line="186" w:lineRule="exact"/>
              <w:rPr>
                <w:sz w:val="20"/>
                <w:szCs w:val="20"/>
                <w:color w:val="auto"/>
              </w:rPr>
            </w:pPr>
            <w:r>
              <w:rPr>
                <w:rFonts w:ascii="Arial" w:cs="Arial" w:eastAsia="Arial" w:hAnsi="Arial"/>
                <w:sz w:val="17"/>
                <w:szCs w:val="17"/>
                <w:color w:val="auto"/>
              </w:rPr>
              <w:t>Accrued expenses and other current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20,505</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20,505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 current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120"/>
              <w:spacing w:after="0"/>
              <w:rPr>
                <w:sz w:val="20"/>
                <w:szCs w:val="20"/>
                <w:color w:val="auto"/>
              </w:rPr>
            </w:pPr>
            <w:r>
              <w:rPr>
                <w:rFonts w:ascii="Arial" w:cs="Arial" w:eastAsia="Arial" w:hAnsi="Arial"/>
                <w:sz w:val="17"/>
                <w:szCs w:val="17"/>
                <w:color w:val="auto"/>
              </w:rPr>
              <w:t>Long-term debt, current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492</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(981)</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32,157</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31,814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10,136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tcBorders>
              <w:top w:val="single" w:sz="8" w:color="CCEEFF"/>
            </w:tcBorders>
          </w:tcPr>
          <w:p>
            <w:pPr>
              <w:ind w:left="280"/>
              <w:spacing w:after="0" w:line="183" w:lineRule="exact"/>
              <w:rPr>
                <w:sz w:val="20"/>
                <w:szCs w:val="20"/>
                <w:color w:val="auto"/>
              </w:rPr>
            </w:pPr>
            <w:r>
              <w:rPr>
                <w:rFonts w:ascii="Arial" w:cs="Arial" w:eastAsia="Arial" w:hAnsi="Arial"/>
                <w:sz w:val="17"/>
                <w:szCs w:val="17"/>
                <w:color w:val="auto"/>
              </w:rPr>
              <w:t>Total current liabilities</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41,513</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gridSpan w:val="2"/>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72,835</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Warrant liabilities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971</w:t>
            </w:r>
          </w:p>
        </w:tc>
        <w:tc>
          <w:tcPr>
            <w:tcW w:w="1120" w:type="dxa"/>
            <w:vAlign w:val="bottom"/>
          </w:tcPr>
          <w:p>
            <w:pPr>
              <w:jc w:val="right"/>
              <w:spacing w:after="0"/>
              <w:rPr>
                <w:sz w:val="20"/>
                <w:szCs w:val="20"/>
                <w:color w:val="auto"/>
              </w:rPr>
            </w:pPr>
            <w:r>
              <w:rPr>
                <w:rFonts w:ascii="Arial" w:cs="Arial" w:eastAsia="Arial" w:hAnsi="Arial"/>
                <w:sz w:val="17"/>
                <w:szCs w:val="17"/>
                <w:color w:val="auto"/>
              </w:rPr>
              <w:t>4,147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liabilities, non-current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7"/>
                <w:szCs w:val="17"/>
                <w:color w:val="auto"/>
              </w:rPr>
              <w:t>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30,380</w:t>
            </w:r>
          </w:p>
        </w:tc>
        <w:tc>
          <w:tcPr>
            <w:tcW w:w="1120" w:type="dxa"/>
            <w:vAlign w:val="bottom"/>
          </w:tcPr>
          <w:p>
            <w:pPr>
              <w:jc w:val="right"/>
              <w:spacing w:after="0"/>
              <w:rPr>
                <w:sz w:val="20"/>
                <w:szCs w:val="20"/>
                <w:color w:val="auto"/>
              </w:rPr>
            </w:pPr>
            <w:r>
              <w:rPr>
                <w:rFonts w:ascii="Arial" w:cs="Arial" w:eastAsia="Arial" w:hAnsi="Arial"/>
                <w:sz w:val="17"/>
                <w:szCs w:val="17"/>
                <w:color w:val="auto"/>
              </w:rPr>
              <w:t>2,887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(32,787)</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liabilities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74,795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Commitments and Contingencies (Note 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20"/>
              <w:spacing w:after="0" w:line="186" w:lineRule="exact"/>
              <w:rPr>
                <w:sz w:val="20"/>
                <w:szCs w:val="20"/>
                <w:color w:val="auto"/>
              </w:rPr>
            </w:pPr>
            <w:r>
              <w:rPr>
                <w:rFonts w:ascii="Arial" w:cs="Arial" w:eastAsia="Arial" w:hAnsi="Arial"/>
                <w:sz w:val="17"/>
                <w:szCs w:val="17"/>
                <w:color w:val="auto"/>
                <w:w w:val="91"/>
              </w:rPr>
              <w:t>Common Stock, $0.001 par value per share,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5,000,000 shares authorized, 134,550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shares issued and 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w w:val="90"/>
              </w:rPr>
              <w:t>Preferred Stock, $0.001 par value per share,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6"/>
              </w:rPr>
              <w:t>2,895,000 shares authorized, no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issued or outstanding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ind w:left="120"/>
              <w:spacing w:after="0" w:line="186" w:lineRule="exact"/>
              <w:rPr>
                <w:sz w:val="20"/>
                <w:szCs w:val="20"/>
                <w:color w:val="auto"/>
              </w:rPr>
            </w:pPr>
            <w:r>
              <w:rPr>
                <w:rFonts w:ascii="Arial" w:cs="Arial" w:eastAsia="Arial" w:hAnsi="Arial"/>
                <w:sz w:val="17"/>
                <w:szCs w:val="17"/>
                <w:color w:val="auto"/>
              </w:rPr>
              <w:t>Preferred A Stock, $0.001 par value per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share, 105,000 shares authorized, no</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80"/>
              <w:spacing w:after="0"/>
              <w:rPr>
                <w:sz w:val="20"/>
                <w:szCs w:val="20"/>
                <w:color w:val="auto"/>
              </w:rPr>
            </w:pPr>
            <w:r>
              <w:rPr>
                <w:rFonts w:ascii="Arial" w:cs="Arial" w:eastAsia="Arial" w:hAnsi="Arial"/>
                <w:sz w:val="17"/>
                <w:szCs w:val="17"/>
                <w:color w:val="auto"/>
              </w:rPr>
              <w:t>shares issued or 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242,549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7"/>
                <w:szCs w:val="17"/>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(207,526)</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17,684</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630</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(189,212)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Borders>
              <w:top w:val="single" w:sz="8" w:color="CCEEFF"/>
            </w:tcBorders>
            <w:shd w:val="clear" w:color="auto" w:fill="CCEEFF"/>
          </w:tcPr>
          <w:p>
            <w:pPr>
              <w:ind w:left="420"/>
              <w:spacing w:after="0" w:line="174" w:lineRule="exact"/>
              <w:rPr>
                <w:sz w:val="20"/>
                <w:szCs w:val="20"/>
                <w:color w:val="auto"/>
              </w:rPr>
            </w:pPr>
            <w:r>
              <w:rPr>
                <w:rFonts w:ascii="Arial" w:cs="Arial" w:eastAsia="Arial" w:hAnsi="Arial"/>
                <w:sz w:val="17"/>
                <w:szCs w:val="17"/>
                <w:color w:val="auto"/>
                <w:w w:val="91"/>
              </w:rPr>
              <w:t>Total stockholders’ equity attributable to</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Agrify</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35,026</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Non-controlling interests</w:t>
            </w:r>
          </w:p>
        </w:tc>
        <w:tc>
          <w:tcPr>
            <w:tcW w:w="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370</w:t>
            </w:r>
          </w:p>
        </w:tc>
        <w:tc>
          <w:tcPr>
            <w:tcW w:w="240" w:type="dxa"/>
            <w:vAlign w:val="bottom"/>
            <w:tcBorders>
              <w:top w:val="single" w:sz="8" w:color="CCEEFF"/>
              <w:bottom w:val="single" w:sz="8" w:color="CCEEFF"/>
            </w:tcBorders>
          </w:tcPr>
          <w:p>
            <w:pPr>
              <w:spacing w:after="0"/>
              <w:rPr>
                <w:sz w:val="16"/>
                <w:szCs w:val="16"/>
                <w:color w:val="auto"/>
              </w:rPr>
            </w:pPr>
          </w:p>
        </w:tc>
        <w:tc>
          <w:tcPr>
            <w:tcW w:w="1340" w:type="dxa"/>
            <w:vAlign w:val="bottom"/>
            <w:tcBorders>
              <w:top w:val="single" w:sz="8" w:color="CCEEFF"/>
              <w:bottom w:val="single" w:sz="8" w:color="CCEEFF"/>
            </w:tcBorders>
            <w:gridSpan w:val="2"/>
          </w:tcPr>
          <w:p>
            <w:pPr>
              <w:jc w:val="right"/>
              <w:ind w:right="220"/>
              <w:spacing w:after="0" w:line="184"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CCEEFF"/>
              <w:bottom w:val="single" w:sz="8" w:color="CCEEFF"/>
            </w:tcBorders>
            <w:gridSpan w:val="2"/>
          </w:tcPr>
          <w:p>
            <w:pPr>
              <w:jc w:val="right"/>
              <w:ind w:right="220"/>
              <w:spacing w:after="0" w:line="184"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CCEEFF"/>
              <w:bottom w:val="single" w:sz="8" w:color="CCEEFF"/>
            </w:tcBorders>
            <w:gridSpan w:val="2"/>
          </w:tcPr>
          <w:p>
            <w:pPr>
              <w:jc w:val="right"/>
              <w:ind w:right="220"/>
              <w:spacing w:after="0" w:line="184" w:lineRule="exact"/>
              <w:rPr>
                <w:sz w:val="20"/>
                <w:szCs w:val="20"/>
                <w:color w:val="auto"/>
              </w:rPr>
            </w:pPr>
            <w:r>
              <w:rPr>
                <w:rFonts w:ascii="Arial" w:cs="Arial" w:eastAsia="Arial" w:hAnsi="Arial"/>
                <w:sz w:val="17"/>
                <w:szCs w:val="17"/>
                <w:color w:val="auto"/>
              </w:rPr>
              <w:t>—</w:t>
            </w:r>
          </w:p>
        </w:tc>
        <w:tc>
          <w:tcPr>
            <w:tcW w:w="1260" w:type="dxa"/>
            <w:vAlign w:val="bottom"/>
            <w:tcBorders>
              <w:top w:val="single" w:sz="8" w:color="CCEEFF"/>
              <w:bottom w:val="single" w:sz="8" w:color="CCEEFF"/>
            </w:tcBorders>
            <w:gridSpan w:val="2"/>
          </w:tcPr>
          <w:p>
            <w:pPr>
              <w:jc w:val="right"/>
              <w:ind w:right="140"/>
              <w:spacing w:after="0" w:line="184"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370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8"/>
              </w:rPr>
              <w:t>Total liabilities and stockholders’ equity</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110,191</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25</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28" w:name="page29"/>
    <w:bookmarkEnd w:id="28"/>
    <w:p>
      <w:pPr>
        <w:ind w:left="300"/>
        <w:spacing w:after="0"/>
        <w:rPr>
          <w:sz w:val="20"/>
          <w:szCs w:val="20"/>
          <w:color w:val="auto"/>
        </w:rPr>
      </w:pPr>
      <w:r>
        <w:rPr>
          <w:rFonts w:ascii="Arial" w:cs="Arial" w:eastAsia="Arial" w:hAnsi="Arial"/>
          <w:sz w:val="15"/>
          <w:szCs w:val="15"/>
          <w:color w:val="auto"/>
        </w:rPr>
        <w:t>The following is a summary of the impact of the restatement and reclassifications on the Company’s condensed consolidated statement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gridSpan w:val="10"/>
          </w:tcPr>
          <w:p>
            <w:pPr>
              <w:jc w:val="center"/>
              <w:ind w:right="83"/>
              <w:spacing w:after="0"/>
              <w:rPr>
                <w:sz w:val="20"/>
                <w:szCs w:val="20"/>
                <w:color w:val="auto"/>
              </w:rPr>
            </w:pPr>
            <w:r>
              <w:rPr>
                <w:rFonts w:ascii="Arial" w:cs="Arial" w:eastAsia="Arial" w:hAnsi="Arial"/>
                <w:sz w:val="17"/>
                <w:szCs w:val="17"/>
                <w:b w:val="1"/>
                <w:bCs w:val="1"/>
                <w:color w:val="auto"/>
                <w:w w:val="87"/>
              </w:rPr>
              <w:t>Three Months ended September 30, 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40" w:type="dxa"/>
            <w:vAlign w:val="bottom"/>
            <w:gridSpan w:val="10"/>
          </w:tcPr>
          <w:p>
            <w:pPr>
              <w:jc w:val="right"/>
              <w:ind w:right="463"/>
              <w:spacing w:after="0"/>
              <w:rPr>
                <w:sz w:val="20"/>
                <w:szCs w:val="20"/>
                <w:color w:val="auto"/>
              </w:rPr>
            </w:pPr>
            <w:r>
              <w:rPr>
                <w:rFonts w:ascii="Arial" w:cs="Arial" w:eastAsia="Arial" w:hAnsi="Arial"/>
                <w:sz w:val="17"/>
                <w:szCs w:val="17"/>
                <w:b w:val="1"/>
                <w:bCs w:val="1"/>
                <w:color w:val="auto"/>
                <w:w w:val="99"/>
              </w:rPr>
              <w:t>Nine Months ended 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5"/>
          </w:tcPr>
          <w:p>
            <w:pPr>
              <w:jc w:val="center"/>
              <w:ind w:right="300"/>
              <w:spacing w:after="0"/>
              <w:rPr>
                <w:sz w:val="20"/>
                <w:szCs w:val="20"/>
                <w:color w:val="auto"/>
              </w:rPr>
            </w:pPr>
            <w:r>
              <w:rPr>
                <w:rFonts w:ascii="Arial" w:cs="Arial" w:eastAsia="Arial" w:hAnsi="Arial"/>
                <w:sz w:val="17"/>
                <w:szCs w:val="17"/>
                <w:b w:val="1"/>
                <w:bCs w:val="1"/>
                <w:color w:val="auto"/>
                <w:w w:val="89"/>
              </w:rPr>
              <w:t>Adjustment</w:t>
            </w: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5"/>
          </w:tcPr>
          <w:p>
            <w:pPr>
              <w:jc w:val="right"/>
              <w:ind w:right="700"/>
              <w:spacing w:after="0"/>
              <w:rPr>
                <w:sz w:val="20"/>
                <w:szCs w:val="20"/>
                <w:color w:val="auto"/>
              </w:rPr>
            </w:pPr>
            <w:r>
              <w:rPr>
                <w:rFonts w:ascii="Arial" w:cs="Arial" w:eastAsia="Arial" w:hAnsi="Arial"/>
                <w:sz w:val="17"/>
                <w:szCs w:val="17"/>
                <w:b w:val="1"/>
                <w:bCs w:val="1"/>
                <w:color w:val="auto"/>
              </w:rPr>
              <w:t>Adjustment</w:t>
            </w: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jc w:val="right"/>
              <w:ind w:right="103"/>
              <w:spacing w:after="0" w:line="182" w:lineRule="exact"/>
              <w:rPr>
                <w:sz w:val="20"/>
                <w:szCs w:val="20"/>
                <w:color w:val="auto"/>
              </w:rPr>
            </w:pPr>
            <w:r>
              <w:rPr>
                <w:rFonts w:ascii="Arial" w:cs="Arial" w:eastAsia="Arial" w:hAnsi="Arial"/>
                <w:sz w:val="17"/>
                <w:szCs w:val="17"/>
                <w:b w:val="1"/>
                <w:bCs w:val="1"/>
                <w:color w:val="auto"/>
                <w:w w:val="90"/>
              </w:rPr>
              <w:t>Previously</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58"/>
              <w:spacing w:after="0" w:line="182" w:lineRule="exact"/>
              <w:rPr>
                <w:sz w:val="20"/>
                <w:szCs w:val="20"/>
                <w:color w:val="auto"/>
              </w:rPr>
            </w:pPr>
            <w:r>
              <w:rPr>
                <w:rFonts w:ascii="Arial" w:cs="Arial" w:eastAsia="Arial" w:hAnsi="Arial"/>
                <w:sz w:val="17"/>
                <w:szCs w:val="17"/>
                <w:b w:val="1"/>
                <w:bCs w:val="1"/>
                <w:color w:val="auto"/>
                <w:w w:val="99"/>
              </w:rPr>
              <w:t>Reverse</w:t>
            </w:r>
          </w:p>
        </w:tc>
        <w:tc>
          <w:tcPr>
            <w:tcW w:w="22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right"/>
              <w:ind w:right="103"/>
              <w:spacing w:after="0" w:line="182" w:lineRule="exact"/>
              <w:rPr>
                <w:sz w:val="20"/>
                <w:szCs w:val="20"/>
                <w:color w:val="auto"/>
              </w:rPr>
            </w:pPr>
            <w:r>
              <w:rPr>
                <w:rFonts w:ascii="Arial" w:cs="Arial" w:eastAsia="Arial" w:hAnsi="Arial"/>
                <w:sz w:val="17"/>
                <w:szCs w:val="17"/>
                <w:b w:val="1"/>
                <w:bCs w:val="1"/>
                <w:color w:val="auto"/>
                <w:w w:val="90"/>
              </w:rPr>
              <w:t>Previously</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8"/>
              <w:spacing w:after="0" w:line="182" w:lineRule="exact"/>
              <w:rPr>
                <w:sz w:val="20"/>
                <w:szCs w:val="20"/>
                <w:color w:val="auto"/>
              </w:rPr>
            </w:pPr>
            <w:r>
              <w:rPr>
                <w:rFonts w:ascii="Arial" w:cs="Arial" w:eastAsia="Arial" w:hAnsi="Arial"/>
                <w:sz w:val="17"/>
                <w:szCs w:val="17"/>
                <w:b w:val="1"/>
                <w:bCs w:val="1"/>
                <w:color w:val="auto"/>
              </w:rPr>
              <w:t>Reverse</w:t>
            </w:r>
          </w:p>
        </w:tc>
        <w:tc>
          <w:tcPr>
            <w:tcW w:w="22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3"/>
              <w:spacing w:after="0"/>
              <w:rPr>
                <w:sz w:val="20"/>
                <w:szCs w:val="20"/>
                <w:color w:val="auto"/>
              </w:rPr>
            </w:pPr>
            <w:r>
              <w:rPr>
                <w:rFonts w:ascii="Arial" w:cs="Arial" w:eastAsia="Arial" w:hAnsi="Arial"/>
                <w:sz w:val="17"/>
                <w:szCs w:val="17"/>
                <w:b w:val="1"/>
                <w:bCs w:val="1"/>
                <w:color w:val="auto"/>
                <w:w w:val="88"/>
              </w:rPr>
              <w:t>Reported</w:t>
            </w:r>
          </w:p>
        </w:tc>
        <w:tc>
          <w:tcPr>
            <w:tcW w:w="900" w:type="dxa"/>
            <w:vAlign w:val="bottom"/>
            <w:gridSpan w:val="2"/>
          </w:tcPr>
          <w:p>
            <w:pPr>
              <w:jc w:val="right"/>
              <w:ind w:right="137"/>
              <w:spacing w:after="0"/>
              <w:rPr>
                <w:sz w:val="20"/>
                <w:szCs w:val="20"/>
                <w:color w:val="auto"/>
              </w:rPr>
            </w:pPr>
            <w:r>
              <w:rPr>
                <w:rFonts w:ascii="Arial" w:cs="Arial" w:eastAsia="Arial" w:hAnsi="Arial"/>
                <w:sz w:val="17"/>
                <w:szCs w:val="17"/>
                <w:b w:val="1"/>
                <w:bCs w:val="1"/>
                <w:color w:val="auto"/>
                <w:w w:val="89"/>
              </w:rPr>
              <w:t>Warrants</w:t>
            </w:r>
          </w:p>
        </w:tc>
        <w:tc>
          <w:tcPr>
            <w:tcW w:w="10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88"/>
              </w:rPr>
              <w:t>Stock Split</w:t>
            </w:r>
          </w:p>
        </w:tc>
        <w:tc>
          <w:tcPr>
            <w:tcW w:w="840" w:type="dxa"/>
            <w:vAlign w:val="bottom"/>
            <w:gridSpan w:val="2"/>
          </w:tcPr>
          <w:p>
            <w:pPr>
              <w:jc w:val="right"/>
              <w:ind w:right="123"/>
              <w:spacing w:after="0"/>
              <w:rPr>
                <w:sz w:val="20"/>
                <w:szCs w:val="20"/>
                <w:color w:val="auto"/>
              </w:rPr>
            </w:pPr>
            <w:r>
              <w:rPr>
                <w:rFonts w:ascii="Arial" w:cs="Arial" w:eastAsia="Arial" w:hAnsi="Arial"/>
                <w:sz w:val="17"/>
                <w:szCs w:val="17"/>
                <w:b w:val="1"/>
                <w:bCs w:val="1"/>
                <w:color w:val="auto"/>
                <w:w w:val="86"/>
              </w:rPr>
              <w:t>Restated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3"/>
              <w:spacing w:after="0"/>
              <w:rPr>
                <w:sz w:val="20"/>
                <w:szCs w:val="20"/>
                <w:color w:val="auto"/>
              </w:rPr>
            </w:pPr>
            <w:r>
              <w:rPr>
                <w:rFonts w:ascii="Arial" w:cs="Arial" w:eastAsia="Arial" w:hAnsi="Arial"/>
                <w:sz w:val="17"/>
                <w:szCs w:val="17"/>
                <w:b w:val="1"/>
                <w:bCs w:val="1"/>
                <w:color w:val="auto"/>
                <w:w w:val="88"/>
              </w:rPr>
              <w:t>Reported</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2"/>
              </w:rPr>
              <w:t>Warrants</w:t>
            </w:r>
          </w:p>
        </w:tc>
        <w:tc>
          <w:tcPr>
            <w:tcW w:w="10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88"/>
              </w:rPr>
              <w:t>Stock Split</w:t>
            </w:r>
          </w:p>
        </w:tc>
        <w:tc>
          <w:tcPr>
            <w:tcW w:w="820" w:type="dxa"/>
            <w:vAlign w:val="bottom"/>
            <w:gridSpan w:val="2"/>
          </w:tcPr>
          <w:p>
            <w:pPr>
              <w:jc w:val="right"/>
              <w:ind w:right="103"/>
              <w:spacing w:after="0"/>
              <w:rPr>
                <w:sz w:val="20"/>
                <w:szCs w:val="20"/>
                <w:color w:val="auto"/>
              </w:rPr>
            </w:pPr>
            <w:r>
              <w:rPr>
                <w:rFonts w:ascii="Arial" w:cs="Arial" w:eastAsia="Arial" w:hAnsi="Arial"/>
                <w:sz w:val="17"/>
                <w:szCs w:val="17"/>
                <w:b w:val="1"/>
                <w:bCs w:val="1"/>
                <w:color w:val="auto"/>
                <w:w w:val="86"/>
              </w:rPr>
              <w:t>Restated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w w:val="95"/>
              </w:rPr>
              <w:t>Revenue including $0 and $2,411 from related</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parties,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7,019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7,019</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52,369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Cost of goods sold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11,135</w:t>
            </w:r>
          </w:p>
        </w:tc>
        <w:tc>
          <w:tcPr>
            <w:tcW w:w="80" w:type="dxa"/>
            <w:vAlign w:val="bottom"/>
          </w:tcPr>
          <w:p>
            <w:pPr>
              <w:spacing w:after="0"/>
              <w:rPr>
                <w:sz w:val="18"/>
                <w:szCs w:val="18"/>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11,135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50,703</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50,703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Gross profit (loss)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24,126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24,126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53,263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53,263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Selling and marketing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2,160</w:t>
            </w:r>
          </w:p>
        </w:tc>
        <w:tc>
          <w:tcPr>
            <w:tcW w:w="80" w:type="dxa"/>
            <w:vAlign w:val="bottom"/>
          </w:tcPr>
          <w:p>
            <w:pPr>
              <w:spacing w:after="0"/>
              <w:rPr>
                <w:sz w:val="17"/>
                <w:szCs w:val="17"/>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6,582</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6,582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6,269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Change in contingent consideration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7"/>
                <w:szCs w:val="17"/>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(1,509)</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9"/>
              </w:rPr>
              <w:t>Impairment of goodwill and intangible assets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69,904</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69,904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27,431</w:t>
            </w:r>
          </w:p>
        </w:tc>
        <w:tc>
          <w:tcPr>
            <w:tcW w:w="1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27,431</w:t>
            </w:r>
          </w:p>
        </w:tc>
        <w:tc>
          <w:tcPr>
            <w:tcW w:w="8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134,509</w:t>
            </w:r>
          </w:p>
        </w:tc>
        <w:tc>
          <w:tcPr>
            <w:tcW w:w="1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134,509</w:t>
            </w:r>
          </w:p>
        </w:tc>
        <w:tc>
          <w:tcPr>
            <w:tcW w:w="6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Loss from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Pr>
          <w:p>
            <w:pPr>
              <w:spacing w:after="0" w:line="183" w:lineRule="exact"/>
              <w:rPr>
                <w:sz w:val="20"/>
                <w:szCs w:val="20"/>
                <w:color w:val="auto"/>
              </w:rPr>
            </w:pPr>
            <w:r>
              <w:rPr>
                <w:rFonts w:ascii="Arial" w:cs="Arial" w:eastAsia="Arial" w:hAnsi="Arial"/>
                <w:sz w:val="17"/>
                <w:szCs w:val="17"/>
                <w:color w:val="auto"/>
              </w:rPr>
              <w:t>Interest (expense) income, net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(3,979)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(675)</w:t>
            </w: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(4,654)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(5,224)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(2,180)</w:t>
            </w: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(7,404)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Change in fair value of warrant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5,686</w:t>
            </w:r>
          </w:p>
        </w:tc>
        <w:tc>
          <w:tcPr>
            <w:tcW w:w="80" w:type="dxa"/>
            <w:vAlign w:val="bottom"/>
          </w:tcPr>
          <w:p>
            <w:pPr>
              <w:spacing w:after="0"/>
              <w:rPr>
                <w:sz w:val="17"/>
                <w:szCs w:val="17"/>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10,582</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
              <w:spacing w:after="0"/>
              <w:rPr>
                <w:sz w:val="20"/>
                <w:szCs w:val="20"/>
                <w:color w:val="auto"/>
              </w:rPr>
            </w:pPr>
            <w:r>
              <w:rPr>
                <w:rFonts w:ascii="Arial" w:cs="Arial" w:eastAsia="Arial" w:hAnsi="Arial"/>
                <w:sz w:val="17"/>
                <w:szCs w:val="17"/>
                <w:color w:val="auto"/>
              </w:rPr>
              <w:t>16,268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5,686</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41,548</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47,234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3"/>
              </w:rPr>
              <w:t>Loss (gain) on extinguishment of notes payable</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(17,933)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(38,985)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(17,933)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(21,052)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(38,985)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Other (expense) income, net</w:t>
            </w:r>
          </w:p>
        </w:tc>
        <w:tc>
          <w:tcPr>
            <w:tcW w:w="16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(14,720</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(11,145</w:t>
            </w:r>
          </w:p>
        </w:tc>
        <w:tc>
          <w:tcPr>
            <w:tcW w:w="120" w:type="dxa"/>
            <w:vAlign w:val="bottom"/>
            <w:tcBorders>
              <w:top w:val="single" w:sz="8" w:color="CCEEFF"/>
              <w:bottom w:val="single" w:sz="8" w:color="CCEEFF"/>
            </w:tcBorders>
          </w:tcPr>
          <w:p>
            <w:pPr>
              <w:jc w:val="center"/>
              <w:spacing w:after="0" w:line="18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(25,865</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(15,965</w:t>
            </w:r>
          </w:p>
        </w:tc>
        <w:tc>
          <w:tcPr>
            <w:tcW w:w="1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18,316</w:t>
            </w:r>
          </w:p>
        </w:tc>
        <w:tc>
          <w:tcPr>
            <w:tcW w:w="120" w:type="dxa"/>
            <w:vAlign w:val="bottom"/>
            <w:tcBorders>
              <w:top w:val="single" w:sz="8" w:color="CCEEFF"/>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2,351</w:t>
            </w:r>
          </w:p>
        </w:tc>
        <w:tc>
          <w:tcPr>
            <w:tcW w:w="6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loss before income taxes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Income tax benefit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3"/>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(46,267)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(11,145)</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(148,546)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line="186" w:lineRule="exact"/>
              <w:rPr>
                <w:sz w:val="20"/>
                <w:szCs w:val="20"/>
                <w:color w:val="auto"/>
              </w:rPr>
            </w:pPr>
            <w:r>
              <w:rPr>
                <w:rFonts w:ascii="Arial" w:cs="Arial" w:eastAsia="Arial" w:hAnsi="Arial"/>
                <w:sz w:val="17"/>
                <w:szCs w:val="17"/>
                <w:color w:val="auto"/>
              </w:rPr>
              <w:t>Income (loss) attributable to non-controlling</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7"/>
                <w:szCs w:val="17"/>
                <w:color w:val="auto"/>
              </w:rPr>
              <w:t>interests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6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Net loss attributable to Agrify Corporation</w:t>
            </w: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vMerge w:val="continue"/>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(46,268</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(11,145</w:t>
            </w:r>
          </w:p>
        </w:tc>
        <w:tc>
          <w:tcPr>
            <w:tcW w:w="120" w:type="dxa"/>
            <w:vAlign w:val="bottom"/>
            <w:vMerge w:val="continue"/>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(57,413</w:t>
            </w:r>
          </w:p>
        </w:tc>
        <w:tc>
          <w:tcPr>
            <w:tcW w:w="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(148,551</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18,316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(130,235</w:t>
            </w:r>
          </w:p>
        </w:tc>
        <w:tc>
          <w:tcPr>
            <w:tcW w:w="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spacing w:after="0" w:line="186" w:lineRule="exact"/>
              <w:rPr>
                <w:sz w:val="20"/>
                <w:szCs w:val="20"/>
                <w:color w:val="auto"/>
              </w:rPr>
            </w:pPr>
            <w:r>
              <w:rPr>
                <w:rFonts w:ascii="Arial" w:cs="Arial" w:eastAsia="Arial" w:hAnsi="Arial"/>
                <w:sz w:val="17"/>
                <w:szCs w:val="17"/>
                <w:color w:val="auto"/>
              </w:rPr>
              <w:t>Net loss per share attributable to Common</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Arial" w:cs="Arial" w:eastAsia="Arial" w:hAnsi="Arial"/>
                <w:sz w:val="17"/>
                <w:szCs w:val="17"/>
                <w:color w:val="auto"/>
              </w:rPr>
              <w:t>Stockholders – basic and diluted (1)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spacing w:after="0" w:line="247" w:lineRule="exact"/>
              <w:rPr>
                <w:sz w:val="20"/>
                <w:szCs w:val="20"/>
                <w:color w:val="auto"/>
              </w:rPr>
            </w:pPr>
            <w:r>
              <w:rPr>
                <w:rFonts w:ascii="Arial" w:cs="Arial" w:eastAsia="Arial" w:hAnsi="Arial"/>
                <w:sz w:val="15"/>
                <w:szCs w:val="15"/>
                <w:color w:val="auto"/>
              </w:rPr>
              <w:t>(17.33</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00" w:type="dxa"/>
            <w:vAlign w:val="bottom"/>
            <w:gridSpan w:val="2"/>
          </w:tcPr>
          <w:p>
            <w:pPr>
              <w:jc w:val="right"/>
              <w:spacing w:after="0" w:line="247" w:lineRule="exact"/>
              <w:rPr>
                <w:sz w:val="20"/>
                <w:szCs w:val="20"/>
                <w:color w:val="auto"/>
              </w:rPr>
            </w:pPr>
            <w:r>
              <w:rPr>
                <w:rFonts w:ascii="Arial" w:cs="Arial" w:eastAsia="Arial" w:hAnsi="Arial"/>
                <w:sz w:val="15"/>
                <w:szCs w:val="15"/>
                <w:color w:val="auto"/>
              </w:rPr>
              <w:t>(15.33</w:t>
            </w:r>
            <w:r>
              <w:rPr>
                <w:rFonts w:ascii="Arial" w:cs="Arial" w:eastAsia="Arial" w:hAnsi="Arial"/>
                <w:sz w:val="28"/>
                <w:szCs w:val="28"/>
                <w:color w:val="auto"/>
                <w:vertAlign w:val="superscript"/>
              </w:rPr>
              <w:t>)</w:t>
            </w:r>
          </w:p>
        </w:tc>
        <w:tc>
          <w:tcPr>
            <w:tcW w:w="1040" w:type="dxa"/>
            <w:vAlign w:val="bottom"/>
            <w:gridSpan w:val="3"/>
          </w:tcPr>
          <w:p>
            <w:pPr>
              <w:jc w:val="right"/>
              <w:ind w:right="20"/>
              <w:spacing w:after="0" w:line="247" w:lineRule="exact"/>
              <w:rPr>
                <w:sz w:val="20"/>
                <w:szCs w:val="20"/>
                <w:color w:val="auto"/>
              </w:rPr>
            </w:pPr>
            <w:r>
              <w:rPr>
                <w:rFonts w:ascii="Arial" w:cs="Arial" w:eastAsia="Arial" w:hAnsi="Arial"/>
                <w:sz w:val="15"/>
                <w:szCs w:val="15"/>
                <w:color w:val="auto"/>
              </w:rPr>
              <w:t>(397.33</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60" w:type="dxa"/>
            <w:vAlign w:val="bottom"/>
            <w:gridSpan w:val="4"/>
          </w:tcPr>
          <w:p>
            <w:pPr>
              <w:jc w:val="right"/>
              <w:spacing w:after="0" w:line="247" w:lineRule="exact"/>
              <w:rPr>
                <w:sz w:val="20"/>
                <w:szCs w:val="20"/>
                <w:color w:val="auto"/>
              </w:rPr>
            </w:pPr>
            <w:r>
              <w:rPr>
                <w:rFonts w:ascii="Arial" w:cs="Arial" w:eastAsia="Arial" w:hAnsi="Arial"/>
                <w:sz w:val="15"/>
                <w:szCs w:val="15"/>
                <w:color w:val="auto"/>
              </w:rPr>
              <w:t>(429.98</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80" w:type="dxa"/>
            <w:vAlign w:val="bottom"/>
            <w:gridSpan w:val="3"/>
          </w:tcPr>
          <w:p>
            <w:pPr>
              <w:jc w:val="right"/>
              <w:spacing w:after="0" w:line="247" w:lineRule="exact"/>
              <w:rPr>
                <w:sz w:val="20"/>
                <w:szCs w:val="20"/>
                <w:color w:val="auto"/>
              </w:rPr>
            </w:pPr>
            <w:r>
              <w:rPr>
                <w:rFonts w:ascii="Arial" w:cs="Arial" w:eastAsia="Arial" w:hAnsi="Arial"/>
                <w:sz w:val="15"/>
                <w:szCs w:val="15"/>
                <w:color w:val="auto"/>
              </w:rPr>
              <w:t>(57.21</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7.05</w:t>
            </w:r>
          </w:p>
        </w:tc>
        <w:tc>
          <w:tcPr>
            <w:tcW w:w="1040" w:type="dxa"/>
            <w:vAlign w:val="bottom"/>
            <w:gridSpan w:val="3"/>
          </w:tcPr>
          <w:p>
            <w:pPr>
              <w:jc w:val="right"/>
              <w:ind w:right="20"/>
              <w:spacing w:after="0" w:line="247" w:lineRule="exact"/>
              <w:rPr>
                <w:sz w:val="20"/>
                <w:szCs w:val="20"/>
                <w:color w:val="auto"/>
              </w:rPr>
            </w:pPr>
            <w:r>
              <w:rPr>
                <w:rFonts w:ascii="Arial" w:cs="Arial" w:eastAsia="Arial" w:hAnsi="Arial"/>
                <w:sz w:val="15"/>
                <w:szCs w:val="15"/>
                <w:color w:val="auto"/>
              </w:rPr>
              <w:t>(952.94</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20" w:type="dxa"/>
            <w:vAlign w:val="bottom"/>
            <w:gridSpan w:val="2"/>
          </w:tcPr>
          <w:p>
            <w:pPr>
              <w:jc w:val="right"/>
              <w:spacing w:after="0" w:line="247" w:lineRule="exact"/>
              <w:rPr>
                <w:sz w:val="20"/>
                <w:szCs w:val="20"/>
                <w:color w:val="auto"/>
              </w:rPr>
            </w:pPr>
            <w:r>
              <w:rPr>
                <w:rFonts w:ascii="Arial" w:cs="Arial" w:eastAsia="Arial" w:hAnsi="Arial"/>
                <w:sz w:val="15"/>
                <w:szCs w:val="15"/>
                <w:color w:val="auto"/>
              </w:rPr>
              <w:t>(1,003.10</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5"/>
                <w:szCs w:val="15"/>
                <w:color w:val="auto"/>
              </w:rPr>
              <w:t>Weighted-average common shares outstanding – </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(1)</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2,670,501</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line="247" w:lineRule="exact"/>
              <w:rPr>
                <w:sz w:val="20"/>
                <w:szCs w:val="20"/>
                <w:color w:val="auto"/>
              </w:rPr>
            </w:pPr>
            <w:r>
              <w:rPr>
                <w:rFonts w:ascii="Arial" w:cs="Arial" w:eastAsia="Arial" w:hAnsi="Arial"/>
                <w:sz w:val="15"/>
                <w:szCs w:val="15"/>
                <w:color w:val="auto"/>
              </w:rPr>
              <w:t>(2,536,975</w:t>
            </w:r>
            <w:r>
              <w:rPr>
                <w:rFonts w:ascii="Arial" w:cs="Arial" w:eastAsia="Arial" w:hAnsi="Arial"/>
                <w:sz w:val="28"/>
                <w:szCs w:val="28"/>
                <w:color w:val="auto"/>
                <w:vertAlign w:val="superscript"/>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2,596,649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line="247" w:lineRule="exact"/>
              <w:rPr>
                <w:sz w:val="20"/>
                <w:szCs w:val="20"/>
                <w:color w:val="auto"/>
              </w:rPr>
            </w:pPr>
            <w:r>
              <w:rPr>
                <w:rFonts w:ascii="Arial" w:cs="Arial" w:eastAsia="Arial" w:hAnsi="Arial"/>
                <w:sz w:val="15"/>
                <w:szCs w:val="15"/>
                <w:color w:val="auto"/>
              </w:rPr>
              <w:t>(2,466,817</w:t>
            </w:r>
            <w:r>
              <w:rPr>
                <w:rFonts w:ascii="Arial" w:cs="Arial" w:eastAsia="Arial" w:hAnsi="Arial"/>
                <w:sz w:val="28"/>
                <w:szCs w:val="28"/>
                <w:color w:val="auto"/>
                <w:vertAlign w:val="superscript"/>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w w:val="94"/>
              </w:rPr>
              <w:t>26</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29" w:name="page30"/>
    <w:bookmarkEnd w:id="29"/>
    <w:p>
      <w:pPr>
        <w:ind w:left="300"/>
        <w:spacing w:after="0"/>
        <w:rPr>
          <w:sz w:val="20"/>
          <w:szCs w:val="20"/>
          <w:color w:val="auto"/>
        </w:rPr>
      </w:pPr>
      <w:r>
        <w:rPr>
          <w:rFonts w:ascii="Arial" w:cs="Arial" w:eastAsia="Arial" w:hAnsi="Arial"/>
          <w:sz w:val="15"/>
          <w:szCs w:val="15"/>
          <w:color w:val="auto"/>
        </w:rPr>
        <w:t>The following is a summary of the impact of the restatement and reclassifications on the Company’s condensed consolidated statement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gridSpan w:val="8"/>
          </w:tcPr>
          <w:p>
            <w:pPr>
              <w:jc w:val="center"/>
              <w:ind w:right="143"/>
              <w:spacing w:after="0"/>
              <w:rPr>
                <w:sz w:val="20"/>
                <w:szCs w:val="20"/>
                <w:color w:val="auto"/>
              </w:rPr>
            </w:pPr>
            <w:r>
              <w:rPr>
                <w:rFonts w:ascii="Arial" w:cs="Arial" w:eastAsia="Arial" w:hAnsi="Arial"/>
                <w:sz w:val="17"/>
                <w:szCs w:val="17"/>
                <w:b w:val="1"/>
                <w:bCs w:val="1"/>
                <w:color w:val="auto"/>
                <w:w w:val="87"/>
              </w:rPr>
              <w:t>Nine Months ended 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63"/>
              <w:spacing w:after="0"/>
              <w:rPr>
                <w:sz w:val="20"/>
                <w:szCs w:val="20"/>
                <w:color w:val="auto"/>
              </w:rPr>
            </w:pPr>
            <w:r>
              <w:rPr>
                <w:rFonts w:ascii="Arial" w:cs="Arial" w:eastAsia="Arial" w:hAnsi="Arial"/>
                <w:sz w:val="17"/>
                <w:szCs w:val="17"/>
                <w:b w:val="1"/>
                <w:bCs w:val="1"/>
                <w:color w:val="auto"/>
                <w:w w:val="89"/>
              </w:rPr>
              <w:t>Adjustment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43"/>
              <w:spacing w:after="0" w:line="194" w:lineRule="exact"/>
              <w:rPr>
                <w:sz w:val="20"/>
                <w:szCs w:val="20"/>
                <w:color w:val="auto"/>
              </w:rPr>
            </w:pPr>
            <w:r>
              <w:rPr>
                <w:rFonts w:ascii="Arial" w:cs="Arial" w:eastAsia="Arial" w:hAnsi="Arial"/>
                <w:sz w:val="17"/>
                <w:szCs w:val="17"/>
                <w:b w:val="1"/>
                <w:bCs w:val="1"/>
                <w:color w:val="auto"/>
                <w:w w:val="90"/>
              </w:rPr>
              <w:t>Previously</w:t>
            </w: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83"/>
              <w:spacing w:after="0"/>
              <w:rPr>
                <w:sz w:val="20"/>
                <w:szCs w:val="20"/>
                <w:color w:val="auto"/>
              </w:rPr>
            </w:pPr>
            <w:r>
              <w:rPr>
                <w:rFonts w:ascii="Arial" w:cs="Arial" w:eastAsia="Arial" w:hAnsi="Arial"/>
                <w:sz w:val="17"/>
                <w:szCs w:val="17"/>
                <w:b w:val="1"/>
                <w:bCs w:val="1"/>
                <w:color w:val="auto"/>
                <w:w w:val="99"/>
              </w:rPr>
              <w:t>Reported</w:t>
            </w:r>
          </w:p>
        </w:tc>
        <w:tc>
          <w:tcPr>
            <w:tcW w:w="1260" w:type="dxa"/>
            <w:vAlign w:val="bottom"/>
            <w:gridSpan w:val="2"/>
          </w:tcPr>
          <w:p>
            <w:pPr>
              <w:jc w:val="center"/>
              <w:ind w:right="63"/>
              <w:spacing w:after="0"/>
              <w:rPr>
                <w:sz w:val="20"/>
                <w:szCs w:val="20"/>
                <w:color w:val="auto"/>
              </w:rPr>
            </w:pPr>
            <w:r>
              <w:rPr>
                <w:rFonts w:ascii="Arial" w:cs="Arial" w:eastAsia="Arial" w:hAnsi="Arial"/>
                <w:sz w:val="17"/>
                <w:szCs w:val="17"/>
                <w:b w:val="1"/>
                <w:bCs w:val="1"/>
                <w:color w:val="auto"/>
                <w:w w:val="92"/>
              </w:rPr>
              <w:t>Warrants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3"/>
              <w:spacing w:after="0"/>
              <w:rPr>
                <w:sz w:val="20"/>
                <w:szCs w:val="20"/>
                <w:color w:val="auto"/>
              </w:rPr>
            </w:pPr>
            <w:r>
              <w:rPr>
                <w:rFonts w:ascii="Arial" w:cs="Arial" w:eastAsia="Arial" w:hAnsi="Arial"/>
                <w:sz w:val="17"/>
                <w:szCs w:val="17"/>
                <w:b w:val="1"/>
                <w:bCs w:val="1"/>
                <w:color w:val="auto"/>
                <w:w w:val="94"/>
              </w:rPr>
              <w:t>Restated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 attributable to Agrify Corporation</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(148,551)</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w w:val="89"/>
              </w:rPr>
              <w:t>Adjustments to reconcile net loss attributable to Agrify Corporation to net cash used in operating activities: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2,602</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2,602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Impairment on goodwill and intangible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69,904</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69,904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on extinguishment of notes payable,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14,933</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24,052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38,985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Change in fair value of Warrant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(5,686)</w:t>
            </w:r>
          </w:p>
        </w:tc>
        <w:tc>
          <w:tcPr>
            <w:tcW w:w="1260" w:type="dxa"/>
            <w:vAlign w:val="bottom"/>
            <w:gridSpan w:val="2"/>
          </w:tcPr>
          <w:p>
            <w:pPr>
              <w:jc w:val="right"/>
              <w:ind w:right="3"/>
              <w:spacing w:after="0"/>
              <w:rPr>
                <w:sz w:val="20"/>
                <w:szCs w:val="20"/>
                <w:color w:val="auto"/>
              </w:rPr>
            </w:pPr>
            <w:r>
              <w:rPr>
                <w:rFonts w:ascii="Arial" w:cs="Arial" w:eastAsia="Arial" w:hAnsi="Arial"/>
                <w:sz w:val="17"/>
                <w:szCs w:val="17"/>
                <w:color w:val="auto"/>
              </w:rPr>
              <w:t>(41,548)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(47,234)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premium on investment securities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606</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Amortization of debt discount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1,990</w:t>
            </w:r>
          </w:p>
        </w:tc>
        <w:tc>
          <w:tcPr>
            <w:tcW w:w="1120" w:type="dxa"/>
            <w:vAlign w:val="bottom"/>
          </w:tcPr>
          <w:p>
            <w:pPr>
              <w:jc w:val="right"/>
              <w:spacing w:after="0"/>
              <w:rPr>
                <w:sz w:val="20"/>
                <w:szCs w:val="20"/>
                <w:color w:val="auto"/>
              </w:rPr>
            </w:pPr>
            <w:r>
              <w:rPr>
                <w:rFonts w:ascii="Arial" w:cs="Arial" w:eastAsia="Arial" w:hAnsi="Arial"/>
                <w:sz w:val="17"/>
                <w:szCs w:val="17"/>
                <w:color w:val="auto"/>
              </w:rPr>
              <w:t>2,205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4,195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on investment securities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(759)</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Provision for doubtful accounts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23,708</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23,708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slow-moving inventory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967</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Debt issuance costs paid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(665)</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665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issuance costs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389</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(262)</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and refundable taxes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Compensation in connection with the issuance of stock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3,538</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Issuance of common shares in connection with acquisition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Non-cash interest (income)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(1,522)</w:t>
            </w:r>
          </w:p>
        </w:tc>
        <w:tc>
          <w:tcPr>
            <w:tcW w:w="1260" w:type="dxa"/>
            <w:vAlign w:val="bottom"/>
            <w:gridSpan w:val="2"/>
          </w:tcPr>
          <w:p>
            <w:pPr>
              <w:jc w:val="right"/>
              <w:ind w:right="3"/>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from disposal of fixed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6</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Change in fair value of contingent consideration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(1,509)</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(loss) attributable to 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5</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Changes in operating assets and liabilities, net of acquisitions: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1,217</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Inventory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(20,129)</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(20,129)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(2,760)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Prepaid and refundable taxes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(10)</w:t>
            </w: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Right-of-use assets,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55</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Other non-current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(1,275)</w:t>
            </w:r>
          </w:p>
        </w:tc>
        <w:tc>
          <w:tcPr>
            <w:tcW w:w="1120" w:type="dxa"/>
            <w:vAlign w:val="bottom"/>
          </w:tcPr>
          <w:p>
            <w:pPr>
              <w:jc w:val="right"/>
              <w:spacing w:after="0"/>
              <w:rPr>
                <w:sz w:val="20"/>
                <w:szCs w:val="20"/>
                <w:color w:val="auto"/>
              </w:rPr>
            </w:pPr>
            <w:r>
              <w:rPr>
                <w:rFonts w:ascii="Arial" w:cs="Arial" w:eastAsia="Arial" w:hAnsi="Arial"/>
                <w:sz w:val="17"/>
                <w:szCs w:val="17"/>
                <w:color w:val="auto"/>
              </w:rPr>
              <w:t>1,265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378</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(8,128)</w:t>
            </w:r>
          </w:p>
        </w:tc>
        <w:tc>
          <w:tcPr>
            <w:tcW w:w="1260" w:type="dxa"/>
            <w:vAlign w:val="bottom"/>
            <w:gridSpan w:val="2"/>
          </w:tcPr>
          <w:p>
            <w:pPr>
              <w:jc w:val="right"/>
              <w:ind w:right="3"/>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(expense) revenue, net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4,843</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(596)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4,247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tcPr>
          <w:p>
            <w:pPr>
              <w:ind w:left="280"/>
              <w:spacing w:after="0" w:line="184" w:lineRule="exact"/>
              <w:rPr>
                <w:sz w:val="20"/>
                <w:szCs w:val="20"/>
                <w:color w:val="auto"/>
              </w:rPr>
            </w:pPr>
            <w:r>
              <w:rPr>
                <w:rFonts w:ascii="Arial" w:cs="Arial" w:eastAsia="Arial" w:hAnsi="Arial"/>
                <w:sz w:val="17"/>
                <w:szCs w:val="17"/>
                <w:color w:val="auto"/>
              </w:rPr>
              <w:t>Net cash used in operating activities</w:t>
            </w:r>
          </w:p>
        </w:tc>
        <w:tc>
          <w:tcPr>
            <w:tcW w:w="12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(66,115</w:t>
            </w:r>
          </w:p>
        </w:tc>
        <w:tc>
          <w:tcPr>
            <w:tcW w:w="220" w:type="dxa"/>
            <w:vAlign w:val="bottom"/>
            <w:tcBorders>
              <w:top w:val="single" w:sz="8" w:color="CCEEFF"/>
              <w:bottom w:val="single" w:sz="8" w:color="CCEEFF"/>
            </w:tcBorders>
          </w:tcPr>
          <w:p>
            <w:pPr>
              <w:jc w:val="right"/>
              <w:ind w:right="83"/>
              <w:spacing w:after="0"/>
              <w:rPr>
                <w:sz w:val="20"/>
                <w:szCs w:val="20"/>
                <w:color w:val="auto"/>
              </w:rPr>
            </w:pPr>
            <w:r>
              <w:rPr>
                <w:rFonts w:ascii="Arial" w:cs="Arial" w:eastAsia="Arial" w:hAnsi="Arial"/>
                <w:sz w:val="15"/>
                <w:szCs w:val="15"/>
                <w:color w:val="auto"/>
                <w:w w:val="79"/>
              </w:rPr>
              <w:t>)</w:t>
            </w:r>
          </w:p>
        </w:tc>
        <w:tc>
          <w:tcPr>
            <w:tcW w:w="11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8,095</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(58,020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(8,002)</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Purchase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(283,271)</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(283,271)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the sale of securities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317,593</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317,593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Issuance of loan receivable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(26,942)</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business combination, net of cash acquired</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(3,513)</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tcPr>
          <w:p>
            <w:pPr>
              <w:ind w:left="280"/>
              <w:spacing w:after="0" w:line="184" w:lineRule="exact"/>
              <w:rPr>
                <w:sz w:val="20"/>
                <w:szCs w:val="20"/>
                <w:color w:val="auto"/>
              </w:rPr>
            </w:pPr>
            <w:r>
              <w:rPr>
                <w:rFonts w:ascii="Arial" w:cs="Arial" w:eastAsia="Arial" w:hAnsi="Arial"/>
                <w:sz w:val="17"/>
                <w:szCs w:val="17"/>
                <w:color w:val="auto"/>
              </w:rPr>
              <w:t>Net cash used in investing activities</w:t>
            </w:r>
          </w:p>
        </w:tc>
        <w:tc>
          <w:tcPr>
            <w:tcW w:w="12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(4,135</w:t>
            </w:r>
          </w:p>
        </w:tc>
        <w:tc>
          <w:tcPr>
            <w:tcW w:w="220" w:type="dxa"/>
            <w:vAlign w:val="bottom"/>
            <w:tcBorders>
              <w:top w:val="single" w:sz="8" w:color="CCEEFF"/>
              <w:bottom w:val="single" w:sz="8" w:color="CCEEFF"/>
            </w:tcBorders>
          </w:tcPr>
          <w:p>
            <w:pPr>
              <w:jc w:val="right"/>
              <w:ind w:right="83"/>
              <w:spacing w:after="0"/>
              <w:rPr>
                <w:sz w:val="20"/>
                <w:szCs w:val="20"/>
                <w:color w:val="auto"/>
              </w:rPr>
            </w:pPr>
            <w:r>
              <w:rPr>
                <w:rFonts w:ascii="Arial" w:cs="Arial" w:eastAsia="Arial" w:hAnsi="Arial"/>
                <w:sz w:val="15"/>
                <w:szCs w:val="15"/>
                <w:color w:val="auto"/>
                <w:w w:val="79"/>
              </w:rPr>
              <w:t>)</w:t>
            </w:r>
          </w:p>
        </w:tc>
        <w:tc>
          <w:tcPr>
            <w:tcW w:w="11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(4,135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debt and warrants in private placement,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65,000</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(3,109)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61,891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Proceeds from issuance of Common Stock and warrants in private placement, net of fees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25,770</w:t>
            </w:r>
          </w:p>
        </w:tc>
        <w:tc>
          <w:tcPr>
            <w:tcW w:w="112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25,797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IPO, net of fees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Proceeds from Secondary public offering, net of fees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exercise of options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19</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Proceeds from exercise of warrants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2</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Short-term loan payable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2,522</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(2,522)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Repayments of debt in private placement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(30,000)</w:t>
            </w:r>
          </w:p>
        </w:tc>
        <w:tc>
          <w:tcPr>
            <w:tcW w:w="1260" w:type="dxa"/>
            <w:vAlign w:val="bottom"/>
            <w:gridSpan w:val="2"/>
          </w:tcPr>
          <w:p>
            <w:pPr>
              <w:jc w:val="right"/>
              <w:ind w:right="3"/>
              <w:spacing w:after="0"/>
              <w:rPr>
                <w:sz w:val="20"/>
                <w:szCs w:val="20"/>
                <w:color w:val="auto"/>
              </w:rPr>
            </w:pPr>
            <w:r>
              <w:rPr>
                <w:rFonts w:ascii="Arial" w:cs="Arial" w:eastAsia="Arial" w:hAnsi="Arial"/>
                <w:sz w:val="17"/>
                <w:szCs w:val="17"/>
                <w:color w:val="auto"/>
              </w:rPr>
              <w:t>(3,170)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(33,170)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Repayments of notes payable, 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(2,685)</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Payments on insurance financing loans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
              <w:spacing w:after="0"/>
              <w:rPr>
                <w:sz w:val="20"/>
                <w:szCs w:val="20"/>
                <w:color w:val="auto"/>
              </w:rPr>
            </w:pPr>
            <w:r>
              <w:rPr>
                <w:rFonts w:ascii="Arial" w:cs="Arial" w:eastAsia="Arial" w:hAnsi="Arial"/>
                <w:sz w:val="17"/>
                <w:szCs w:val="17"/>
                <w:color w:val="auto"/>
              </w:rPr>
              <w:t>(1,714)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Payments on other financing loans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Payments of financing leases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83"/>
              <w:spacing w:after="0"/>
              <w:rPr>
                <w:sz w:val="20"/>
                <w:szCs w:val="20"/>
                <w:color w:val="auto"/>
              </w:rPr>
            </w:pPr>
            <w:r>
              <w:rPr>
                <w:rFonts w:ascii="Arial" w:cs="Arial" w:eastAsia="Arial" w:hAnsi="Arial"/>
                <w:sz w:val="17"/>
                <w:szCs w:val="17"/>
                <w:color w:val="auto"/>
              </w:rPr>
              <w:t>(241)</w:t>
            </w:r>
          </w:p>
        </w:tc>
        <w:tc>
          <w:tcPr>
            <w:tcW w:w="126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 from reverse stock split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tcPr>
          <w:p>
            <w:pPr>
              <w:ind w:left="280"/>
              <w:spacing w:after="0" w:line="184" w:lineRule="exact"/>
              <w:rPr>
                <w:sz w:val="20"/>
                <w:szCs w:val="20"/>
                <w:color w:val="auto"/>
              </w:rPr>
            </w:pPr>
            <w:r>
              <w:rPr>
                <w:rFonts w:ascii="Arial" w:cs="Arial" w:eastAsia="Arial" w:hAnsi="Arial"/>
                <w:sz w:val="17"/>
                <w:szCs w:val="17"/>
                <w:color w:val="auto"/>
              </w:rPr>
              <w:t>Net cash provided by financing activities</w:t>
            </w:r>
          </w:p>
        </w:tc>
        <w:tc>
          <w:tcPr>
            <w:tcW w:w="12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60,387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(8,095</w:t>
            </w:r>
          </w:p>
        </w:tc>
        <w:tc>
          <w:tcPr>
            <w:tcW w:w="140" w:type="dxa"/>
            <w:vAlign w:val="bottom"/>
            <w:tcBorders>
              <w:top w:val="single" w:sz="8" w:color="CCEEFF"/>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52,292</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Cash and cash equivalents at the beginning of period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12,014</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and cash equivalents at the end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2,151</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80"/>
              <w:spacing w:after="0"/>
              <w:rPr>
                <w:sz w:val="20"/>
                <w:szCs w:val="20"/>
                <w:color w:val="auto"/>
              </w:rPr>
            </w:pPr>
            <w:r>
              <w:rPr>
                <w:rFonts w:ascii="Arial" w:cs="Arial" w:eastAsia="Arial" w:hAnsi="Arial"/>
                <w:sz w:val="17"/>
                <w:szCs w:val="17"/>
                <w:color w:val="auto"/>
              </w:rPr>
              <w:t>Restricted cash and restricted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10,000</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Borders>
              <w:top w:val="single" w:sz="8" w:color="CCEEFF"/>
            </w:tcBorders>
            <w:shd w:val="clear" w:color="auto" w:fill="CCEEFF"/>
          </w:tcPr>
          <w:p>
            <w:pPr>
              <w:ind w:left="420"/>
              <w:spacing w:after="0" w:line="174" w:lineRule="exact"/>
              <w:rPr>
                <w:sz w:val="20"/>
                <w:szCs w:val="20"/>
                <w:color w:val="auto"/>
              </w:rPr>
            </w:pPr>
            <w:r>
              <w:rPr>
                <w:rFonts w:ascii="Arial" w:cs="Arial" w:eastAsia="Arial" w:hAnsi="Arial"/>
                <w:sz w:val="17"/>
                <w:szCs w:val="17"/>
                <w:color w:val="auto"/>
                <w:w w:val="91"/>
              </w:rPr>
              <w:t>Total cash, cash equivalents, and restricted cash and restricted marketable securities at the end of</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period</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of non-cash information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Initial fair value of warrants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50,705</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50,705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7"/>
                <w:szCs w:val="17"/>
                <w:color w:val="auto"/>
              </w:rPr>
              <w:t>Financing of prepaid 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1,928</w:t>
            </w:r>
          </w:p>
        </w:tc>
        <w:tc>
          <w:tcPr>
            <w:tcW w:w="140" w:type="dxa"/>
            <w:vAlign w:val="bottom"/>
          </w:tcPr>
          <w:p>
            <w:pPr>
              <w:spacing w:after="0"/>
              <w:rPr>
                <w:sz w:val="18"/>
                <w:szCs w:val="18"/>
                <w:color w:val="auto"/>
              </w:rPr>
            </w:pPr>
          </w:p>
        </w:tc>
        <w:tc>
          <w:tcPr>
            <w:tcW w:w="24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3"/>
              <w:spacing w:after="0"/>
              <w:rPr>
                <w:sz w:val="20"/>
                <w:szCs w:val="20"/>
                <w:color w:val="auto"/>
              </w:rPr>
            </w:pPr>
            <w:r>
              <w:rPr>
                <w:rFonts w:ascii="Arial" w:cs="Arial" w:eastAsia="Arial" w:hAnsi="Arial"/>
                <w:sz w:val="17"/>
                <w:szCs w:val="17"/>
                <w:color w:val="auto"/>
              </w:rPr>
              <w:t>1,928</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180" w:type="dxa"/>
            <w:vAlign w:val="bottom"/>
            <w:tcBorders>
              <w:bottom w:val="single" w:sz="8" w:color="auto"/>
            </w:tcBorders>
          </w:tcPr>
          <w:p>
            <w:pPr>
              <w:ind w:left="5520"/>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5" w:right="339" w:bottom="159" w:gutter="0" w:footer="0" w:header="0"/>
        </w:sectPr>
      </w:pPr>
    </w:p>
    <w:bookmarkStart w:id="30" w:name="page31"/>
    <w:bookmarkEnd w:id="30"/>
    <w:p>
      <w:pPr>
        <w:ind w:right="1000" w:firstLine="298"/>
        <w:spacing w:after="0" w:line="260" w:lineRule="auto"/>
        <w:rPr>
          <w:sz w:val="20"/>
          <w:szCs w:val="20"/>
          <w:color w:val="auto"/>
        </w:rPr>
      </w:pPr>
      <w:r>
        <w:rPr>
          <w:rFonts w:ascii="Arial" w:cs="Arial" w:eastAsia="Arial" w:hAnsi="Arial"/>
          <w:sz w:val="17"/>
          <w:szCs w:val="17"/>
          <w:color w:val="auto"/>
        </w:rPr>
        <w:t>The following is a summary of the impact of the restatement and reclassifications on the Company’s condensed consolidated statement of stockholders’ equity/deficit as of September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0"/>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7"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1"/>
                <w:szCs w:val="11"/>
                <w:color w:val="auto"/>
              </w:rPr>
            </w:pPr>
          </w:p>
        </w:tc>
        <w:tc>
          <w:tcPr>
            <w:tcW w:w="840" w:type="dxa"/>
            <w:vAlign w:val="bottom"/>
            <w:gridSpan w:val="3"/>
          </w:tcPr>
          <w:p>
            <w:pPr>
              <w:spacing w:after="0" w:line="137" w:lineRule="exact"/>
              <w:rPr>
                <w:sz w:val="20"/>
                <w:szCs w:val="20"/>
                <w:color w:val="auto"/>
              </w:rPr>
            </w:pPr>
            <w:r>
              <w:rPr>
                <w:rFonts w:ascii="Arial" w:cs="Arial" w:eastAsia="Arial" w:hAnsi="Arial"/>
                <w:sz w:val="13"/>
                <w:szCs w:val="13"/>
                <w:b w:val="1"/>
                <w:bCs w:val="1"/>
                <w:color w:val="auto"/>
                <w:w w:val="95"/>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4"/>
              </w:rPr>
              <w:t>Non-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1"/>
                <w:szCs w:val="11"/>
                <w:color w:val="auto"/>
              </w:rPr>
            </w:pPr>
          </w:p>
        </w:tc>
        <w:tc>
          <w:tcPr>
            <w:tcW w:w="700" w:type="dxa"/>
            <w:vAlign w:val="bottom"/>
            <w:gridSpan w:val="3"/>
          </w:tcPr>
          <w:p>
            <w:pPr>
              <w:ind w:left="20"/>
              <w:spacing w:after="0" w:line="137" w:lineRule="exact"/>
              <w:rPr>
                <w:sz w:val="20"/>
                <w:szCs w:val="20"/>
                <w:color w:val="auto"/>
              </w:rPr>
            </w:pPr>
            <w:r>
              <w:rPr>
                <w:rFonts w:ascii="Arial" w:cs="Arial" w:eastAsia="Arial" w:hAnsi="Arial"/>
                <w:sz w:val="13"/>
                <w:szCs w:val="13"/>
                <w:b w:val="1"/>
                <w:bCs w:val="1"/>
                <w:color w:val="auto"/>
              </w:rPr>
              <w:t>Additional</w:t>
            </w:r>
          </w:p>
        </w:tc>
        <w:tc>
          <w:tcPr>
            <w:tcW w:w="840" w:type="dxa"/>
            <w:vAlign w:val="bottom"/>
            <w:gridSpan w:val="3"/>
          </w:tcPr>
          <w:p>
            <w:pPr>
              <w:spacing w:after="0" w:line="137"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60"/>
              <w:spacing w:after="0" w:line="137" w:lineRule="exact"/>
              <w:rPr>
                <w:sz w:val="20"/>
                <w:szCs w:val="20"/>
                <w:color w:val="auto"/>
              </w:rPr>
            </w:pPr>
            <w:r>
              <w:rPr>
                <w:rFonts w:ascii="Arial" w:cs="Arial" w:eastAsia="Arial" w:hAnsi="Arial"/>
                <w:sz w:val="13"/>
                <w:szCs w:val="13"/>
                <w:b w:val="1"/>
                <w:bCs w:val="1"/>
                <w:color w:val="auto"/>
                <w:w w:val="95"/>
              </w:rPr>
              <w:t>attributable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1"/>
                <w:szCs w:val="11"/>
                <w:color w:val="auto"/>
              </w:rPr>
            </w:pPr>
          </w:p>
        </w:tc>
        <w:tc>
          <w:tcPr>
            <w:tcW w:w="700" w:type="dxa"/>
            <w:vAlign w:val="bottom"/>
            <w:gridSpan w:val="3"/>
          </w:tcPr>
          <w:p>
            <w:pPr>
              <w:spacing w:after="0" w:line="137" w:lineRule="exact"/>
              <w:rPr>
                <w:sz w:val="20"/>
                <w:szCs w:val="20"/>
                <w:color w:val="auto"/>
              </w:rPr>
            </w:pPr>
            <w:r>
              <w:rPr>
                <w:rFonts w:ascii="Arial" w:cs="Arial" w:eastAsia="Arial" w:hAnsi="Arial"/>
                <w:sz w:val="13"/>
                <w:szCs w:val="13"/>
                <w:b w:val="1"/>
                <w:bCs w:val="1"/>
                <w:color w:val="auto"/>
                <w:w w:val="98"/>
              </w:rPr>
              <w:t>Controlling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4"/>
              </w:rPr>
              <w:t>Non-</w:t>
            </w:r>
          </w:p>
        </w:tc>
        <w:tc>
          <w:tcPr>
            <w:tcW w:w="88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88"/>
              </w:rPr>
              <w:t>Stockholders’</w:t>
            </w: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center"/>
              <w:ind w:left="34"/>
              <w:spacing w:after="0" w:line="137" w:lineRule="exact"/>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6"/>
              </w:rPr>
              <w:t>Capital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7" w:lineRule="exact"/>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7" w:lineRule="exact"/>
              <w:rPr>
                <w:sz w:val="20"/>
                <w:szCs w:val="20"/>
                <w:color w:val="auto"/>
              </w:rPr>
            </w:pPr>
            <w:r>
              <w:rPr>
                <w:rFonts w:ascii="Arial" w:cs="Arial" w:eastAsia="Arial" w:hAnsi="Arial"/>
                <w:sz w:val="13"/>
                <w:szCs w:val="13"/>
                <w:b w:val="1"/>
                <w:bCs w:val="1"/>
                <w:color w:val="auto"/>
                <w:w w:val="95"/>
              </w:rPr>
              <w:t>Deficit</w:t>
            </w:r>
          </w:p>
        </w:tc>
        <w:tc>
          <w:tcPr>
            <w:tcW w:w="84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3"/>
              </w:rPr>
              <w:t>to Agrify</w:t>
            </w:r>
          </w:p>
        </w:tc>
        <w:tc>
          <w:tcPr>
            <w:tcW w:w="20" w:type="dxa"/>
            <w:vAlign w:val="bottom"/>
          </w:tcPr>
          <w:p>
            <w:pPr>
              <w:spacing w:after="0"/>
              <w:rPr>
                <w:sz w:val="11"/>
                <w:szCs w:val="11"/>
                <w:color w:val="auto"/>
              </w:rPr>
            </w:pPr>
          </w:p>
        </w:tc>
        <w:tc>
          <w:tcPr>
            <w:tcW w:w="84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5"/>
              </w:rPr>
              <w:t>attributable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88"/>
              </w:rPr>
              <w:t>Interests</w:t>
            </w:r>
          </w:p>
        </w:tc>
        <w:tc>
          <w:tcPr>
            <w:tcW w:w="40" w:type="dxa"/>
            <w:vAlign w:val="bottom"/>
          </w:tcPr>
          <w:p>
            <w:pPr>
              <w:spacing w:after="0"/>
              <w:rPr>
                <w:sz w:val="11"/>
                <w:szCs w:val="11"/>
                <w:color w:val="auto"/>
              </w:rPr>
            </w:pPr>
          </w:p>
        </w:tc>
        <w:tc>
          <w:tcPr>
            <w:tcW w:w="740" w:type="dxa"/>
            <w:vAlign w:val="bottom"/>
            <w:gridSpan w:val="3"/>
          </w:tcPr>
          <w:p>
            <w:pPr>
              <w:ind w:left="20"/>
              <w:spacing w:after="0" w:line="137" w:lineRule="exact"/>
              <w:rPr>
                <w:sz w:val="20"/>
                <w:szCs w:val="20"/>
                <w:color w:val="auto"/>
              </w:rPr>
            </w:pPr>
            <w:r>
              <w:rPr>
                <w:rFonts w:ascii="Arial" w:cs="Arial" w:eastAsia="Arial" w:hAnsi="Arial"/>
                <w:sz w:val="13"/>
                <w:szCs w:val="13"/>
                <w:b w:val="1"/>
                <w:bCs w:val="1"/>
                <w:color w:val="auto"/>
              </w:rPr>
              <w:t>Controlling</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rPr>
              <w:t>Equity</w:t>
            </w:r>
          </w:p>
        </w:tc>
        <w:tc>
          <w:tcPr>
            <w:tcW w:w="820" w:type="dxa"/>
            <w:vAlign w:val="bottom"/>
            <w:gridSpan w:val="3"/>
          </w:tcPr>
          <w:p>
            <w:pPr>
              <w:spacing w:after="0" w:line="137" w:lineRule="exact"/>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center"/>
              <w:ind w:left="34"/>
              <w:spacing w:after="0" w:line="137" w:lineRule="exact"/>
              <w:rPr>
                <w:sz w:val="20"/>
                <w:szCs w:val="20"/>
                <w:color w:val="auto"/>
              </w:rPr>
            </w:pPr>
            <w:r>
              <w:rPr>
                <w:rFonts w:ascii="Arial" w:cs="Arial" w:eastAsia="Arial" w:hAnsi="Arial"/>
                <w:sz w:val="13"/>
                <w:szCs w:val="13"/>
                <w:b w:val="1"/>
                <w:bCs w:val="1"/>
                <w:color w:val="auto"/>
                <w:w w:val="91"/>
              </w:rPr>
              <w:t>(Previously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jc w:val="center"/>
              <w:spacing w:after="0" w:line="137" w:lineRule="exact"/>
              <w:rPr>
                <w:sz w:val="20"/>
                <w:szCs w:val="20"/>
                <w:color w:val="auto"/>
              </w:rPr>
            </w:pPr>
            <w:r>
              <w:rPr>
                <w:rFonts w:ascii="Arial" w:cs="Arial" w:eastAsia="Arial" w:hAnsi="Arial"/>
                <w:sz w:val="13"/>
                <w:szCs w:val="13"/>
                <w:b w:val="1"/>
                <w:bCs w:val="1"/>
                <w:color w:val="auto"/>
                <w:w w:val="92"/>
              </w:rPr>
              <w:t>Common Stock</w:t>
            </w:r>
          </w:p>
        </w:tc>
        <w:tc>
          <w:tcPr>
            <w:tcW w:w="80" w:type="dxa"/>
            <w:vAlign w:val="bottom"/>
          </w:tcPr>
          <w:p>
            <w:pPr>
              <w:spacing w:after="0"/>
              <w:rPr>
                <w:sz w:val="11"/>
                <w:szCs w:val="11"/>
                <w:color w:val="auto"/>
              </w:rPr>
            </w:pPr>
          </w:p>
        </w:tc>
        <w:tc>
          <w:tcPr>
            <w:tcW w:w="72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1"/>
              </w:rPr>
              <w:t>(Previously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7" w:lineRule="exact"/>
              <w:rPr>
                <w:sz w:val="20"/>
                <w:szCs w:val="20"/>
                <w:color w:val="auto"/>
              </w:rPr>
            </w:pPr>
            <w:r>
              <w:rPr>
                <w:rFonts w:ascii="Arial" w:cs="Arial" w:eastAsia="Arial" w:hAnsi="Arial"/>
                <w:sz w:val="13"/>
                <w:szCs w:val="13"/>
                <w:b w:val="1"/>
                <w:bCs w:val="1"/>
                <w:color w:val="auto"/>
                <w:w w:val="96"/>
              </w:rPr>
              <w:t>Capital</w:t>
            </w:r>
          </w:p>
        </w:tc>
        <w:tc>
          <w:tcPr>
            <w:tcW w:w="840" w:type="dxa"/>
            <w:vAlign w:val="bottom"/>
            <w:gridSpan w:val="3"/>
          </w:tcPr>
          <w:p>
            <w:pPr>
              <w:jc w:val="center"/>
              <w:ind w:right="80"/>
              <w:spacing w:after="0" w:line="137" w:lineRule="exact"/>
              <w:rPr>
                <w:sz w:val="20"/>
                <w:szCs w:val="20"/>
                <w:color w:val="auto"/>
              </w:rPr>
            </w:pPr>
            <w:r>
              <w:rPr>
                <w:rFonts w:ascii="Arial" w:cs="Arial" w:eastAsia="Arial" w:hAnsi="Arial"/>
                <w:sz w:val="13"/>
                <w:szCs w:val="13"/>
                <w:b w:val="1"/>
                <w:bCs w:val="1"/>
                <w:color w:val="auto"/>
                <w:w w:val="91"/>
              </w:rPr>
              <w:t>(Previously</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1"/>
              </w:rPr>
              <w:t>(Previously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7"/>
              </w:rPr>
              <w:t>to Agrify</w:t>
            </w:r>
          </w:p>
        </w:tc>
        <w:tc>
          <w:tcPr>
            <w:tcW w:w="20" w:type="dxa"/>
            <w:vAlign w:val="bottom"/>
          </w:tcPr>
          <w:p>
            <w:pPr>
              <w:spacing w:after="0"/>
              <w:rPr>
                <w:sz w:val="11"/>
                <w:szCs w:val="11"/>
                <w:color w:val="auto"/>
              </w:rPr>
            </w:pPr>
          </w:p>
        </w:tc>
        <w:tc>
          <w:tcPr>
            <w:tcW w:w="700" w:type="dxa"/>
            <w:vAlign w:val="bottom"/>
            <w:gridSpan w:val="3"/>
          </w:tcPr>
          <w:p>
            <w:pPr>
              <w:ind w:left="20"/>
              <w:spacing w:after="0" w:line="137" w:lineRule="exact"/>
              <w:rPr>
                <w:sz w:val="20"/>
                <w:szCs w:val="20"/>
                <w:color w:val="auto"/>
              </w:rPr>
            </w:pPr>
            <w:r>
              <w:rPr>
                <w:rFonts w:ascii="Arial" w:cs="Arial" w:eastAsia="Arial" w:hAnsi="Arial"/>
                <w:sz w:val="13"/>
                <w:szCs w:val="13"/>
                <w:b w:val="1"/>
                <w:bCs w:val="1"/>
                <w:color w:val="auto"/>
                <w:w w:val="94"/>
              </w:rPr>
              <w:t>(Previously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88"/>
              </w:rPr>
              <w:t>Interests</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91"/>
              </w:rPr>
              <w:t>(Previously</w:t>
            </w: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center"/>
              <w:ind w:left="34"/>
              <w:spacing w:after="0"/>
              <w:rPr>
                <w:sz w:val="20"/>
                <w:szCs w:val="20"/>
                <w:color w:val="auto"/>
              </w:rPr>
            </w:pPr>
            <w:r>
              <w:rPr>
                <w:rFonts w:ascii="Arial" w:cs="Arial" w:eastAsia="Arial" w:hAnsi="Arial"/>
                <w:sz w:val="13"/>
                <w:szCs w:val="13"/>
                <w:b w:val="1"/>
                <w:bCs w:val="1"/>
                <w:color w:val="auto"/>
                <w:w w:val="91"/>
              </w:rPr>
              <w:t>Reported)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left="134"/>
              <w:spacing w:after="0"/>
              <w:rPr>
                <w:sz w:val="20"/>
                <w:szCs w:val="20"/>
                <w:color w:val="auto"/>
              </w:rPr>
            </w:pPr>
            <w:r>
              <w:rPr>
                <w:rFonts w:ascii="Arial" w:cs="Arial" w:eastAsia="Arial" w:hAnsi="Arial"/>
                <w:sz w:val="13"/>
                <w:szCs w:val="13"/>
                <w:b w:val="1"/>
                <w:bCs w:val="1"/>
                <w:color w:val="auto"/>
                <w:w w:val="91"/>
              </w:rPr>
              <w:t>(Restated)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Reported)</w:t>
            </w:r>
          </w:p>
        </w:tc>
        <w:tc>
          <w:tcPr>
            <w:tcW w:w="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(Restated)</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Reported)</w:t>
            </w: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(Restated)</w:t>
            </w: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Reported)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(Restated)</w:t>
            </w:r>
          </w:p>
        </w:tc>
        <w:tc>
          <w:tcPr>
            <w:tcW w:w="2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4"/>
              </w:rPr>
              <w:t>Reported)</w:t>
            </w:r>
          </w:p>
        </w:tc>
        <w:tc>
          <w:tcPr>
            <w:tcW w:w="4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(Restated)</w:t>
            </w: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Reported)</w:t>
            </w:r>
          </w:p>
        </w:tc>
        <w:tc>
          <w:tcPr>
            <w:tcW w:w="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(Restated)</w:t>
            </w:r>
          </w:p>
        </w:tc>
        <w:tc>
          <w:tcPr>
            <w:tcW w:w="0" w:type="dxa"/>
            <w:vAlign w:val="bottom"/>
          </w:tcPr>
          <w:p>
            <w:pPr>
              <w:spacing w:after="0"/>
              <w:rPr>
                <w:sz w:val="1"/>
                <w:szCs w:val="1"/>
                <w:color w:val="auto"/>
              </w:rPr>
            </w:pPr>
          </w:p>
        </w:tc>
      </w:tr>
      <w:tr>
        <w:trPr>
          <w:trHeight w:val="154"/>
        </w:trPr>
        <w:tc>
          <w:tcPr>
            <w:tcW w:w="9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6"/>
              </w:rPr>
              <w:t>Shares</w:t>
            </w:r>
          </w:p>
        </w:tc>
        <w:tc>
          <w:tcPr>
            <w:tcW w:w="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56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92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Balance at</w:t>
            </w: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b w:val="1"/>
                <w:bCs w:val="1"/>
                <w:color w:val="auto"/>
              </w:rPr>
              <w:t>January 1,</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2022</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2,220,710</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$ 111,035</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196,032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196,034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(58,975)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(58,975)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137,059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137,059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137,424</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137,424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Stock-based</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w w:val="98"/>
              </w:rPr>
              <w:t>compensation</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1,893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1,893</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1,893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1,893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1,893</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Common</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Stock and</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warrants in</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private</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placement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245,035</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12,252</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25,797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14,800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25,797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w w:val="98"/>
              </w:rPr>
              <w:t>Issuance of debt</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and warrants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in private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rPr>
              <w:t>placement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13,230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13,230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13,230</w:t>
            </w:r>
          </w:p>
        </w:tc>
        <w:tc>
          <w:tcPr>
            <w:tcW w:w="8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Acquisition of</w:t>
            </w: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Lab Society</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29,793</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1,490</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Exercise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rPr>
              <w:t>options</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851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Exercise of</w:t>
            </w: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162,754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8,138</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(102,283)</w:t>
            </w: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(72,824)</w:t>
            </w: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(102,283)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(72,824)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(102,279)</w:t>
            </w: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(72,820)</w:t>
            </w:r>
          </w:p>
        </w:tc>
        <w:tc>
          <w:tcPr>
            <w:tcW w:w="0" w:type="dxa"/>
            <w:vAlign w:val="bottom"/>
          </w:tcPr>
          <w:p>
            <w:pPr>
              <w:spacing w:after="0"/>
              <w:rPr>
                <w:sz w:val="1"/>
                <w:szCs w:val="1"/>
                <w:color w:val="auto"/>
              </w:rPr>
            </w:pPr>
          </w:p>
        </w:tc>
      </w:tr>
      <w:tr>
        <w:trPr>
          <w:trHeight w:val="104"/>
        </w:trPr>
        <w:tc>
          <w:tcPr>
            <w:tcW w:w="96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Balance at</w:t>
            </w: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b w:val="1"/>
                <w:bCs w:val="1"/>
                <w:color w:val="auto"/>
              </w:rPr>
              <w:t>June 30,</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9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2022</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2,659,143</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132,957</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238,877</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214,652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3"/>
            <w:shd w:val="clear" w:color="auto" w:fill="CCEEFF"/>
          </w:tcPr>
          <w:p>
            <w:pPr>
              <w:jc w:val="right"/>
              <w:spacing w:after="0" w:line="193" w:lineRule="exact"/>
              <w:rPr>
                <w:sz w:val="20"/>
                <w:szCs w:val="20"/>
                <w:color w:val="auto"/>
              </w:rPr>
            </w:pPr>
            <w:r>
              <w:rPr>
                <w:rFonts w:ascii="Arial" w:cs="Arial" w:eastAsia="Arial" w:hAnsi="Arial"/>
                <w:sz w:val="12"/>
                <w:szCs w:val="12"/>
                <w:color w:val="auto"/>
              </w:rPr>
              <w:t>(161,258</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840" w:type="dxa"/>
            <w:vAlign w:val="bottom"/>
            <w:gridSpan w:val="3"/>
            <w:shd w:val="clear" w:color="auto" w:fill="CCEEFF"/>
          </w:tcPr>
          <w:p>
            <w:pPr>
              <w:jc w:val="right"/>
              <w:spacing w:after="0" w:line="193" w:lineRule="exact"/>
              <w:rPr>
                <w:sz w:val="20"/>
                <w:szCs w:val="20"/>
                <w:color w:val="auto"/>
              </w:rPr>
            </w:pPr>
            <w:r>
              <w:rPr>
                <w:rFonts w:ascii="Arial" w:cs="Arial" w:eastAsia="Arial" w:hAnsi="Arial"/>
                <w:sz w:val="12"/>
                <w:szCs w:val="12"/>
                <w:color w:val="auto"/>
              </w:rPr>
              <w:t>(131,799</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77,621</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82,853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77,990</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bottom w:val="single" w:sz="8" w:color="CCEEFF"/>
            </w:tcBorders>
            <w:gridSpan w:val="2"/>
            <w:vMerge w:val="restart"/>
          </w:tcPr>
          <w:p>
            <w:pPr>
              <w:spacing w:after="0" w:line="121" w:lineRule="exact"/>
              <w:rPr>
                <w:sz w:val="20"/>
                <w:szCs w:val="20"/>
                <w:color w:val="auto"/>
              </w:rPr>
            </w:pPr>
            <w:r>
              <w:rPr>
                <w:rFonts w:ascii="Arial" w:cs="Arial" w:eastAsia="Arial" w:hAnsi="Arial"/>
                <w:sz w:val="13"/>
                <w:szCs w:val="13"/>
                <w:color w:val="auto"/>
              </w:rPr>
              <w:t>Stock-based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9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w w:val="98"/>
              </w:rPr>
              <w:t>compensation</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1,645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1,645</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1,645</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1,645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1,645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Issuance of</w:t>
            </w: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common</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shares in</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connection</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3"/>
                <w:szCs w:val="13"/>
                <w:color w:val="auto"/>
              </w:rPr>
              <w:t>with</w:t>
            </w: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8,704</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Reclass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warrant</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rPr>
              <w:t>liabilities</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Exercise of</w:t>
            </w: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Issuance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960" w:type="dxa"/>
            <w:vAlign w:val="bottom"/>
            <w:gridSpan w:val="2"/>
          </w:tcPr>
          <w:p>
            <w:pPr>
              <w:ind w:left="140"/>
              <w:spacing w:after="0" w:line="137" w:lineRule="exact"/>
              <w:rPr>
                <w:sz w:val="20"/>
                <w:szCs w:val="20"/>
                <w:color w:val="auto"/>
              </w:rPr>
            </w:pPr>
            <w:r>
              <w:rPr>
                <w:rFonts w:ascii="Arial" w:cs="Arial" w:eastAsia="Arial" w:hAnsi="Arial"/>
                <w:sz w:val="13"/>
                <w:szCs w:val="13"/>
                <w:color w:val="auto"/>
              </w:rPr>
              <w:t>restricted</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ind w:left="140"/>
              <w:spacing w:after="0"/>
              <w:rPr>
                <w:sz w:val="20"/>
                <w:szCs w:val="20"/>
                <w:color w:val="auto"/>
              </w:rPr>
            </w:pPr>
            <w:r>
              <w:rPr>
                <w:rFonts w:ascii="Arial" w:cs="Arial" w:eastAsia="Arial" w:hAnsi="Arial"/>
                <w:sz w:val="13"/>
                <w:szCs w:val="13"/>
                <w:color w:val="auto"/>
              </w:rPr>
              <w:t>stock units</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20,000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(46,268)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(57,413)</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(57,413)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(46,267)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(57,412)</w:t>
            </w:r>
          </w:p>
        </w:tc>
        <w:tc>
          <w:tcPr>
            <w:tcW w:w="0" w:type="dxa"/>
            <w:vAlign w:val="bottom"/>
          </w:tcPr>
          <w:p>
            <w:pPr>
              <w:spacing w:after="0"/>
              <w:rPr>
                <w:sz w:val="1"/>
                <w:szCs w:val="1"/>
                <w:color w:val="auto"/>
              </w:rPr>
            </w:pPr>
          </w:p>
        </w:tc>
      </w:tr>
      <w:tr>
        <w:trPr>
          <w:trHeight w:val="89"/>
        </w:trPr>
        <w:tc>
          <w:tcPr>
            <w:tcW w:w="960" w:type="dxa"/>
            <w:vAlign w:val="bottom"/>
            <w:tcBorders>
              <w:top w:val="single" w:sz="8" w:color="CCEEFF"/>
            </w:tcBorders>
            <w:gridSpan w:val="2"/>
          </w:tcPr>
          <w:p>
            <w:pPr>
              <w:spacing w:after="0" w:line="89" w:lineRule="exact"/>
              <w:rPr>
                <w:sz w:val="20"/>
                <w:szCs w:val="20"/>
                <w:color w:val="auto"/>
              </w:rPr>
            </w:pPr>
            <w:r>
              <w:rPr>
                <w:rFonts w:ascii="Arial" w:cs="Arial" w:eastAsia="Arial" w:hAnsi="Arial"/>
                <w:sz w:val="10"/>
                <w:szCs w:val="10"/>
                <w:b w:val="1"/>
                <w:bCs w:val="1"/>
                <w:color w:val="auto"/>
              </w:rPr>
              <w:t>Balance at</w:t>
            </w:r>
          </w:p>
        </w:tc>
        <w:tc>
          <w:tcPr>
            <w:tcW w:w="54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60" w:type="dxa"/>
            <w:vAlign w:val="bottom"/>
            <w:gridSpan w:val="2"/>
          </w:tcPr>
          <w:p>
            <w:pPr>
              <w:ind w:left="140"/>
              <w:spacing w:after="0" w:line="137" w:lineRule="exact"/>
              <w:rPr>
                <w:sz w:val="20"/>
                <w:szCs w:val="20"/>
                <w:color w:val="auto"/>
              </w:rPr>
            </w:pPr>
            <w:r>
              <w:rPr>
                <w:rFonts w:ascii="Arial" w:cs="Arial" w:eastAsia="Arial" w:hAnsi="Arial"/>
                <w:sz w:val="13"/>
                <w:szCs w:val="13"/>
                <w:b w:val="1"/>
                <w:bCs w:val="1"/>
                <w:color w:val="auto"/>
              </w:rPr>
              <w:t>September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30, 2022</w:t>
            </w:r>
          </w:p>
        </w:tc>
        <w:tc>
          <w:tcPr>
            <w:tcW w:w="4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2,691,008</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134,550</w:t>
            </w: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242,549</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218,523</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(207,526</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840" w:type="dxa"/>
            <w:vAlign w:val="bottom"/>
            <w:gridSpan w:val="3"/>
          </w:tcPr>
          <w:p>
            <w:pPr>
              <w:jc w:val="right"/>
              <w:spacing w:after="0" w:line="193" w:lineRule="exact"/>
              <w:rPr>
                <w:sz w:val="20"/>
                <w:szCs w:val="20"/>
                <w:color w:val="auto"/>
              </w:rPr>
            </w:pPr>
            <w:r>
              <w:rPr>
                <w:rFonts w:ascii="Arial" w:cs="Arial" w:eastAsia="Arial" w:hAnsi="Arial"/>
                <w:sz w:val="12"/>
                <w:szCs w:val="12"/>
                <w:color w:val="auto"/>
              </w:rPr>
              <w:t>(189,212</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35,026</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29,311</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370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370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35,396</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29,681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related notes to the condensed and consolidated financial statements have also been restated to reflect the error corrections described above.</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822"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Note 3 — Revenue and Deferred Revenue</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201" w:lineRule="exact"/>
        <w:rPr>
          <w:sz w:val="20"/>
          <w:szCs w:val="20"/>
          <w:color w:val="auto"/>
        </w:rPr>
      </w:pPr>
    </w:p>
    <w:p>
      <w:pPr>
        <w:ind w:firstLine="298"/>
        <w:spacing w:after="0" w:line="260" w:lineRule="auto"/>
        <w:rPr>
          <w:sz w:val="20"/>
          <w:szCs w:val="20"/>
          <w:color w:val="auto"/>
        </w:rPr>
      </w:pPr>
      <w:r>
        <w:rPr>
          <w:rFonts w:ascii="Arial" w:cs="Arial" w:eastAsia="Arial" w:hAnsi="Arial"/>
          <w:sz w:val="17"/>
          <w:szCs w:val="17"/>
          <w:color w:val="auto"/>
        </w:rPr>
        <w:t>During the three and nine months ended September 30, 2022 and 2021, the Company generated revenue from the following sources: (1) equipment sales, (2) services sales and (3) construction contracts.</w:t>
      </w:r>
    </w:p>
    <w:p>
      <w:pPr>
        <w:spacing w:after="0" w:line="172" w:lineRule="exact"/>
        <w:rPr>
          <w:sz w:val="20"/>
          <w:szCs w:val="20"/>
          <w:color w:val="auto"/>
        </w:rPr>
      </w:pPr>
    </w:p>
    <w:p>
      <w:pPr>
        <w:ind w:right="140" w:firstLine="298"/>
        <w:spacing w:after="0" w:line="301" w:lineRule="auto"/>
        <w:rPr>
          <w:sz w:val="20"/>
          <w:szCs w:val="20"/>
          <w:color w:val="auto"/>
        </w:rPr>
      </w:pPr>
      <w:r>
        <w:rPr>
          <w:rFonts w:ascii="Arial" w:cs="Arial" w:eastAsia="Arial" w:hAnsi="Arial"/>
          <w:sz w:val="15"/>
          <w:szCs w:val="15"/>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45" w:lineRule="exact"/>
        <w:rPr>
          <w:sz w:val="20"/>
          <w:szCs w:val="20"/>
          <w:color w:val="auto"/>
        </w:rPr>
      </w:pPr>
    </w:p>
    <w:p>
      <w:pPr>
        <w:jc w:val="both"/>
        <w:ind w:right="20" w:firstLine="298"/>
        <w:spacing w:after="0" w:line="293" w:lineRule="auto"/>
        <w:rPr>
          <w:sz w:val="20"/>
          <w:szCs w:val="20"/>
          <w:color w:val="auto"/>
        </w:rPr>
      </w:pPr>
      <w:r>
        <w:rPr>
          <w:rFonts w:ascii="Arial" w:cs="Arial" w:eastAsia="Arial" w:hAnsi="Arial"/>
          <w:sz w:val="15"/>
          <w:szCs w:val="15"/>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the Company’s revenue disaggregated by the timing of revenue recognition: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6"/>
          </w:tcPr>
          <w:p>
            <w:pPr>
              <w:ind w:left="24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7"/>
                <w:szCs w:val="17"/>
                <w:color w:val="auto"/>
              </w:rPr>
            </w:pPr>
          </w:p>
        </w:tc>
        <w:tc>
          <w:tcPr>
            <w:tcW w:w="2320" w:type="dxa"/>
            <w:vAlign w:val="bottom"/>
            <w:gridSpan w:val="6"/>
          </w:tcPr>
          <w:p>
            <w:pPr>
              <w:ind w:left="280"/>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Borders>
              <w:bottom w:val="single" w:sz="8" w:color="CCEEFF"/>
            </w:tcBorders>
          </w:tcPr>
          <w:p>
            <w:pPr>
              <w:spacing w:after="0"/>
              <w:rPr>
                <w:sz w:val="18"/>
                <w:szCs w:val="18"/>
                <w:color w:val="auto"/>
              </w:rPr>
            </w:pP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Transferred at a point in time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w:t>
            </w:r>
          </w:p>
        </w:tc>
        <w:tc>
          <w:tcPr>
            <w:tcW w:w="100" w:type="dxa"/>
            <w:vAlign w:val="bottom"/>
            <w:shd w:val="clear" w:color="auto" w:fill="CCEEFF"/>
          </w:tcPr>
          <w:p>
            <w:pPr>
              <w:spacing w:after="0"/>
              <w:rPr>
                <w:sz w:val="17"/>
                <w:szCs w:val="17"/>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Transferred over time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30,474</w:t>
            </w:r>
          </w:p>
        </w:tc>
        <w:tc>
          <w:tcPr>
            <w:tcW w:w="100" w:type="dxa"/>
            <w:vAlign w:val="bottom"/>
            <w:tcBorders>
              <w:bottom w:val="single" w:sz="8" w:color="CCEEFF"/>
            </w:tcBorders>
          </w:tcPr>
          <w:p>
            <w:pPr>
              <w:spacing w:after="0"/>
              <w:rPr>
                <w:sz w:val="18"/>
                <w:szCs w:val="18"/>
                <w:color w:val="auto"/>
              </w:rPr>
            </w:pPr>
          </w:p>
        </w:tc>
      </w:tr>
      <w:tr>
        <w:trPr>
          <w:trHeight w:val="228"/>
        </w:trPr>
        <w:tc>
          <w:tcPr>
            <w:tcW w:w="5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36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7,019</w:t>
            </w:r>
          </w:p>
        </w:tc>
        <w:tc>
          <w:tcPr>
            <w:tcW w:w="48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15,751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52,369</w:t>
            </w:r>
          </w:p>
        </w:tc>
        <w:tc>
          <w:tcPr>
            <w:tcW w:w="52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34,584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1"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$540 thousand and $398 thousand for September 30, 2022 and December 31, 2021, respectively. The Company’s reserve for warranty returns is included in accrued expenses and other current liabilities in its consolidated balance sheets. Additional information regarding the Company’s warranty reserve may be found in Note 4 – Supplemental Consolidated Balance Sheet Information, included elsewhere in the notes to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32" w:name="page33"/>
    <w:bookmarkEnd w:id="32"/>
    <w:p>
      <w:pPr>
        <w:ind w:left="30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Changes in the Company’s current deferred revenue balance for the nine months ended September 30, 2022 and the year ended December 31, 2021 were as follows:</w:t>
      </w:r>
    </w:p>
    <w:p>
      <w:pPr>
        <w:sectPr>
          <w:pgSz w:w="11900" w:h="16838" w:orient="portrait"/>
          <w:cols w:equalWidth="0" w:num="1">
            <w:col w:w="11240"/>
          </w:cols>
          <w:pgMar w:left="320" w:top="8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141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Deferred revenue – beginning of period</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Additions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Interest income on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3750" cy="125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Recognized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65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Nine Months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6"/>
              </w:rPr>
              <w:t>Year</w:t>
            </w:r>
          </w:p>
        </w:tc>
      </w:tr>
      <w:tr>
        <w:trPr>
          <w:trHeight w:val="198"/>
        </w:trPr>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Ended</w:t>
            </w:r>
          </w:p>
        </w:tc>
      </w:tr>
      <w:tr>
        <w:trPr>
          <w:trHeight w:val="198"/>
        </w:trPr>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7"/>
                <w:szCs w:val="17"/>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6"/>
              </w:rPr>
              <w:t>December 31,</w:t>
            </w:r>
          </w:p>
        </w:tc>
      </w:tr>
      <w:tr>
        <w:trPr>
          <w:trHeight w:val="220"/>
        </w:trPr>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4"/>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7"/>
                <w:szCs w:val="17"/>
                <w:b w:val="1"/>
                <w:bCs w:val="1"/>
                <w:color w:val="auto"/>
                <w:w w:val="84"/>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3,772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152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8"/>
        </w:trPr>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18,167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3,758</w:t>
            </w:r>
          </w:p>
        </w:tc>
        <w:tc>
          <w:tcPr>
            <w:tcW w:w="40" w:type="dxa"/>
            <w:vAlign w:val="bottom"/>
          </w:tcPr>
          <w:p>
            <w:pPr>
              <w:spacing w:after="0"/>
              <w:rPr>
                <w:sz w:val="17"/>
                <w:szCs w:val="17"/>
                <w:color w:val="auto"/>
              </w:rPr>
            </w:pPr>
          </w:p>
        </w:tc>
      </w:tr>
      <w:tr>
        <w:trPr>
          <w:trHeight w:val="198"/>
        </w:trPr>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7"/>
                <w:szCs w:val="17"/>
                <w:color w:val="auto"/>
              </w:rPr>
            </w:pPr>
          </w:p>
        </w:tc>
      </w:tr>
      <w:tr>
        <w:trPr>
          <w:trHeight w:val="223"/>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(11,803)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(142)</w:t>
            </w:r>
          </w:p>
        </w:tc>
      </w:tr>
      <w:tr>
        <w:trPr>
          <w:trHeight w:val="26"/>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10,136</w:t>
            </w:r>
          </w:p>
        </w:tc>
        <w:tc>
          <w:tcPr>
            <w:tcW w:w="2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3,772</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960" w:space="720"/>
            <w:col w:w="2560"/>
          </w:cols>
          <w:pgMar w:left="320" w:top="822" w:right="339" w:bottom="1440" w:gutter="0" w:footer="0" w:header="0"/>
          <w:type w:val="continuous"/>
        </w:sectPr>
      </w:pPr>
    </w:p>
    <w:p>
      <w:pPr>
        <w:ind w:right="40" w:firstLine="298"/>
        <w:spacing w:after="0" w:line="327" w:lineRule="auto"/>
        <w:rPr>
          <w:sz w:val="20"/>
          <w:szCs w:val="20"/>
          <w:color w:val="auto"/>
        </w:rPr>
      </w:pPr>
      <w:r>
        <w:rPr>
          <w:rFonts w:ascii="Arial" w:cs="Arial" w:eastAsia="Arial" w:hAnsi="Arial"/>
          <w:sz w:val="15"/>
          <w:szCs w:val="15"/>
          <w:color w:val="auto"/>
        </w:rPr>
        <w:t>Deferred revenue balances primarily consist of customer deposits on its cultivation and extraction solutions equipment. As of September 30, 2022 and December 31, 2021, all of the Company’s deferred revenue balances were reported as current liabilities in the accompanying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Note 4 — Supplemental Consolidated Balance Sheet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Accounts Receivable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7"/>
        </w:trPr>
        <w:tc>
          <w:tcPr>
            <w:tcW w:w="8680" w:type="dxa"/>
            <w:vAlign w:val="bottom"/>
            <w:gridSpan w:val="2"/>
          </w:tcPr>
          <w:p>
            <w:pPr>
              <w:ind w:left="300"/>
              <w:spacing w:after="0"/>
              <w:rPr>
                <w:sz w:val="20"/>
                <w:szCs w:val="20"/>
                <w:color w:val="auto"/>
              </w:rPr>
            </w:pPr>
            <w:r>
              <w:rPr>
                <w:rFonts w:ascii="Arial" w:cs="Arial" w:eastAsia="Arial" w:hAnsi="Arial"/>
                <w:sz w:val="17"/>
                <w:szCs w:val="17"/>
                <w:color w:val="auto"/>
              </w:rPr>
              <w:t>Accounts receivable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0"/>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Accounts receivable, gross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7"/>
                <w:szCs w:val="17"/>
                <w:color w:val="auto"/>
              </w:rPr>
              <w:t>Less allowance for doubtful accounts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(1,415)</w:t>
            </w:r>
          </w:p>
        </w:tc>
      </w:tr>
      <w:tr>
        <w:trPr>
          <w:trHeight w:val="228"/>
        </w:trPr>
        <w:tc>
          <w:tcPr>
            <w:tcW w:w="86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NEIA, a related party, accounted for $0 and $3.5 million of the Company’s accounts receivable, net as of September 30, 2022 and December 31, 2021, respectively.</w:t>
      </w:r>
    </w:p>
    <w:p>
      <w:pPr>
        <w:sectPr>
          <w:pgSz w:w="11900" w:h="16838" w:orient="portrait"/>
          <w:cols w:equalWidth="0" w:num="1">
            <w:col w:w="11240"/>
          </w:cols>
          <w:pgMar w:left="320" w:top="822" w:right="339" w:bottom="1440" w:gutter="0" w:footer="0" w:header="0"/>
          <w:type w:val="continuous"/>
        </w:sect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Allowance for doubtful accounts - beginning of period</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Provision for doubtful accounts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41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Allowance for doubtful accounts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Nine Months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Year</w:t>
            </w:r>
          </w:p>
        </w:tc>
      </w:tr>
      <w:tr>
        <w:trPr>
          <w:trHeight w:val="198"/>
        </w:trPr>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r>
      <w:tr>
        <w:trPr>
          <w:trHeight w:val="198"/>
        </w:trPr>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6"/>
              </w:rPr>
              <w:t>December 31,</w:t>
            </w:r>
          </w:p>
        </w:tc>
      </w:tr>
      <w:tr>
        <w:trPr>
          <w:trHeight w:val="220"/>
        </w:trPr>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4"/>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7"/>
                <w:szCs w:val="17"/>
                <w:b w:val="1"/>
                <w:bCs w:val="1"/>
                <w:color w:val="auto"/>
                <w:w w:val="84"/>
              </w:rPr>
              <w:t>2021</w:t>
            </w:r>
          </w:p>
        </w:tc>
        <w:tc>
          <w:tcPr>
            <w:tcW w:w="20" w:type="dxa"/>
            <w:vAlign w:val="bottom"/>
          </w:tcPr>
          <w:p>
            <w:pPr>
              <w:spacing w:after="0"/>
              <w:rPr>
                <w:sz w:val="19"/>
                <w:szCs w:val="19"/>
                <w:color w:val="auto"/>
              </w:rPr>
            </w:pPr>
          </w:p>
        </w:tc>
      </w:tr>
      <w:tr>
        <w:trPr>
          <w:trHeight w:val="18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6" w:lineRule="exact"/>
              <w:rPr>
                <w:sz w:val="20"/>
                <w:szCs w:val="20"/>
                <w:color w:val="auto"/>
              </w:rPr>
            </w:pPr>
            <w:r>
              <w:rPr>
                <w:rFonts w:ascii="Arial" w:cs="Arial" w:eastAsia="Arial" w:hAnsi="Arial"/>
                <w:sz w:val="17"/>
                <w:szCs w:val="17"/>
                <w:color w:val="auto"/>
              </w:rPr>
              <w:t>1,415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6"/>
                <w:szCs w:val="16"/>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1,187</w:t>
            </w:r>
          </w:p>
        </w:tc>
      </w:tr>
      <w:tr>
        <w:trPr>
          <w:trHeight w:val="223"/>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174</w:t>
            </w:r>
          </w:p>
        </w:tc>
      </w:tr>
      <w:tr>
        <w:trPr>
          <w:trHeight w:val="26"/>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r>
      <w:tr>
        <w:trPr>
          <w:trHeight w:val="22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3,125</w:t>
            </w:r>
          </w:p>
        </w:tc>
        <w:tc>
          <w:tcPr>
            <w:tcW w:w="2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1,415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960" w:space="720"/>
            <w:col w:w="2560"/>
          </w:cols>
          <w:pgMar w:left="320" w:top="822" w:right="339" w:bottom="1440" w:gutter="0" w:footer="0" w:header="0"/>
          <w:type w:val="continuous"/>
        </w:sectPr>
      </w:pPr>
    </w:p>
    <w:p>
      <w:pPr>
        <w:ind w:right="280" w:firstLine="298"/>
        <w:spacing w:after="0" w:line="260" w:lineRule="auto"/>
        <w:rPr>
          <w:sz w:val="20"/>
          <w:szCs w:val="20"/>
          <w:color w:val="auto"/>
        </w:rPr>
      </w:pPr>
      <w:r>
        <w:rPr>
          <w:rFonts w:ascii="Arial" w:cs="Arial" w:eastAsia="Arial" w:hAnsi="Arial"/>
          <w:sz w:val="17"/>
          <w:szCs w:val="17"/>
          <w:color w:val="auto"/>
        </w:rPr>
        <w:t>Bad debt expense was $385 thousand and $0 for the three months ended September 30, 2022 and 2021, respectively, and $1.9 million and $0 for the nine months ended September 30, 2022 and 2021,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Prepaid Expenses and Other Current Receivables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7"/>
        </w:trPr>
        <w:tc>
          <w:tcPr>
            <w:tcW w:w="8680" w:type="dxa"/>
            <w:vAlign w:val="bottom"/>
            <w:gridSpan w:val="2"/>
          </w:tcPr>
          <w:p>
            <w:pPr>
              <w:ind w:left="300"/>
              <w:spacing w:after="0"/>
              <w:rPr>
                <w:sz w:val="20"/>
                <w:szCs w:val="20"/>
                <w:color w:val="auto"/>
              </w:rPr>
            </w:pPr>
            <w:r>
              <w:rPr>
                <w:rFonts w:ascii="Arial" w:cs="Arial" w:eastAsia="Arial" w:hAnsi="Arial"/>
                <w:sz w:val="17"/>
                <w:szCs w:val="17"/>
                <w:color w:val="auto"/>
                <w:w w:val="88"/>
              </w:rPr>
              <w:t>Prepaid expenses and other current receivables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24"/>
                <w:szCs w:val="24"/>
                <w:color w:val="auto"/>
              </w:rPr>
            </w:pPr>
          </w:p>
        </w:tc>
        <w:tc>
          <w:tcPr>
            <w:tcW w:w="1200" w:type="dxa"/>
            <w:vAlign w:val="bottom"/>
            <w:gridSpan w:val="4"/>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costs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Prepaid insurance</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931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492</w:t>
            </w:r>
          </w:p>
        </w:tc>
        <w:tc>
          <w:tcPr>
            <w:tcW w:w="80" w:type="dxa"/>
            <w:vAlign w:val="bottom"/>
          </w:tcPr>
          <w:p>
            <w:pPr>
              <w:spacing w:after="0"/>
              <w:rPr>
                <w:sz w:val="17"/>
                <w:szCs w:val="17"/>
                <w:color w:val="auto"/>
              </w:rPr>
            </w:pP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receivables, other</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7"/>
                <w:szCs w:val="17"/>
                <w:color w:val="auto"/>
              </w:rPr>
            </w:pPr>
          </w:p>
        </w:tc>
      </w:tr>
      <w:tr>
        <w:trPr>
          <w:trHeight w:val="236"/>
        </w:trPr>
        <w:tc>
          <w:tcPr>
            <w:tcW w:w="868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Other note receivables </w:t>
            </w:r>
            <w:r>
              <w:rPr>
                <w:rFonts w:ascii="Arial" w:cs="Arial" w:eastAsia="Arial" w:hAnsi="Arial"/>
                <w:sz w:val="27"/>
                <w:szCs w:val="27"/>
                <w:color w:val="auto"/>
                <w:vertAlign w:val="superscript"/>
              </w:rPr>
              <w:t>(1)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807</w:t>
            </w:r>
          </w:p>
        </w:tc>
        <w:tc>
          <w:tcPr>
            <w:tcW w:w="80" w:type="dxa"/>
            <w:vAlign w:val="bottom"/>
          </w:tcPr>
          <w:p>
            <w:pPr>
              <w:spacing w:after="0"/>
              <w:rPr>
                <w:sz w:val="20"/>
                <w:szCs w:val="20"/>
                <w:color w:val="auto"/>
              </w:rPr>
            </w:pP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other</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541</w:t>
            </w:r>
          </w:p>
        </w:tc>
        <w:tc>
          <w:tcPr>
            <w:tcW w:w="80" w:type="dxa"/>
            <w:vAlign w:val="bottom"/>
            <w:shd w:val="clear" w:color="auto" w:fill="CCEEFF"/>
          </w:tcPr>
          <w:p>
            <w:pPr>
              <w:spacing w:after="0"/>
              <w:rPr>
                <w:sz w:val="17"/>
                <w:szCs w:val="17"/>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Prepaid materials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261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30"/>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 software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4"/>
        </w:trPr>
        <w:tc>
          <w:tcPr>
            <w:tcW w:w="86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Total prepaid expenses and other current assets</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4,604</w:t>
            </w:r>
          </w:p>
        </w:tc>
        <w:tc>
          <w:tcPr>
            <w:tcW w:w="2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2,452</w:t>
            </w:r>
          </w:p>
        </w:tc>
        <w:tc>
          <w:tcPr>
            <w:tcW w:w="80" w:type="dxa"/>
            <w:vAlign w:val="bottom"/>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(1)  Other note receivables relate to the current portion of one of its loan receivable balances related to the total turn-key solution (“TTK Solution”) program.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Property and Equipment,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680" w:type="dxa"/>
            <w:vAlign w:val="bottom"/>
            <w:gridSpan w:val="2"/>
          </w:tcPr>
          <w:p>
            <w:pPr>
              <w:ind w:left="300"/>
              <w:spacing w:after="0"/>
              <w:rPr>
                <w:sz w:val="20"/>
                <w:szCs w:val="20"/>
                <w:color w:val="auto"/>
              </w:rPr>
            </w:pPr>
            <w:r>
              <w:rPr>
                <w:rFonts w:ascii="Arial" w:cs="Arial" w:eastAsia="Arial" w:hAnsi="Arial"/>
                <w:sz w:val="17"/>
                <w:szCs w:val="17"/>
                <w:color w:val="auto"/>
              </w:rPr>
              <w:t>Property and equipment, net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0"/>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Machinery and equipment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898</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and office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Leased equipment at customer</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619</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Software</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174</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of laboratory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Vehicles</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 show assets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w:t>
            </w:r>
          </w:p>
        </w:tc>
      </w:tr>
      <w:tr>
        <w:trPr>
          <w:trHeight w:val="184"/>
        </w:trPr>
        <w:tc>
          <w:tcPr>
            <w:tcW w:w="8680" w:type="dxa"/>
            <w:vAlign w:val="bottom"/>
            <w:tcBorders>
              <w:top w:val="single" w:sz="8" w:color="CCEEFF"/>
            </w:tcBorders>
            <w:gridSpan w:val="2"/>
          </w:tcPr>
          <w:p>
            <w:pPr>
              <w:ind w:left="140"/>
              <w:spacing w:after="0" w:line="184" w:lineRule="exact"/>
              <w:rPr>
                <w:sz w:val="20"/>
                <w:szCs w:val="20"/>
                <w:color w:val="auto"/>
              </w:rPr>
            </w:pPr>
            <w:r>
              <w:rPr>
                <w:rFonts w:ascii="Arial" w:cs="Arial" w:eastAsia="Arial" w:hAnsi="Arial"/>
                <w:sz w:val="17"/>
                <w:szCs w:val="17"/>
                <w:color w:val="auto"/>
              </w:rPr>
              <w:t>Total property and equipment, gross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4,608</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3,776</w:t>
            </w:r>
          </w:p>
        </w:tc>
        <w:tc>
          <w:tcPr>
            <w:tcW w:w="100" w:type="dxa"/>
            <w:vAlign w:val="bottom"/>
            <w:tcBorders>
              <w:top w:val="single" w:sz="8" w:color="CCEEFF"/>
            </w:tcBorders>
          </w:tcPr>
          <w:p>
            <w:pPr>
              <w:spacing w:after="0"/>
              <w:rPr>
                <w:sz w:val="16"/>
                <w:szCs w:val="16"/>
                <w:color w:val="auto"/>
              </w:rPr>
            </w:pP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(780)</w:t>
            </w:r>
          </w:p>
        </w:tc>
      </w:tr>
      <w:tr>
        <w:trPr>
          <w:trHeight w:val="216"/>
        </w:trPr>
        <w:tc>
          <w:tcPr>
            <w:tcW w:w="86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3,236</w:t>
            </w:r>
          </w:p>
        </w:tc>
        <w:tc>
          <w:tcPr>
            <w:tcW w:w="100" w:type="dxa"/>
            <w:vAlign w:val="bottom"/>
            <w:tcBorders>
              <w:bottom w:val="single" w:sz="8" w:color="CCEEFF"/>
            </w:tcBorders>
          </w:tcPr>
          <w:p>
            <w:pPr>
              <w:spacing w:after="0"/>
              <w:rPr>
                <w:sz w:val="18"/>
                <w:szCs w:val="18"/>
                <w:color w:val="auto"/>
              </w:rPr>
            </w:pPr>
          </w:p>
        </w:tc>
      </w:tr>
      <w:tr>
        <w:trPr>
          <w:trHeight w:val="228"/>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property and equipment, net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13,208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6,232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right="400" w:firstLine="298"/>
        <w:spacing w:after="0" w:line="260" w:lineRule="auto"/>
        <w:rPr>
          <w:sz w:val="20"/>
          <w:szCs w:val="20"/>
          <w:color w:val="auto"/>
        </w:rPr>
      </w:pPr>
      <w:r>
        <w:rPr>
          <w:rFonts w:ascii="Arial" w:cs="Arial" w:eastAsia="Arial" w:hAnsi="Arial"/>
          <w:sz w:val="17"/>
          <w:szCs w:val="17"/>
          <w:color w:val="auto"/>
        </w:rPr>
        <w:t>Depreciation expense for the three months ended September 30, 2022 and 2021 was $409 thousand and $139 thousand, respectively, and $1.2 million and $337 thousand for the nine months ended September 30, 2022 and 2021,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Non-Current Assets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non-current assets consisted of the following as of September 30, 2022 and December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September 30,</w:t>
            </w:r>
          </w:p>
        </w:tc>
        <w:tc>
          <w:tcPr>
            <w:tcW w:w="1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4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commissions expense</w:t>
            </w:r>
          </w:p>
        </w:tc>
        <w:tc>
          <w:tcPr>
            <w:tcW w:w="4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Security deposits</w:t>
            </w:r>
          </w:p>
        </w:tc>
        <w:tc>
          <w:tcPr>
            <w:tcW w:w="4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other non-current assets</w:t>
            </w:r>
          </w:p>
        </w:tc>
        <w:tc>
          <w:tcPr>
            <w:tcW w:w="4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777"/>
              <w:spacing w:after="0"/>
              <w:rPr>
                <w:sz w:val="20"/>
                <w:szCs w:val="20"/>
                <w:color w:val="auto"/>
              </w:rPr>
            </w:pPr>
            <w:r>
              <w:rPr>
                <w:rFonts w:ascii="Arial" w:cs="Arial" w:eastAsia="Arial" w:hAnsi="Arial"/>
                <w:sz w:val="17"/>
                <w:szCs w:val="17"/>
                <w:color w:val="auto"/>
              </w:rPr>
              <w:t>31</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1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8" w:right="339" w:bottom="1440" w:gutter="0" w:footer="0" w:header="0"/>
        </w:sectPr>
      </w:pPr>
    </w:p>
    <w:bookmarkStart w:id="34" w:name="page35"/>
    <w:bookmarkEnd w:id="34"/>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Accrued Expenses and Other 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680" w:type="dxa"/>
            <w:vAlign w:val="bottom"/>
            <w:gridSpan w:val="2"/>
          </w:tcPr>
          <w:p>
            <w:pPr>
              <w:ind w:left="300"/>
              <w:spacing w:after="0"/>
              <w:rPr>
                <w:sz w:val="20"/>
                <w:szCs w:val="20"/>
                <w:color w:val="auto"/>
              </w:rPr>
            </w:pPr>
            <w:r>
              <w:rPr>
                <w:rFonts w:ascii="Arial" w:cs="Arial" w:eastAsia="Arial" w:hAnsi="Arial"/>
                <w:sz w:val="17"/>
                <w:szCs w:val="17"/>
                <w:color w:val="auto"/>
                <w:w w:val="89"/>
              </w:rPr>
              <w:t>Accrued expenses and other current liabilities consisted of the following as of September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September 30,</w:t>
            </w:r>
          </w:p>
        </w:tc>
        <w:tc>
          <w:tcPr>
            <w:tcW w:w="12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w:t>
            </w:r>
          </w:p>
        </w:tc>
      </w:tr>
      <w:tr>
        <w:trPr>
          <w:trHeight w:val="220"/>
        </w:trPr>
        <w:tc>
          <w:tcPr>
            <w:tcW w:w="8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36"/>
        </w:trPr>
        <w:tc>
          <w:tcPr>
            <w:tcW w:w="85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Sales tax payable </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5,756</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5,290</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Accrued construction costs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5,661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8,803</w:t>
            </w:r>
          </w:p>
        </w:tc>
      </w:tr>
      <w:tr>
        <w:trPr>
          <w:trHeight w:val="236"/>
        </w:trPr>
        <w:tc>
          <w:tcPr>
            <w:tcW w:w="86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Accrued acquisition liability </w:t>
            </w:r>
            <w:r>
              <w:rPr>
                <w:rFonts w:ascii="Arial" w:cs="Arial" w:eastAsia="Arial" w:hAnsi="Arial"/>
                <w:sz w:val="27"/>
                <w:szCs w:val="27"/>
                <w:color w:val="auto"/>
                <w:vertAlign w:val="superscript"/>
              </w:rPr>
              <w:t>(2)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9,198</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Compensation related fees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3,491</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warranty costs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Accrued professional fees</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1,104</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interest expense</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Accrued inventory purchases</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201</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Accrued consulting fees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non-income taxes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r>
      <w:tr>
        <w:trPr>
          <w:trHeight w:val="216"/>
        </w:trPr>
        <w:tc>
          <w:tcPr>
            <w:tcW w:w="86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r>
      <w:tr>
        <w:trPr>
          <w:trHeight w:val="228"/>
        </w:trPr>
        <w:tc>
          <w:tcPr>
            <w:tcW w:w="86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accrued expenses and other current liabilities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20,505</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28,764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301" w:hanging="301"/>
        <w:spacing w:after="0" w:line="327" w:lineRule="auto"/>
        <w:tabs>
          <w:tab w:leader="none" w:pos="301" w:val="left"/>
        </w:tabs>
        <w:numPr>
          <w:ilvl w:val="0"/>
          <w:numId w:val="19"/>
        </w:numPr>
        <w:rPr>
          <w:rFonts w:ascii="Arial" w:cs="Arial" w:eastAsia="Arial" w:hAnsi="Arial"/>
          <w:sz w:val="15"/>
          <w:szCs w:val="15"/>
          <w:color w:val="auto"/>
        </w:rPr>
      </w:pPr>
      <w:r>
        <w:rPr>
          <w:rFonts w:ascii="Arial" w:cs="Arial" w:eastAsia="Arial" w:hAnsi="Arial"/>
          <w:sz w:val="15"/>
          <w:szCs w:val="15"/>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spacing w:after="0" w:line="125" w:lineRule="exact"/>
        <w:rPr>
          <w:rFonts w:ascii="Arial" w:cs="Arial" w:eastAsia="Arial" w:hAnsi="Arial"/>
          <w:sz w:val="15"/>
          <w:szCs w:val="15"/>
          <w:color w:val="auto"/>
        </w:rPr>
      </w:pPr>
    </w:p>
    <w:p>
      <w:pPr>
        <w:ind w:left="301" w:hanging="301"/>
        <w:spacing w:after="0" w:line="260" w:lineRule="auto"/>
        <w:tabs>
          <w:tab w:leader="none" w:pos="3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Accrued acquisition liabilities include both the contingent consideration and the value of held-back Common Stock associated with the 2022 acquisition of Lab Society and the 2021 acquisition of PurePressure.</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Warranty Accrual</w:t>
      </w:r>
    </w:p>
    <w:p>
      <w:pPr>
        <w:spacing w:after="0" w:line="205"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following table summarizes the activity related to the Company’s accrued liability for estimated future warranty costs:</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4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Nine Months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September 30,</w:t>
            </w:r>
          </w:p>
        </w:tc>
        <w:tc>
          <w:tcPr>
            <w:tcW w:w="1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December 31,</w:t>
            </w:r>
          </w:p>
        </w:tc>
        <w:tc>
          <w:tcPr>
            <w:tcW w:w="0" w:type="dxa"/>
            <w:vAlign w:val="bottom"/>
          </w:tcPr>
          <w:p>
            <w:pPr>
              <w:spacing w:after="0"/>
              <w:rPr>
                <w:sz w:val="1"/>
                <w:szCs w:val="1"/>
                <w:color w:val="auto"/>
              </w:rPr>
            </w:pPr>
          </w:p>
        </w:tc>
      </w:tr>
      <w:tr>
        <w:trPr>
          <w:trHeight w:val="220"/>
        </w:trPr>
        <w:tc>
          <w:tcPr>
            <w:tcW w:w="4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3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Warranty accrual – beginning of period</w:t>
            </w:r>
          </w:p>
        </w:tc>
        <w:tc>
          <w:tcPr>
            <w:tcW w:w="3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Liabilities accrued for warranties issued during period</w:t>
            </w:r>
          </w:p>
        </w:tc>
        <w:tc>
          <w:tcPr>
            <w:tcW w:w="3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Warranty accrual – end of period</w:t>
            </w:r>
          </w:p>
        </w:tc>
        <w:tc>
          <w:tcPr>
            <w:tcW w:w="4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777"/>
              <w:spacing w:after="0"/>
              <w:rPr>
                <w:sz w:val="20"/>
                <w:szCs w:val="20"/>
                <w:color w:val="auto"/>
              </w:rPr>
            </w:pPr>
            <w:r>
              <w:rPr>
                <w:rFonts w:ascii="Arial" w:cs="Arial" w:eastAsia="Arial" w:hAnsi="Arial"/>
                <w:sz w:val="17"/>
                <w:szCs w:val="17"/>
                <w:color w:val="auto"/>
              </w:rPr>
              <w:t>32</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1"/>
          </w:cols>
          <w:pgMar w:left="319" w:top="81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Note 5 — Fair Value Measures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Values of Assets and Liabilities</w:t>
      </w:r>
    </w:p>
    <w:p>
      <w:pPr>
        <w:spacing w:after="0" w:line="201" w:lineRule="exact"/>
        <w:rPr>
          <w:sz w:val="20"/>
          <w:szCs w:val="20"/>
          <w:color w:val="auto"/>
        </w:rPr>
      </w:pPr>
    </w:p>
    <w:p>
      <w:pPr>
        <w:ind w:right="380" w:firstLine="298"/>
        <w:spacing w:after="0" w:line="301" w:lineRule="auto"/>
        <w:rPr>
          <w:sz w:val="20"/>
          <w:szCs w:val="20"/>
          <w:color w:val="auto"/>
        </w:rPr>
      </w:pPr>
      <w:r>
        <w:rPr>
          <w:rFonts w:ascii="Arial" w:cs="Arial" w:eastAsia="Arial" w:hAnsi="Arial"/>
          <w:sz w:val="15"/>
          <w:szCs w:val="15"/>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Level 1: Observable inputs such as quoted prices for identical assets or liabilities in active markets.</w:t>
      </w:r>
    </w:p>
    <w:p>
      <w:pPr>
        <w:spacing w:after="0" w:line="201" w:lineRule="exact"/>
        <w:rPr>
          <w:sz w:val="20"/>
          <w:szCs w:val="20"/>
          <w:color w:val="auto"/>
        </w:rPr>
      </w:pPr>
    </w:p>
    <w:p>
      <w:pPr>
        <w:ind w:left="900" w:right="380" w:hanging="594"/>
        <w:spacing w:after="0" w:line="260" w:lineRule="auto"/>
        <w:rPr>
          <w:sz w:val="20"/>
          <w:szCs w:val="20"/>
          <w:color w:val="auto"/>
        </w:rPr>
      </w:pPr>
      <w:r>
        <w:rPr>
          <w:rFonts w:ascii="Arial" w:cs="Arial" w:eastAsia="Arial" w:hAnsi="Arial"/>
          <w:sz w:val="17"/>
          <w:szCs w:val="17"/>
          <w:color w:val="auto"/>
        </w:rPr>
        <w:t>Level 2: Other inputs that are observable directly or indirectly, such as quoted prices for similar instruments in active markets or for similar markets that are not active.</w:t>
      </w:r>
    </w:p>
    <w:p>
      <w:pPr>
        <w:spacing w:after="0" w:line="172" w:lineRule="exact"/>
        <w:rPr>
          <w:sz w:val="20"/>
          <w:szCs w:val="20"/>
          <w:color w:val="auto"/>
        </w:rPr>
      </w:pPr>
    </w:p>
    <w:p>
      <w:pPr>
        <w:ind w:left="900" w:right="180" w:hanging="594"/>
        <w:spacing w:after="0" w:line="260" w:lineRule="auto"/>
        <w:rPr>
          <w:sz w:val="20"/>
          <w:szCs w:val="20"/>
          <w:color w:val="auto"/>
        </w:rPr>
      </w:pPr>
      <w:r>
        <w:rPr>
          <w:rFonts w:ascii="Arial" w:cs="Arial" w:eastAsia="Arial" w:hAnsi="Arial"/>
          <w:sz w:val="17"/>
          <w:szCs w:val="17"/>
          <w:color w:val="auto"/>
        </w:rPr>
        <w:t>Level 3: Unobservable inputs for which there is little or no market data which require the Company to develop its own assumptions about how market participants would price the asset or liability.</w:t>
      </w:r>
    </w:p>
    <w:p>
      <w:pPr>
        <w:spacing w:after="0" w:line="172" w:lineRule="exact"/>
        <w:rPr>
          <w:sz w:val="20"/>
          <w:szCs w:val="20"/>
          <w:color w:val="auto"/>
        </w:rPr>
      </w:pPr>
    </w:p>
    <w:p>
      <w:pPr>
        <w:ind w:right="100" w:firstLine="298"/>
        <w:spacing w:after="0" w:line="252" w:lineRule="auto"/>
        <w:rPr>
          <w:sz w:val="20"/>
          <w:szCs w:val="20"/>
          <w:color w:val="auto"/>
        </w:rPr>
      </w:pPr>
      <w:r>
        <w:rPr>
          <w:rFonts w:ascii="Arial" w:cs="Arial" w:eastAsia="Arial" w:hAnsi="Arial"/>
          <w:sz w:val="17"/>
          <w:szCs w:val="17"/>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September 30, 2022 and December 31, 2021, the Company’s assets and liabilities measured at fair value on a recurring basis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7"/>
                <w:szCs w:val="17"/>
                <w:b w:val="1"/>
                <w:bCs w:val="1"/>
                <w:color w:val="auto"/>
                <w:w w:val="86"/>
              </w:rPr>
              <w:t>September 30, 2022</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7"/>
                <w:szCs w:val="17"/>
                <w:b w:val="1"/>
                <w:bCs w:val="1"/>
                <w:color w:val="auto"/>
                <w:w w:val="87"/>
              </w:rPr>
              <w:t>December 31, 2021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gridSpan w:val="11"/>
          </w:tcPr>
          <w:p>
            <w:pPr>
              <w:jc w:val="center"/>
              <w:ind w:left="477"/>
              <w:spacing w:after="0" w:line="182" w:lineRule="exact"/>
              <w:rPr>
                <w:sz w:val="20"/>
                <w:szCs w:val="20"/>
                <w:color w:val="auto"/>
              </w:rPr>
            </w:pPr>
            <w:r>
              <w:rPr>
                <w:rFonts w:ascii="Arial" w:cs="Arial" w:eastAsia="Arial" w:hAnsi="Arial"/>
                <w:sz w:val="17"/>
                <w:szCs w:val="17"/>
                <w:b w:val="1"/>
                <w:bCs w:val="1"/>
                <w:color w:val="auto"/>
                <w:w w:val="89"/>
              </w:rPr>
              <w:t>Fair Value Measurements Using Input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9"/>
          </w:tcPr>
          <w:p>
            <w:pPr>
              <w:jc w:val="center"/>
              <w:ind w:left="477"/>
              <w:spacing w:after="0" w:line="182" w:lineRule="exact"/>
              <w:rPr>
                <w:sz w:val="20"/>
                <w:szCs w:val="20"/>
                <w:color w:val="auto"/>
              </w:rPr>
            </w:pPr>
            <w:r>
              <w:rPr>
                <w:rFonts w:ascii="Arial" w:cs="Arial" w:eastAsia="Arial" w:hAnsi="Arial"/>
                <w:sz w:val="17"/>
                <w:szCs w:val="17"/>
                <w:b w:val="1"/>
                <w:bCs w:val="1"/>
                <w:color w:val="auto"/>
                <w:w w:val="89"/>
              </w:rPr>
              <w:t>Fair Value Measurements Using Input</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7"/>
                <w:szCs w:val="17"/>
                <w:b w:val="1"/>
                <w:bCs w:val="1"/>
                <w:color w:val="auto"/>
                <w:w w:val="85"/>
              </w:rPr>
              <w:t>Types</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7"/>
                <w:szCs w:val="17"/>
                <w:b w:val="1"/>
                <w:bCs w:val="1"/>
                <w:color w:val="auto"/>
                <w:w w:val="85"/>
              </w:rPr>
              <w:t>Types</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7"/>
                <w:szCs w:val="17"/>
                <w:b w:val="1"/>
                <w:bCs w:val="1"/>
                <w:color w:val="auto"/>
              </w:rPr>
              <w:t>Level 1</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7"/>
                <w:szCs w:val="17"/>
                <w:b w:val="1"/>
                <w:bCs w:val="1"/>
                <w:color w:val="auto"/>
              </w:rPr>
              <w:t>Level 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3"/>
              </w:rPr>
              <w:t>Level 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7"/>
              </w:rPr>
              <w:t>Level 1</w:t>
            </w:r>
          </w:p>
        </w:tc>
        <w:tc>
          <w:tcPr>
            <w:tcW w:w="16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0"/>
              </w:rPr>
              <w:t>Level 3</w:t>
            </w:r>
          </w:p>
        </w:tc>
        <w:tc>
          <w:tcPr>
            <w:tcW w:w="260" w:type="dxa"/>
            <w:vAlign w:val="bottom"/>
          </w:tcPr>
          <w:p>
            <w:pPr>
              <w:spacing w:after="0"/>
              <w:rPr>
                <w:sz w:val="18"/>
                <w:szCs w:val="18"/>
                <w:color w:val="auto"/>
              </w:rPr>
            </w:pPr>
          </w:p>
        </w:tc>
        <w:tc>
          <w:tcPr>
            <w:tcW w:w="720" w:type="dxa"/>
            <w:vAlign w:val="bottom"/>
          </w:tcPr>
          <w:p>
            <w:pPr>
              <w:jc w:val="right"/>
              <w:ind w:right="217"/>
              <w:spacing w:after="0"/>
              <w:rPr>
                <w:sz w:val="20"/>
                <w:szCs w:val="20"/>
                <w:color w:val="auto"/>
              </w:rPr>
            </w:pPr>
            <w:r>
              <w:rPr>
                <w:rFonts w:ascii="Arial" w:cs="Arial" w:eastAsia="Arial" w:hAnsi="Arial"/>
                <w:sz w:val="17"/>
                <w:szCs w:val="17"/>
                <w:b w:val="1"/>
                <w:bCs w:val="1"/>
                <w:color w:val="auto"/>
                <w:w w:val="98"/>
              </w:rPr>
              <w:t>Total</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20" w:type="dxa"/>
            <w:vAlign w:val="bottom"/>
            <w:shd w:val="clear" w:color="auto" w:fill="CCEEFF"/>
          </w:tcPr>
          <w:p>
            <w:pPr>
              <w:ind w:left="120"/>
              <w:spacing w:after="0" w:line="186" w:lineRule="exact"/>
              <w:rPr>
                <w:sz w:val="20"/>
                <w:szCs w:val="20"/>
                <w:color w:val="auto"/>
              </w:rPr>
            </w:pPr>
            <w:r>
              <w:rPr>
                <w:rFonts w:ascii="Arial" w:cs="Arial" w:eastAsia="Arial" w:hAnsi="Arial"/>
                <w:sz w:val="17"/>
                <w:szCs w:val="17"/>
                <w:color w:val="auto"/>
                <w:w w:val="94"/>
              </w:rPr>
              <w:t>Mutual funds (included in cash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equivalents)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 $</w:t>
            </w:r>
          </w:p>
        </w:tc>
        <w:tc>
          <w:tcPr>
            <w:tcW w:w="1100" w:type="dxa"/>
            <w:vAlign w:val="bottom"/>
            <w:gridSpan w:val="4"/>
            <w:shd w:val="clear" w:color="auto" w:fill="CCEEFF"/>
          </w:tcPr>
          <w:p>
            <w:pPr>
              <w:ind w:left="660"/>
              <w:spacing w:after="0"/>
              <w:rPr>
                <w:sz w:val="20"/>
                <w:szCs w:val="20"/>
                <w:color w:val="auto"/>
              </w:rPr>
            </w:pPr>
            <w:r>
              <w:rPr>
                <w:rFonts w:ascii="Arial" w:cs="Arial" w:eastAsia="Arial" w:hAnsi="Arial"/>
                <w:sz w:val="17"/>
                <w:szCs w:val="17"/>
                <w:color w:val="auto"/>
              </w:rPr>
              <w:t>— $</w:t>
            </w: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 $</w:t>
            </w:r>
          </w:p>
        </w:tc>
        <w:tc>
          <w:tcPr>
            <w:tcW w:w="96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 $</w:t>
            </w:r>
          </w:p>
        </w:tc>
        <w:tc>
          <w:tcPr>
            <w:tcW w:w="1140" w:type="dxa"/>
            <w:vAlign w:val="bottom"/>
            <w:gridSpan w:val="3"/>
            <w:shd w:val="clear" w:color="auto" w:fill="CCEEFF"/>
          </w:tcPr>
          <w:p>
            <w:pPr>
              <w:jc w:val="right"/>
              <w:ind w:right="103"/>
              <w:spacing w:after="0"/>
              <w:rPr>
                <w:sz w:val="20"/>
                <w:szCs w:val="20"/>
                <w:color w:val="auto"/>
              </w:rPr>
            </w:pPr>
            <w:r>
              <w:rPr>
                <w:rFonts w:ascii="Arial" w:cs="Arial" w:eastAsia="Arial" w:hAnsi="Arial"/>
                <w:sz w:val="17"/>
                <w:szCs w:val="17"/>
                <w:color w:val="auto"/>
              </w:rPr>
              <w:t>—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Arial" w:cs="Arial" w:eastAsia="Arial" w:hAnsi="Arial"/>
                <w:sz w:val="17"/>
                <w:szCs w:val="17"/>
                <w:color w:val="auto"/>
              </w:rPr>
              <w:t>Municipal bonds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9,961</w:t>
            </w:r>
          </w:p>
        </w:tc>
        <w:tc>
          <w:tcPr>
            <w:tcW w:w="16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7"/>
                <w:szCs w:val="17"/>
                <w:color w:val="auto"/>
                <w:w w:val="82"/>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9,961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bonds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82"/>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34,589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82"/>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vMerge w:val="restart"/>
          </w:tcPr>
          <w:p>
            <w:pPr>
              <w:ind w:left="280"/>
              <w:spacing w:after="0"/>
              <w:rPr>
                <w:sz w:val="20"/>
                <w:szCs w:val="20"/>
                <w:color w:val="auto"/>
              </w:rPr>
            </w:pPr>
            <w:r>
              <w:rPr>
                <w:rFonts w:ascii="Arial" w:cs="Arial" w:eastAsia="Arial" w:hAnsi="Arial"/>
                <w:sz w:val="17"/>
                <w:szCs w:val="17"/>
                <w:color w:val="auto"/>
              </w:rPr>
              <w:t>Total assets</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vMerge w:val="continue"/>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381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381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44,728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660"/>
              <w:spacing w:after="0"/>
              <w:rPr>
                <w:sz w:val="20"/>
                <w:szCs w:val="20"/>
                <w:color w:val="auto"/>
              </w:rPr>
            </w:pPr>
            <w:r>
              <w:rPr>
                <w:rFonts w:ascii="Arial" w:cs="Arial" w:eastAsia="Arial" w:hAnsi="Arial"/>
                <w:sz w:val="17"/>
                <w:szCs w:val="17"/>
                <w:color w:val="auto"/>
                <w:w w:val="82"/>
              </w:rPr>
              <w:t>—</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44,728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Arial" w:cs="Arial" w:eastAsia="Arial" w:hAnsi="Arial"/>
                <w:sz w:val="17"/>
                <w:szCs w:val="17"/>
                <w:color w:val="auto"/>
              </w:rPr>
              <w:t>Contingent consideration</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643</w:t>
            </w: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643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660"/>
              <w:spacing w:after="0"/>
              <w:rPr>
                <w:sz w:val="20"/>
                <w:szCs w:val="20"/>
                <w:color w:val="auto"/>
              </w:rPr>
            </w:pPr>
            <w:r>
              <w:rPr>
                <w:rFonts w:ascii="Arial" w:cs="Arial" w:eastAsia="Arial" w:hAnsi="Arial"/>
                <w:sz w:val="17"/>
                <w:szCs w:val="17"/>
                <w:color w:val="auto"/>
                <w:w w:val="82"/>
              </w:rPr>
              <w:t>—</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6,137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Warrant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82"/>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5,118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82"/>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vMerge w:val="restart"/>
          </w:tcPr>
          <w:p>
            <w:pPr>
              <w:ind w:left="260"/>
              <w:spacing w:after="0"/>
              <w:rPr>
                <w:sz w:val="20"/>
                <w:szCs w:val="20"/>
                <w:color w:val="auto"/>
              </w:rPr>
            </w:pPr>
            <w:r>
              <w:rPr>
                <w:rFonts w:ascii="Arial" w:cs="Arial" w:eastAsia="Arial" w:hAnsi="Arial"/>
                <w:sz w:val="17"/>
                <w:szCs w:val="17"/>
                <w:color w:val="auto"/>
              </w:rPr>
              <w:t>Total liabilities</w:t>
            </w: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5,761</w:t>
            </w: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5,761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660"/>
              <w:spacing w:after="0"/>
              <w:rPr>
                <w:sz w:val="20"/>
                <w:szCs w:val="20"/>
                <w:color w:val="auto"/>
              </w:rPr>
            </w:pPr>
            <w:r>
              <w:rPr>
                <w:rFonts w:ascii="Arial" w:cs="Arial" w:eastAsia="Arial" w:hAnsi="Arial"/>
                <w:sz w:val="17"/>
                <w:szCs w:val="17"/>
                <w:color w:val="auto"/>
                <w:w w:val="82"/>
              </w:rPr>
              <w:t>—</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6,137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has certain financial instruments which consist of cash and cash equivalents, marketable securities, warrant liabilities, and contingent consideration.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Fair value information for each of these instruments is as follows:</w:t>
      </w:r>
    </w:p>
    <w:p>
      <w:pPr>
        <w:spacing w:after="0" w:line="191" w:lineRule="exact"/>
        <w:rPr>
          <w:sz w:val="20"/>
          <w:szCs w:val="20"/>
          <w:color w:val="auto"/>
        </w:rPr>
      </w:pPr>
    </w:p>
    <w:p>
      <w:pPr>
        <w:ind w:left="600" w:right="160" w:hanging="303"/>
        <w:spacing w:after="0" w:line="260"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Cash and cash equivalents, accounts receivable, accounts payable, accrued expenses and deferred revenue liabilities approximate their fair values based on the short-term nature of these instruments.</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Marketable securities classified as current held-to-maturity securities are recorded at amortized cost, which at September 30, 2022, approximated fair value.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36" w:name="page37"/>
    <w:bookmarkEnd w:id="36"/>
    <w:p>
      <w:pPr>
        <w:ind w:left="600" w:right="160" w:hanging="303"/>
        <w:spacing w:after="0" w:line="252"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deferred consideration was recorded in connection with acquisitions during the first quarter of 2022 and fiscal 2021 using an estimated fair value discount at the time of the transaction. As of September 30, 2022 and December 31, 2021, the carrying value of the deferred consideration approximated fair value, respectively.</w:t>
      </w:r>
    </w:p>
    <w:p>
      <w:pPr>
        <w:spacing w:after="0" w:line="178" w:lineRule="exact"/>
        <w:rPr>
          <w:rFonts w:ascii="Arial" w:cs="Arial" w:eastAsia="Arial" w:hAnsi="Arial"/>
          <w:sz w:val="17"/>
          <w:szCs w:val="17"/>
          <w:color w:val="auto"/>
        </w:rPr>
      </w:pPr>
    </w:p>
    <w:p>
      <w:pPr>
        <w:ind w:left="600" w:right="240" w:hanging="303"/>
        <w:spacing w:after="0" w:line="252"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warrant liabilities are marked-to-market each reporting period with the changes in fair value of warrant liability are recorded to other income (expense), net in the accompanying consolidated statements of operations until the warrants are exercised. The fair value of the warrant liability is estimated using a Black-Scholes option-pricing model.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01" w:lineRule="exact"/>
        <w:rPr>
          <w:sz w:val="20"/>
          <w:szCs w:val="20"/>
          <w:color w:val="auto"/>
        </w:rPr>
      </w:pPr>
    </w:p>
    <w:p>
      <w:pPr>
        <w:ind w:right="100" w:firstLine="298"/>
        <w:spacing w:after="0" w:line="247" w:lineRule="auto"/>
        <w:rPr>
          <w:sz w:val="20"/>
          <w:szCs w:val="20"/>
          <w:color w:val="auto"/>
        </w:rPr>
      </w:pPr>
      <w:r>
        <w:rPr>
          <w:rFonts w:ascii="Arial" w:cs="Arial" w:eastAsia="Arial" w:hAnsi="Arial"/>
          <w:sz w:val="17"/>
          <w:szCs w:val="17"/>
          <w:color w:val="auto"/>
        </w:rPr>
        <w:t>As of September 30, 2022, the Company held investments in mutual funds, municipal bonds and corporate bonds. The Company records mutual funds at fair value in the accompanying consolidated balance sheet as part of cash and cash equivalents.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gridSpan w:val="3"/>
          </w:tcPr>
          <w:p>
            <w:pPr>
              <w:ind w:left="280"/>
              <w:spacing w:after="0"/>
              <w:rPr>
                <w:sz w:val="20"/>
                <w:szCs w:val="20"/>
                <w:color w:val="auto"/>
              </w:rPr>
            </w:pPr>
            <w:r>
              <w:rPr>
                <w:rFonts w:ascii="Arial" w:cs="Arial" w:eastAsia="Arial" w:hAnsi="Arial"/>
                <w:sz w:val="17"/>
                <w:szCs w:val="17"/>
                <w:color w:val="auto"/>
              </w:rPr>
              <w:t>The composition of the Company’s marketable securities are as follows: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6"/>
          </w:tcPr>
          <w:p>
            <w:pPr>
              <w:jc w:val="center"/>
              <w:ind w:right="163"/>
              <w:spacing w:after="0"/>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86"/>
              </w:rPr>
              <w:t>December 31,</w:t>
            </w:r>
          </w:p>
        </w:tc>
        <w:tc>
          <w:tcPr>
            <w:tcW w:w="0" w:type="dxa"/>
            <w:vAlign w:val="bottom"/>
          </w:tcPr>
          <w:p>
            <w:pPr>
              <w:spacing w:after="0"/>
              <w:rPr>
                <w:sz w:val="1"/>
                <w:szCs w:val="1"/>
                <w:color w:val="auto"/>
              </w:rPr>
            </w:pPr>
          </w:p>
        </w:tc>
      </w:tr>
      <w:tr>
        <w:trPr>
          <w:trHeight w:val="220"/>
        </w:trPr>
        <w:tc>
          <w:tcPr>
            <w:tcW w:w="7460" w:type="dxa"/>
            <w:vAlign w:val="bottom"/>
            <w:gridSpan w:val="4"/>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237"/>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17"/>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Current marketable securities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Municipal bonds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Corporate bonds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7"/>
                <w:szCs w:val="17"/>
                <w:color w:val="auto"/>
              </w:rPr>
              <w:t>At September 30, 2022, marketable securities consisted of the following:</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4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6"/>
          </w:tcPr>
          <w:p>
            <w:pPr>
              <w:jc w:val="right"/>
              <w:ind w:right="400"/>
              <w:spacing w:after="0"/>
              <w:rPr>
                <w:sz w:val="20"/>
                <w:szCs w:val="20"/>
                <w:color w:val="auto"/>
              </w:rPr>
            </w:pPr>
            <w:r>
              <w:rPr>
                <w:rFonts w:ascii="Arial" w:cs="Arial" w:eastAsia="Arial" w:hAnsi="Arial"/>
                <w:sz w:val="17"/>
                <w:szCs w:val="17"/>
                <w:b w:val="1"/>
                <w:bCs w:val="1"/>
                <w:color w:val="auto"/>
                <w:w w:val="96"/>
              </w:rPr>
              <w:t>Amortized</w:t>
            </w:r>
          </w:p>
        </w:tc>
        <w:tc>
          <w:tcPr>
            <w:tcW w:w="120" w:type="dxa"/>
            <w:vAlign w:val="bottom"/>
          </w:tcPr>
          <w:p>
            <w:pPr>
              <w:spacing w:after="0"/>
              <w:rPr>
                <w:sz w:val="24"/>
                <w:szCs w:val="24"/>
                <w:color w:val="auto"/>
              </w:rPr>
            </w:pPr>
          </w:p>
        </w:tc>
        <w:tc>
          <w:tcPr>
            <w:tcW w:w="1200" w:type="dxa"/>
            <w:vAlign w:val="bottom"/>
            <w:gridSpan w:val="5"/>
          </w:tcPr>
          <w:p>
            <w:pPr>
              <w:jc w:val="center"/>
              <w:ind w:right="243"/>
              <w:spacing w:after="0"/>
              <w:rPr>
                <w:sz w:val="20"/>
                <w:szCs w:val="20"/>
                <w:color w:val="auto"/>
              </w:rPr>
            </w:pPr>
            <w:r>
              <w:rPr>
                <w:rFonts w:ascii="Arial" w:cs="Arial" w:eastAsia="Arial" w:hAnsi="Arial"/>
                <w:sz w:val="17"/>
                <w:szCs w:val="17"/>
                <w:b w:val="1"/>
                <w:bCs w:val="1"/>
                <w:color w:val="auto"/>
                <w:w w:val="88"/>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Estimated</w:t>
            </w:r>
          </w:p>
        </w:tc>
        <w:tc>
          <w:tcPr>
            <w:tcW w:w="0" w:type="dxa"/>
            <w:vAlign w:val="bottom"/>
          </w:tcPr>
          <w:p>
            <w:pPr>
              <w:spacing w:after="0"/>
              <w:rPr>
                <w:sz w:val="1"/>
                <w:szCs w:val="1"/>
                <w:color w:val="auto"/>
              </w:rPr>
            </w:pPr>
          </w:p>
        </w:tc>
      </w:tr>
      <w:tr>
        <w:trPr>
          <w:trHeight w:val="220"/>
        </w:trPr>
        <w:tc>
          <w:tcPr>
            <w:tcW w:w="7460" w:type="dxa"/>
            <w:vAlign w:val="bottom"/>
            <w:gridSpan w:val="4"/>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ind w:right="620"/>
              <w:spacing w:after="0"/>
              <w:rPr>
                <w:sz w:val="20"/>
                <w:szCs w:val="20"/>
                <w:color w:val="auto"/>
              </w:rPr>
            </w:pPr>
            <w:r>
              <w:rPr>
                <w:rFonts w:ascii="Arial" w:cs="Arial" w:eastAsia="Arial" w:hAnsi="Arial"/>
                <w:sz w:val="17"/>
                <w:szCs w:val="17"/>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ind w:right="443"/>
              <w:spacing w:after="0"/>
              <w:rPr>
                <w:sz w:val="20"/>
                <w:szCs w:val="20"/>
                <w:color w:val="auto"/>
              </w:rPr>
            </w:pPr>
            <w:r>
              <w:rPr>
                <w:rFonts w:ascii="Arial" w:cs="Arial" w:eastAsia="Arial" w:hAnsi="Arial"/>
                <w:sz w:val="17"/>
                <w:szCs w:val="17"/>
                <w:b w:val="1"/>
                <w:bCs w:val="1"/>
                <w:color w:val="auto"/>
                <w:w w:val="80"/>
              </w:rPr>
              <w:t>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Current marketable securities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Arial" w:cs="Arial" w:eastAsia="Arial" w:hAnsi="Arial"/>
                <w:sz w:val="17"/>
                <w:szCs w:val="17"/>
                <w:color w:val="auto"/>
              </w:rPr>
              <w:t>At December 31, 2021, marketable securities consisted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88"/>
              </w:rPr>
              <w:t>Amortized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123"/>
              <w:spacing w:after="0"/>
              <w:rPr>
                <w:sz w:val="20"/>
                <w:szCs w:val="20"/>
                <w:color w:val="auto"/>
              </w:rPr>
            </w:pPr>
            <w:r>
              <w:rPr>
                <w:rFonts w:ascii="Arial" w:cs="Arial" w:eastAsia="Arial" w:hAnsi="Arial"/>
                <w:sz w:val="17"/>
                <w:szCs w:val="17"/>
                <w:b w:val="1"/>
                <w:bCs w:val="1"/>
                <w:color w:val="auto"/>
                <w:w w:val="90"/>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Estimated</w:t>
            </w:r>
          </w:p>
        </w:tc>
        <w:tc>
          <w:tcPr>
            <w:tcW w:w="0" w:type="dxa"/>
            <w:vAlign w:val="bottom"/>
          </w:tcPr>
          <w:p>
            <w:pPr>
              <w:spacing w:after="0"/>
              <w:rPr>
                <w:sz w:val="1"/>
                <w:szCs w:val="1"/>
                <w:color w:val="auto"/>
              </w:rPr>
            </w:pPr>
          </w:p>
        </w:tc>
      </w:tr>
      <w:tr>
        <w:trPr>
          <w:trHeight w:val="220"/>
        </w:trPr>
        <w:tc>
          <w:tcPr>
            <w:tcW w:w="7460" w:type="dxa"/>
            <w:vAlign w:val="bottom"/>
            <w:gridSpan w:val="4"/>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83"/>
              <w:spacing w:after="0"/>
              <w:rPr>
                <w:sz w:val="20"/>
                <w:szCs w:val="20"/>
                <w:color w:val="auto"/>
              </w:rPr>
            </w:pPr>
            <w:r>
              <w:rPr>
                <w:rFonts w:ascii="Arial" w:cs="Arial" w:eastAsia="Arial" w:hAnsi="Arial"/>
                <w:sz w:val="17"/>
                <w:szCs w:val="17"/>
                <w:b w:val="1"/>
                <w:bCs w:val="1"/>
                <w:color w:val="auto"/>
              </w:rPr>
              <w:t>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fair 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Current marketable securities (due within 1 year)</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9,961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Corporate bonds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34,589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34,517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44,550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7"/>
                <w:szCs w:val="17"/>
                <w:color w:val="auto"/>
              </w:rPr>
              <w:t>34</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0" w:type="dxa"/>
            <w:vAlign w:val="bottom"/>
            <w:vMerge w:val="continue"/>
          </w:tcPr>
          <w:p>
            <w:pPr>
              <w:spacing w:after="0"/>
              <w:rPr>
                <w:sz w:val="24"/>
                <w:szCs w:val="24"/>
                <w:color w:val="auto"/>
              </w:rPr>
            </w:pPr>
          </w:p>
        </w:tc>
        <w:tc>
          <w:tcPr>
            <w:tcW w:w="7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201" w:lineRule="exact"/>
        <w:rPr>
          <w:sz w:val="20"/>
          <w:szCs w:val="20"/>
          <w:color w:val="auto"/>
        </w:rPr>
      </w:pPr>
    </w:p>
    <w:p>
      <w:pPr>
        <w:ind w:right="20" w:firstLine="298"/>
        <w:spacing w:after="0" w:line="288" w:lineRule="auto"/>
        <w:rPr>
          <w:sz w:val="20"/>
          <w:szCs w:val="20"/>
          <w:color w:val="auto"/>
        </w:rPr>
      </w:pPr>
      <w:r>
        <w:rPr>
          <w:rFonts w:ascii="Arial" w:cs="Arial" w:eastAsia="Arial" w:hAnsi="Arial"/>
          <w:sz w:val="15"/>
          <w:szCs w:val="15"/>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9 – Business Combinations, included elsewhere in the notes to the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Nine Months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w w:val="86"/>
              </w:rPr>
              <w:t>Year</w:t>
            </w:r>
          </w:p>
        </w:tc>
        <w:tc>
          <w:tcPr>
            <w:tcW w:w="0" w:type="dxa"/>
            <w:vAlign w:val="bottom"/>
          </w:tcPr>
          <w:p>
            <w:pPr>
              <w:spacing w:after="0"/>
              <w:rPr>
                <w:sz w:val="1"/>
                <w:szCs w:val="1"/>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Ended</w:t>
            </w:r>
          </w:p>
        </w:tc>
        <w:tc>
          <w:tcPr>
            <w:tcW w:w="0" w:type="dxa"/>
            <w:vAlign w:val="bottom"/>
          </w:tcPr>
          <w:p>
            <w:pPr>
              <w:spacing w:after="0"/>
              <w:rPr>
                <w:sz w:val="1"/>
                <w:szCs w:val="1"/>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7"/>
                <w:szCs w:val="17"/>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86"/>
              </w:rPr>
              <w:t>December 31,</w:t>
            </w:r>
          </w:p>
        </w:tc>
        <w:tc>
          <w:tcPr>
            <w:tcW w:w="0" w:type="dxa"/>
            <w:vAlign w:val="bottom"/>
          </w:tcPr>
          <w:p>
            <w:pPr>
              <w:spacing w:after="0"/>
              <w:rPr>
                <w:sz w:val="1"/>
                <w:szCs w:val="1"/>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4"/>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center"/>
              <w:ind w:right="117"/>
              <w:spacing w:after="0"/>
              <w:rPr>
                <w:sz w:val="20"/>
                <w:szCs w:val="20"/>
                <w:color w:val="auto"/>
              </w:rPr>
            </w:pPr>
            <w:r>
              <w:rPr>
                <w:rFonts w:ascii="Arial" w:cs="Arial" w:eastAsia="Arial" w:hAnsi="Arial"/>
                <w:sz w:val="17"/>
                <w:szCs w:val="17"/>
                <w:b w:val="1"/>
                <w:bCs w:val="1"/>
                <w:color w:val="auto"/>
                <w:w w:val="84"/>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Contingent consideration – beginning of period</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6,137</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ind w:left="140"/>
              <w:spacing w:after="0"/>
              <w:rPr>
                <w:sz w:val="20"/>
                <w:szCs w:val="20"/>
                <w:color w:val="auto"/>
              </w:rPr>
            </w:pPr>
            <w:r>
              <w:rPr>
                <w:rFonts w:ascii="Arial" w:cs="Arial" w:eastAsia="Arial" w:hAnsi="Arial"/>
                <w:sz w:val="17"/>
                <w:szCs w:val="17"/>
                <w:color w:val="auto"/>
              </w:rPr>
              <w:t>Accrued contingent consideration</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4,725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Accretion of contingent consideration</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140"/>
              <w:spacing w:after="0"/>
              <w:rPr>
                <w:sz w:val="20"/>
                <w:szCs w:val="20"/>
                <w:color w:val="auto"/>
              </w:rPr>
            </w:pPr>
            <w:r>
              <w:rPr>
                <w:rFonts w:ascii="Arial" w:cs="Arial" w:eastAsia="Arial" w:hAnsi="Arial"/>
                <w:sz w:val="17"/>
                <w:szCs w:val="17"/>
                <w:color w:val="auto"/>
              </w:rPr>
              <w:t>Payments made on contingent liabilities</w:t>
            </w: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(5,550)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estimated fair value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Contingent consideration – end of period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6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c>
          <w:tcPr>
            <w:tcW w:w="2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298"/>
        <w:spacing w:after="0" w:line="260" w:lineRule="auto"/>
        <w:rPr>
          <w:sz w:val="20"/>
          <w:szCs w:val="20"/>
          <w:color w:val="auto"/>
        </w:rPr>
      </w:pPr>
      <w:r>
        <w:rPr>
          <w:rFonts w:ascii="Arial" w:cs="Arial" w:eastAsia="Arial" w:hAnsi="Arial"/>
          <w:sz w:val="17"/>
          <w:szCs w:val="17"/>
          <w:color w:val="auto"/>
        </w:rPr>
        <w:t>The Company included contingent consideration within accrued expenses and other current liabilities in its consolidated balance sheets as of September 30, 2022 and December 31, 2021, respectively.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See below for additional information related to each acquisition’s contingent consideration.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 – PurePressure</w:t>
      </w:r>
    </w:p>
    <w:p>
      <w:pPr>
        <w:spacing w:after="0" w:line="201" w:lineRule="exact"/>
        <w:rPr>
          <w:sz w:val="20"/>
          <w:szCs w:val="20"/>
          <w:color w:val="auto"/>
        </w:rPr>
      </w:pPr>
    </w:p>
    <w:p>
      <w:pPr>
        <w:ind w:right="220" w:firstLine="298"/>
        <w:spacing w:after="0" w:line="286" w:lineRule="auto"/>
        <w:rPr>
          <w:sz w:val="20"/>
          <w:szCs w:val="20"/>
          <w:color w:val="auto"/>
        </w:rPr>
      </w:pPr>
      <w:r>
        <w:rPr>
          <w:rFonts w:ascii="Arial" w:cs="Arial" w:eastAsia="Arial" w:hAnsi="Arial"/>
          <w:sz w:val="15"/>
          <w:szCs w:val="15"/>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As required by ASC Topic 805 Business Combination (“ASC805”), the change in contingent consideration was recorded as a reduction in operating expenses during the third quarter of 2022.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 – Lab Society</w:t>
      </w:r>
    </w:p>
    <w:p>
      <w:pPr>
        <w:spacing w:after="0" w:line="201"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As required by ASC805, the change in contingent consideration was recorded as a reduction in operating expenses during the second quarter of 2022.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 – Precision and Cascade</w:t>
      </w:r>
    </w:p>
    <w:p>
      <w:pPr>
        <w:spacing w:after="0" w:line="201" w:lineRule="exact"/>
        <w:rPr>
          <w:sz w:val="20"/>
          <w:szCs w:val="20"/>
          <w:color w:val="auto"/>
        </w:rPr>
      </w:pPr>
    </w:p>
    <w:p>
      <w:pPr>
        <w:ind w:right="120" w:firstLine="298"/>
        <w:spacing w:after="0" w:line="286" w:lineRule="auto"/>
        <w:rPr>
          <w:sz w:val="20"/>
          <w:szCs w:val="20"/>
          <w:color w:val="auto"/>
        </w:rPr>
      </w:pPr>
      <w:r>
        <w:rPr>
          <w:rFonts w:ascii="Arial" w:cs="Arial" w:eastAsia="Arial" w:hAnsi="Arial"/>
          <w:sz w:val="15"/>
          <w:szCs w:val="15"/>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as required by ASC805, was recorded as an increase in operating expenses during the second quarter of 2022. During the three-month period ended September 30, 2022, the Company made the final payment on the contingent consideration of approximately $5.6 million to the members of Precision and Cascade. Additional information regarding the Company’s final payment to Precision and Cascade may be found in Note 9 – Business Combination, included elsewhere in the notes to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Warrant liabilities</w:t>
      </w:r>
    </w:p>
    <w:p>
      <w:pPr>
        <w:spacing w:after="0" w:line="201" w:lineRule="exact"/>
        <w:rPr>
          <w:sz w:val="20"/>
          <w:szCs w:val="20"/>
          <w:color w:val="auto"/>
        </w:rPr>
      </w:pPr>
    </w:p>
    <w:p>
      <w:pPr>
        <w:ind w:right="120" w:firstLine="298"/>
        <w:spacing w:after="0" w:line="252" w:lineRule="auto"/>
        <w:rPr>
          <w:sz w:val="20"/>
          <w:szCs w:val="20"/>
          <w:color w:val="auto"/>
        </w:rPr>
      </w:pPr>
      <w:r>
        <w:rPr>
          <w:rFonts w:ascii="Arial" w:cs="Arial" w:eastAsia="Arial" w:hAnsi="Arial"/>
          <w:sz w:val="17"/>
          <w:szCs w:val="17"/>
          <w:color w:val="auto"/>
        </w:rPr>
        <w:t>The estimated fair value of the warrant liabilities on September 30, 2022 is determined using Level 3 inputs. Inherent in a Black-Scholes option-pricing model are assumptions used in calculating the estimated fair values represent the Company’s best estimate. However, inherent uncertainties are involved. If factors or assumptions change, the estimated fair values could be materially different.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fair value was remeasured and was determined to be $5,122 thousand at September 30, 2022, using an option-pricing model based on the following inputs: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Modified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1"/>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PIPE</w:t>
            </w: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SPA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3"/>
              </w:rPr>
              <w:t>New SPA</w:t>
            </w:r>
          </w:p>
        </w:tc>
      </w:tr>
      <w:tr>
        <w:trPr>
          <w:trHeight w:val="220"/>
        </w:trPr>
        <w:tc>
          <w:tcPr>
            <w:tcW w:w="7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7"/>
              </w:rPr>
              <w:t>Warrants</w:t>
            </w:r>
          </w:p>
        </w:tc>
        <w:tc>
          <w:tcPr>
            <w:tcW w:w="16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Warrants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7"/>
              </w:rPr>
              <w:t>Warrants</w:t>
            </w:r>
          </w:p>
        </w:tc>
      </w:tr>
      <w:tr>
        <w:trPr>
          <w:trHeight w:val="198"/>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40" w:type="dxa"/>
            <w:vAlign w:val="bottom"/>
            <w:tcBorders>
              <w:top w:val="single" w:sz="8" w:color="CCEEFF"/>
            </w:tcBorders>
            <w:shd w:val="clear" w:color="auto" w:fill="CCEEFF"/>
          </w:tcPr>
          <w:p>
            <w:pPr>
              <w:spacing w:after="0"/>
              <w:rPr>
                <w:sz w:val="17"/>
                <w:szCs w:val="17"/>
                <w:color w:val="auto"/>
              </w:rPr>
            </w:pPr>
          </w:p>
        </w:tc>
      </w:tr>
      <w:tr>
        <w:trPr>
          <w:trHeight w:val="198"/>
        </w:trPr>
        <w:tc>
          <w:tcPr>
            <w:tcW w:w="7240" w:type="dxa"/>
            <w:vAlign w:val="bottom"/>
          </w:tcPr>
          <w:p>
            <w:pPr>
              <w:spacing w:after="0"/>
              <w:rPr>
                <w:sz w:val="20"/>
                <w:szCs w:val="20"/>
                <w:color w:val="auto"/>
              </w:rPr>
            </w:pPr>
            <w:r>
              <w:rPr>
                <w:rFonts w:ascii="Arial" w:cs="Arial" w:eastAsia="Arial" w:hAnsi="Arial"/>
                <w:sz w:val="17"/>
                <w:szCs w:val="17"/>
                <w:color w:val="auto"/>
              </w:rPr>
              <w:t>Exercise price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149.60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43.00</w:t>
            </w:r>
          </w:p>
        </w:tc>
        <w:tc>
          <w:tcPr>
            <w:tcW w:w="200" w:type="dxa"/>
            <w:vAlign w:val="bottom"/>
          </w:tcPr>
          <w:p>
            <w:pPr>
              <w:spacing w:after="0"/>
              <w:rPr>
                <w:sz w:val="17"/>
                <w:szCs w:val="17"/>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24.60</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5.38</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w:t>
            </w:r>
          </w:p>
        </w:tc>
      </w:tr>
      <w:tr>
        <w:trPr>
          <w:trHeight w:val="198"/>
        </w:trPr>
        <w:tc>
          <w:tcPr>
            <w:tcW w:w="7240" w:type="dxa"/>
            <w:vAlign w:val="bottom"/>
          </w:tcPr>
          <w:p>
            <w:pPr>
              <w:spacing w:after="0"/>
              <w:rPr>
                <w:sz w:val="20"/>
                <w:szCs w:val="20"/>
                <w:color w:val="auto"/>
              </w:rPr>
            </w:pPr>
            <w:r>
              <w:rPr>
                <w:rFonts w:ascii="Arial" w:cs="Arial" w:eastAsia="Arial" w:hAnsi="Arial"/>
                <w:sz w:val="17"/>
                <w:szCs w:val="17"/>
                <w:color w:val="auto"/>
              </w:rPr>
              <w:t>Annualized volatility</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88.15%</w:t>
            </w:r>
          </w:p>
        </w:tc>
        <w:tc>
          <w:tcPr>
            <w:tcW w:w="1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87.83%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87.83%</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Annual rate of quarterly dividends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209"/>
        </w:trPr>
        <w:tc>
          <w:tcPr>
            <w:tcW w:w="7240" w:type="dxa"/>
            <w:vAlign w:val="bottom"/>
          </w:tcPr>
          <w:p>
            <w:pPr>
              <w:spacing w:after="0"/>
              <w:rPr>
                <w:sz w:val="20"/>
                <w:szCs w:val="20"/>
                <w:color w:val="auto"/>
              </w:rPr>
            </w:pPr>
            <w:r>
              <w:rPr>
                <w:rFonts w:ascii="Arial" w:cs="Arial" w:eastAsia="Arial" w:hAnsi="Arial"/>
                <w:sz w:val="17"/>
                <w:szCs w:val="17"/>
                <w:color w:val="auto"/>
              </w:rPr>
              <w:t>Discount rate -bond equivalent yield</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4.09%</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4.04%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4.04%</w:t>
            </w:r>
          </w:p>
        </w:tc>
      </w:tr>
    </w:tbl>
    <w:p>
      <w:pPr>
        <w:spacing w:after="0" w:line="17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a summary of the changes in the fair value of the Level 3 Warrant Liabilities for the nine months ended September 30, 2022:</w:t>
      </w:r>
    </w:p>
    <w:p>
      <w:pPr>
        <w:sectPr>
          <w:pgSz w:w="11900" w:h="16838" w:orient="portrait"/>
          <w:cols w:equalWidth="0" w:num="1">
            <w:col w:w="11240"/>
          </w:cols>
          <w:pgMar w:left="320" w:top="8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Warrant liabilities – beginning of period</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Initial fair value of warrant liabilities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25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Gain on extinguishment of debt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Warrant liabilities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3750" cy="173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733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Loan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Nine Months</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Ended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September 30,</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2022</w:t>
      </w:r>
    </w:p>
    <w:p>
      <w:pPr>
        <w:spacing w:after="0" w:line="17" w:lineRule="exact"/>
        <w:rPr>
          <w:sz w:val="20"/>
          <w:szCs w:val="20"/>
          <w:color w:val="auto"/>
        </w:rPr>
      </w:pPr>
    </w:p>
    <w:p>
      <w:pPr>
        <w:ind w:left="960" w:hanging="959"/>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p>
    <w:p>
      <w:pPr>
        <w:spacing w:after="0" w:line="1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50,705</w:t>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(47,234)</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1,647</w:t>
      </w:r>
    </w:p>
    <w:p>
      <w:pPr>
        <w:spacing w:after="0" w:line="53" w:lineRule="exact"/>
        <w:rPr>
          <w:sz w:val="20"/>
          <w:szCs w:val="20"/>
          <w:color w:val="auto"/>
        </w:rPr>
      </w:pPr>
    </w:p>
    <w:p>
      <w:pPr>
        <w:ind w:left="760" w:hanging="759"/>
        <w:spacing w:after="0"/>
        <w:tabs>
          <w:tab w:leader="none" w:pos="7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5,118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70866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 cy="1587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9300" w:space="720"/>
            <w:col w:w="1220"/>
          </w:cols>
          <w:pgMar w:left="320" w:top="822" w:right="339" w:bottom="1440" w:gutter="0" w:footer="0" w:header="0"/>
          <w:type w:val="continuous"/>
        </w:sectPr>
      </w:pPr>
    </w:p>
    <w:p>
      <w:pPr>
        <w:spacing w:after="0" w:line="5"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A portion of the capital raised from the Company’s IPO has been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cultivation software, process design, training, implementation, proven grow recipes, product formulations, data analytics, and consumer branding, which will enable the Company’s customers to go to market faster and better.</w:t>
      </w:r>
    </w:p>
    <w:p>
      <w:pPr>
        <w:spacing w:after="0" w:line="156" w:lineRule="exact"/>
        <w:rPr>
          <w:sz w:val="20"/>
          <w:szCs w:val="20"/>
          <w:color w:val="auto"/>
        </w:rPr>
      </w:pPr>
    </w:p>
    <w:p>
      <w:pPr>
        <w:ind w:right="280" w:firstLine="298"/>
        <w:spacing w:after="0" w:line="327" w:lineRule="auto"/>
        <w:rPr>
          <w:sz w:val="20"/>
          <w:szCs w:val="20"/>
          <w:color w:val="auto"/>
        </w:rPr>
      </w:pPr>
      <w:r>
        <w:rPr>
          <w:rFonts w:ascii="Arial" w:cs="Arial" w:eastAsia="Arial" w:hAnsi="Arial"/>
          <w:sz w:val="15"/>
          <w:szCs w:val="15"/>
          <w:color w:val="auto"/>
        </w:rPr>
        <w:t>The loan agreements entered into with customers receiving the TTK Solution generally provide for loans with maturity dates of approximately two to three years after the completion of the construction projects. Typically, the TTK Solution construction loans have interest rates ranging from 12% to 18% per year.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type w:val="continuous"/>
        </w:sectPr>
      </w:pPr>
    </w:p>
    <w:bookmarkStart w:id="39" w:name="page40"/>
    <w:bookmarkEnd w:id="39"/>
    <w:p>
      <w:pPr>
        <w:ind w:left="1" w:firstLine="298"/>
        <w:spacing w:after="0" w:line="281" w:lineRule="auto"/>
        <w:rPr>
          <w:sz w:val="20"/>
          <w:szCs w:val="20"/>
          <w:color w:val="auto"/>
        </w:rPr>
      </w:pPr>
      <w:r>
        <w:rPr>
          <w:rFonts w:ascii="Arial" w:cs="Arial" w:eastAsia="Arial" w:hAnsi="Arial"/>
          <w:sz w:val="15"/>
          <w:szCs w:val="15"/>
          <w:color w:val="auto"/>
        </w:rPr>
        <w:t>During the quarter ended September 30,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outstanding balance due to the current litigation and the uncertainty of the customer’s ability to repay the outstanding balance.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60" w:lineRule="exact"/>
        <w:rPr>
          <w:sz w:val="20"/>
          <w:szCs w:val="20"/>
          <w:color w:val="auto"/>
        </w:rPr>
      </w:pPr>
    </w:p>
    <w:p>
      <w:pPr>
        <w:ind w:left="1" w:right="140" w:firstLine="298"/>
        <w:spacing w:after="0" w:line="247" w:lineRule="auto"/>
        <w:rPr>
          <w:sz w:val="20"/>
          <w:szCs w:val="20"/>
          <w:color w:val="auto"/>
        </w:rPr>
      </w:pPr>
      <w:r>
        <w:rPr>
          <w:rFonts w:ascii="Arial" w:cs="Arial" w:eastAsia="Arial" w:hAnsi="Arial"/>
          <w:sz w:val="17"/>
          <w:szCs w:val="17"/>
          <w:color w:val="auto"/>
        </w:rPr>
        <w:t>During the quarter ended June 30, 2022, the Company established a reserve of approximately $7.1 million specifically related to Greenstone.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September 30, 2022 and December 31, 2021.</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8680" w:type="dxa"/>
            <w:vAlign w:val="bottom"/>
            <w:gridSpan w:val="2"/>
          </w:tcPr>
          <w:p>
            <w:pPr>
              <w:ind w:left="300"/>
              <w:spacing w:after="0"/>
              <w:rPr>
                <w:sz w:val="20"/>
                <w:szCs w:val="20"/>
                <w:color w:val="auto"/>
              </w:rPr>
            </w:pPr>
            <w:r>
              <w:rPr>
                <w:rFonts w:ascii="Arial" w:cs="Arial" w:eastAsia="Arial" w:hAnsi="Arial"/>
                <w:sz w:val="17"/>
                <w:szCs w:val="17"/>
                <w:color w:val="auto"/>
                <w:w w:val="98"/>
              </w:rPr>
              <w:t>The breakdown of loans receivable by customer as of September 30, 2022 and December 31, 2021 is as follows: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87"/>
              </w:rPr>
              <w:t>September 30,</w:t>
            </w:r>
          </w:p>
        </w:tc>
        <w:tc>
          <w:tcPr>
            <w:tcW w:w="8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Bud &amp; Mary’s – TTK Solution</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Greenstone – TTK Solution – Related Party</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12,457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11,177</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 Customer Number 136 – TTK Solution</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2,439</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Company Customer Number 125 – TTK Solution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1,105</w:t>
            </w:r>
          </w:p>
        </w:tc>
      </w:tr>
      <w:tr>
        <w:trPr>
          <w:trHeight w:val="236"/>
        </w:trPr>
        <w:tc>
          <w:tcPr>
            <w:tcW w:w="86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Company Customer Number 71 – Non-TTK Solution </w:t>
            </w:r>
            <w:r>
              <w:rPr>
                <w:rFonts w:ascii="Arial" w:cs="Arial" w:eastAsia="Arial" w:hAnsi="Arial"/>
                <w:sz w:val="27"/>
                <w:szCs w:val="27"/>
                <w:color w:val="auto"/>
                <w:vertAlign w:val="superscript"/>
              </w:rPr>
              <w:t>(1)</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1,946</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Company Customer Number 140 – TTK Solution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 Non-TTK Solutions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3"/>
        </w:trPr>
        <w:tc>
          <w:tcPr>
            <w:tcW w:w="8680" w:type="dxa"/>
            <w:vAlign w:val="bottom"/>
            <w:gridSpan w:val="2"/>
          </w:tcPr>
          <w:p>
            <w:pPr>
              <w:spacing w:after="0" w:line="248" w:lineRule="exact"/>
              <w:rPr>
                <w:sz w:val="20"/>
                <w:szCs w:val="20"/>
                <w:color w:val="auto"/>
              </w:rPr>
            </w:pPr>
            <w:r>
              <w:rPr>
                <w:rFonts w:ascii="Arial" w:cs="Arial" w:eastAsia="Arial" w:hAnsi="Arial"/>
                <w:sz w:val="17"/>
                <w:szCs w:val="17"/>
                <w:color w:val="auto"/>
              </w:rPr>
              <w:t xml:space="preserve">TTK Solution – Allowance for doubtful accounts </w:t>
            </w:r>
            <w:r>
              <w:rPr>
                <w:rFonts w:ascii="Arial" w:cs="Arial" w:eastAsia="Arial" w:hAnsi="Arial"/>
                <w:sz w:val="27"/>
                <w:szCs w:val="27"/>
                <w:color w:val="auto"/>
                <w:vertAlign w:val="superscript"/>
              </w:rPr>
              <w:t>(2)</w:t>
            </w:r>
          </w:p>
        </w:tc>
        <w:tc>
          <w:tcPr>
            <w:tcW w:w="2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(21,770)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86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loan receivable</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1" w:right="260" w:hanging="301"/>
        <w:spacing w:after="0" w:line="260" w:lineRule="auto"/>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current portion of loan receivable are included within Note 4 – Supplemental Consolidated Balance Sheet Information, included elsewhere in the notes to the consolidated financial statements.</w:t>
      </w:r>
    </w:p>
    <w:p>
      <w:pPr>
        <w:spacing w:after="0" w:line="171" w:lineRule="exact"/>
        <w:rPr>
          <w:rFonts w:ascii="Arial" w:cs="Arial" w:eastAsia="Arial" w:hAnsi="Arial"/>
          <w:sz w:val="17"/>
          <w:szCs w:val="17"/>
          <w:color w:val="auto"/>
        </w:rPr>
      </w:pPr>
    </w:p>
    <w:p>
      <w:pPr>
        <w:ind w:left="301" w:right="100" w:hanging="301"/>
        <w:spacing w:after="0" w:line="260" w:lineRule="auto"/>
        <w:tabs>
          <w:tab w:leader="none" w:pos="3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established an allowance for doubtful accounts of approximately $14.7 million related to Bud &amp; Mary’s ongoing litigation. The remaining balance of approximately $7.1 million relates to Greenstone consisting of capital advances, accrued interest and VFUs sales.</w:t>
      </w:r>
    </w:p>
    <w:p>
      <w:pPr>
        <w:spacing w:after="0" w:line="172" w:lineRule="exact"/>
        <w:rPr>
          <w:sz w:val="20"/>
          <w:szCs w:val="20"/>
          <w:color w:val="auto"/>
        </w:rPr>
      </w:pPr>
    </w:p>
    <w:p>
      <w:pPr>
        <w:ind w:left="1" w:right="100" w:firstLine="298"/>
        <w:spacing w:after="0" w:line="260" w:lineRule="auto"/>
        <w:rPr>
          <w:sz w:val="20"/>
          <w:szCs w:val="20"/>
          <w:color w:val="auto"/>
        </w:rPr>
      </w:pPr>
      <w:r>
        <w:rPr>
          <w:rFonts w:ascii="Arial" w:cs="Arial" w:eastAsia="Arial" w:hAnsi="Arial"/>
          <w:sz w:val="17"/>
          <w:szCs w:val="17"/>
          <w:color w:val="auto"/>
        </w:rPr>
        <w:t>At this time, the Company is not aware of, nor has it identified any risk or potential performance failure associated with any of its other TTK Solution arrangements with the noted exception of Bud &amp; Mary’s TTK Solution and Greenstone TTK Solution, as described above.</w:t>
      </w:r>
    </w:p>
    <w:p>
      <w:pPr>
        <w:spacing w:after="0" w:line="172" w:lineRule="exact"/>
        <w:rPr>
          <w:sz w:val="20"/>
          <w:szCs w:val="20"/>
          <w:color w:val="auto"/>
        </w:rPr>
      </w:pPr>
    </w:p>
    <w:p>
      <w:pPr>
        <w:ind w:left="1" w:right="300" w:firstLine="298"/>
        <w:spacing w:after="0" w:line="293" w:lineRule="auto"/>
        <w:rPr>
          <w:sz w:val="20"/>
          <w:szCs w:val="20"/>
          <w:color w:val="auto"/>
        </w:rPr>
      </w:pPr>
      <w:r>
        <w:rPr>
          <w:rFonts w:ascii="Arial" w:cs="Arial" w:eastAsia="Arial" w:hAnsi="Arial"/>
          <w:sz w:val="15"/>
          <w:szCs w:val="15"/>
          <w:color w:val="auto"/>
        </w:rPr>
        <w:t>The Company analyzed whether any of the above customers are a VIE in accordance with ASC810 and if so, whether the Company is the primary beneficiary requiring consolidation. Based on the Company’s analysis, the Company has determined that Greenstone is a VIE. As of September 30,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22"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Note 7 — Inventory</w:t>
      </w:r>
    </w:p>
    <w:p>
      <w:pPr>
        <w:spacing w:after="0" w:line="205"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2"/>
          </w:tcPr>
          <w:p>
            <w:pPr>
              <w:ind w:left="300"/>
              <w:spacing w:after="0"/>
              <w:rPr>
                <w:sz w:val="20"/>
                <w:szCs w:val="20"/>
                <w:color w:val="auto"/>
              </w:rPr>
            </w:pPr>
            <w:r>
              <w:rPr>
                <w:rFonts w:ascii="Arial" w:cs="Arial" w:eastAsia="Arial" w:hAnsi="Arial"/>
                <w:sz w:val="17"/>
                <w:szCs w:val="17"/>
                <w:color w:val="auto"/>
              </w:rPr>
              <w:t>Inventory consisted of the following as of September 30, 2022 and December 31, 2021: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89"/>
              </w:rPr>
              <w:t>September 30,</w:t>
            </w:r>
          </w:p>
        </w:tc>
        <w:tc>
          <w:tcPr>
            <w:tcW w:w="20" w:type="dxa"/>
            <w:vAlign w:val="bottom"/>
          </w:tcPr>
          <w:p>
            <w:pPr>
              <w:spacing w:after="0"/>
              <w:rPr>
                <w:sz w:val="24"/>
                <w:szCs w:val="24"/>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Prepaid inventory</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2,237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21,743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12,810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680" w:type="dxa"/>
            <w:vAlign w:val="bottom"/>
            <w:tcBorders>
              <w:top w:val="single" w:sz="8" w:color="CCEEFF"/>
            </w:tcBorders>
            <w:gridSpan w:val="2"/>
          </w:tcPr>
          <w:p>
            <w:pPr>
              <w:ind w:left="140"/>
              <w:spacing w:after="0" w:line="184" w:lineRule="exact"/>
              <w:rPr>
                <w:sz w:val="20"/>
                <w:szCs w:val="20"/>
                <w:color w:val="auto"/>
              </w:rPr>
            </w:pPr>
            <w:r>
              <w:rPr>
                <w:rFonts w:ascii="Arial" w:cs="Arial" w:eastAsia="Arial" w:hAnsi="Arial"/>
                <w:sz w:val="17"/>
                <w:szCs w:val="17"/>
                <w:color w:val="auto"/>
              </w:rPr>
              <w:t>Inventory, gross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43,700</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21,440</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40"/>
              <w:spacing w:after="0"/>
              <w:rPr>
                <w:sz w:val="20"/>
                <w:szCs w:val="20"/>
                <w:color w:val="auto"/>
              </w:rPr>
            </w:pPr>
            <w:r>
              <w:rPr>
                <w:rFonts w:ascii="Arial" w:cs="Arial" w:eastAsia="Arial" w:hAnsi="Arial"/>
                <w:sz w:val="17"/>
                <w:szCs w:val="17"/>
                <w:color w:val="auto"/>
              </w:rPr>
              <w:t>Total inventory,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6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41,791</w:t>
            </w:r>
          </w:p>
        </w:tc>
        <w:tc>
          <w:tcPr>
            <w:tcW w:w="2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Inventory Reserves</w:t>
      </w:r>
    </w:p>
    <w:p>
      <w:pPr>
        <w:spacing w:after="0" w:line="201" w:lineRule="exact"/>
        <w:rPr>
          <w:sz w:val="20"/>
          <w:szCs w:val="20"/>
          <w:color w:val="auto"/>
        </w:rPr>
      </w:pPr>
    </w:p>
    <w:p>
      <w:pPr>
        <w:ind w:right="180" w:firstLine="298"/>
        <w:spacing w:after="0" w:line="252" w:lineRule="auto"/>
        <w:rPr>
          <w:sz w:val="20"/>
          <w:szCs w:val="20"/>
          <w:color w:val="auto"/>
        </w:rPr>
      </w:pPr>
      <w:r>
        <w:rPr>
          <w:rFonts w:ascii="Arial" w:cs="Arial" w:eastAsia="Arial" w:hAnsi="Arial"/>
          <w:sz w:val="17"/>
          <w:szCs w:val="17"/>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2"/>
          </w:tcPr>
          <w:p>
            <w:pPr>
              <w:ind w:left="300"/>
              <w:spacing w:after="0"/>
              <w:rPr>
                <w:sz w:val="20"/>
                <w:szCs w:val="20"/>
                <w:color w:val="auto"/>
              </w:rPr>
            </w:pPr>
            <w:r>
              <w:rPr>
                <w:rFonts w:ascii="Arial" w:cs="Arial" w:eastAsia="Arial" w:hAnsi="Arial"/>
                <w:sz w:val="17"/>
                <w:szCs w:val="17"/>
                <w:color w:val="auto"/>
              </w:rPr>
              <w:t>Changes in the Company’s inventory reserve are as follows: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Nine Months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Year</w:t>
            </w: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Ended</w:t>
            </w: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September 30,</w:t>
            </w:r>
          </w:p>
        </w:tc>
        <w:tc>
          <w:tcPr>
            <w:tcW w:w="1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117"/>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Inventory reserves – beginning of period</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Increase in inventory reserves</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tcPr>
          <w:p>
            <w:pPr>
              <w:spacing w:after="0"/>
              <w:rPr>
                <w:sz w:val="18"/>
                <w:szCs w:val="18"/>
                <w:color w:val="auto"/>
              </w:rPr>
            </w:pPr>
          </w:p>
        </w:tc>
      </w:tr>
      <w:tr>
        <w:trPr>
          <w:trHeight w:val="22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 reserves –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Goodwill and Intangible Assets, Net</w:t>
      </w:r>
    </w:p>
    <w:p>
      <w:pPr>
        <w:spacing w:after="0" w:line="205" w:lineRule="exact"/>
        <w:rPr>
          <w:sz w:val="20"/>
          <w:szCs w:val="20"/>
          <w:color w:val="auto"/>
        </w:rPr>
      </w:pPr>
    </w:p>
    <w:p>
      <w:pPr>
        <w:ind w:right="40" w:firstLine="298"/>
        <w:spacing w:after="0" w:line="288" w:lineRule="auto"/>
        <w:rPr>
          <w:sz w:val="20"/>
          <w:szCs w:val="20"/>
          <w:color w:val="auto"/>
        </w:rPr>
      </w:pPr>
      <w:r>
        <w:rPr>
          <w:rFonts w:ascii="Arial" w:cs="Arial" w:eastAsia="Arial" w:hAnsi="Arial"/>
          <w:sz w:val="15"/>
          <w:szCs w:val="15"/>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156" w:lineRule="exact"/>
        <w:rPr>
          <w:sz w:val="20"/>
          <w:szCs w:val="20"/>
          <w:color w:val="auto"/>
        </w:rPr>
      </w:pPr>
    </w:p>
    <w:p>
      <w:pPr>
        <w:ind w:right="100" w:firstLine="298"/>
        <w:spacing w:after="0" w:line="252" w:lineRule="auto"/>
        <w:rPr>
          <w:sz w:val="20"/>
          <w:szCs w:val="20"/>
          <w:color w:val="auto"/>
        </w:rPr>
      </w:pPr>
      <w:r>
        <w:rPr>
          <w:rFonts w:ascii="Arial" w:cs="Arial" w:eastAsia="Arial" w:hAnsi="Arial"/>
          <w:sz w:val="17"/>
          <w:szCs w:val="17"/>
          <w:color w:val="auto"/>
        </w:rPr>
        <w:t>The Company has concluded that there was an impairment-triggering event during the three months ended June 30, 2022 that required the Company to perform a detailed analysis of the current carrying value of its goodwill and intangible assets. For intangible asset and goodwill impairment testing purposes, the Company has one reporting unit.</w:t>
      </w:r>
    </w:p>
    <w:p>
      <w:pPr>
        <w:spacing w:after="0" w:line="178" w:lineRule="exact"/>
        <w:rPr>
          <w:sz w:val="20"/>
          <w:szCs w:val="20"/>
          <w:color w:val="auto"/>
        </w:rPr>
      </w:pPr>
    </w:p>
    <w:p>
      <w:pPr>
        <w:ind w:right="60" w:firstLine="298"/>
        <w:spacing w:after="0" w:line="293" w:lineRule="auto"/>
        <w:rPr>
          <w:sz w:val="20"/>
          <w:szCs w:val="20"/>
          <w:color w:val="auto"/>
        </w:rPr>
      </w:pPr>
      <w:r>
        <w:rPr>
          <w:rFonts w:ascii="Arial" w:cs="Arial" w:eastAsia="Arial" w:hAnsi="Arial"/>
          <w:sz w:val="15"/>
          <w:szCs w:val="15"/>
          <w:color w:val="auto"/>
        </w:rPr>
        <w:t>During the three-month period ended June 30, 2022, the Company’s market capitalization fell below total net assets. In addition, financial performance continued to weaken during the quarter, which is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intangible assets and goodwill.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1" w:name="page42"/>
    <w:bookmarkEnd w:id="41"/>
    <w:p>
      <w:pPr>
        <w:ind w:right="20" w:firstLine="298"/>
        <w:spacing w:after="0" w:line="249" w:lineRule="auto"/>
        <w:rPr>
          <w:sz w:val="20"/>
          <w:szCs w:val="20"/>
          <w:color w:val="auto"/>
        </w:rPr>
      </w:pPr>
      <w:r>
        <w:rPr>
          <w:rFonts w:ascii="Arial" w:cs="Arial" w:eastAsia="Arial" w:hAnsi="Arial"/>
          <w:sz w:val="17"/>
          <w:szCs w:val="17"/>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intangible assets and goodwill, which totaled $15.2 million and $54.7 million, respectively.</w:t>
      </w:r>
    </w:p>
    <w:p>
      <w:pPr>
        <w:sectPr>
          <w:pgSz w:w="11900" w:h="16838" w:orient="portrait"/>
          <w:cols w:equalWidth="0" w:num="1">
            <w:col w:w="11240"/>
          </w:cols>
          <w:pgMar w:left="320" w:top="822" w:right="339" w:bottom="1440" w:gutter="0" w:footer="0" w:header="0"/>
        </w:sectPr>
      </w:pPr>
    </w:p>
    <w:p>
      <w:pPr>
        <w:spacing w:after="0" w:line="18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141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Goodwill - beginning of period</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Goodwill acquired during period</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Goodwill 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Goodwill purchase accounting adjustment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65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Nine Months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57"/>
              <w:spacing w:after="0"/>
              <w:rPr>
                <w:sz w:val="20"/>
                <w:szCs w:val="20"/>
                <w:color w:val="auto"/>
              </w:rPr>
            </w:pPr>
            <w:r>
              <w:rPr>
                <w:rFonts w:ascii="Arial" w:cs="Arial" w:eastAsia="Arial" w:hAnsi="Arial"/>
                <w:sz w:val="17"/>
                <w:szCs w:val="17"/>
                <w:b w:val="1"/>
                <w:bCs w:val="1"/>
                <w:color w:val="auto"/>
                <w:w w:val="86"/>
              </w:rPr>
              <w:t>Year</w:t>
            </w:r>
          </w:p>
        </w:tc>
      </w:tr>
      <w:tr>
        <w:trPr>
          <w:trHeight w:val="198"/>
        </w:trPr>
        <w:tc>
          <w:tcPr>
            <w:tcW w:w="8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37"/>
              <w:spacing w:after="0"/>
              <w:rPr>
                <w:sz w:val="20"/>
                <w:szCs w:val="20"/>
                <w:color w:val="auto"/>
              </w:rPr>
            </w:pPr>
            <w:r>
              <w:rPr>
                <w:rFonts w:ascii="Arial" w:cs="Arial" w:eastAsia="Arial" w:hAnsi="Arial"/>
                <w:sz w:val="17"/>
                <w:szCs w:val="17"/>
                <w:b w:val="1"/>
                <w:bCs w:val="1"/>
                <w:color w:val="auto"/>
                <w:w w:val="88"/>
              </w:rPr>
              <w:t>Ended</w:t>
            </w:r>
          </w:p>
        </w:tc>
      </w:tr>
      <w:tr>
        <w:trPr>
          <w:trHeight w:val="198"/>
        </w:trPr>
        <w:tc>
          <w:tcPr>
            <w:tcW w:w="13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December 31,</w:t>
            </w:r>
          </w:p>
        </w:tc>
      </w:tr>
      <w:tr>
        <w:trPr>
          <w:trHeight w:val="220"/>
        </w:trPr>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7"/>
                <w:szCs w:val="17"/>
                <w:b w:val="1"/>
                <w:bCs w:val="1"/>
                <w:color w:val="auto"/>
                <w:w w:val="84"/>
              </w:rPr>
              <w:t>2021</w:t>
            </w:r>
          </w:p>
        </w:tc>
      </w:tr>
      <w:tr>
        <w:trPr>
          <w:trHeight w:val="18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6" w:lineRule="exact"/>
              <w:rPr>
                <w:sz w:val="20"/>
                <w:szCs w:val="20"/>
                <w:color w:val="auto"/>
              </w:rPr>
            </w:pPr>
            <w:r>
              <w:rPr>
                <w:rFonts w:ascii="Arial" w:cs="Arial" w:eastAsia="Arial" w:hAnsi="Arial"/>
                <w:sz w:val="17"/>
                <w:szCs w:val="17"/>
                <w:color w:val="auto"/>
              </w:rPr>
              <w:t>50,090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632</w:t>
            </w:r>
          </w:p>
        </w:tc>
      </w:tr>
      <w:tr>
        <w:trPr>
          <w:trHeight w:val="198"/>
        </w:trPr>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49,458</w:t>
            </w:r>
          </w:p>
        </w:tc>
      </w:tr>
      <w:tr>
        <w:trPr>
          <w:trHeight w:val="209"/>
        </w:trPr>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(54,747)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5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50,090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960" w:space="720"/>
            <w:col w:w="2560"/>
          </w:cols>
          <w:pgMar w:left="320" w:top="822" w:right="3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Intangible assets, net as of September 30, 2022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7"/>
          </w:tcPr>
          <w:p>
            <w:pPr>
              <w:ind w:left="540"/>
              <w:spacing w:after="0"/>
              <w:rPr>
                <w:sz w:val="20"/>
                <w:szCs w:val="20"/>
                <w:color w:val="auto"/>
              </w:rPr>
            </w:pPr>
            <w:r>
              <w:rPr>
                <w:rFonts w:ascii="Arial" w:cs="Arial" w:eastAsia="Arial" w:hAnsi="Arial"/>
                <w:sz w:val="17"/>
                <w:szCs w:val="17"/>
                <w:b w:val="1"/>
                <w:bCs w:val="1"/>
                <w:color w:val="auto"/>
                <w:w w:val="85"/>
              </w:rPr>
              <w:t>Intangible Assets, Gross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gridSpan w:val="8"/>
          </w:tcPr>
          <w:p>
            <w:pPr>
              <w:jc w:val="right"/>
              <w:ind w:right="243"/>
              <w:spacing w:after="0"/>
              <w:rPr>
                <w:sz w:val="20"/>
                <w:szCs w:val="20"/>
                <w:color w:val="auto"/>
              </w:rPr>
            </w:pPr>
            <w:r>
              <w:rPr>
                <w:rFonts w:ascii="Arial" w:cs="Arial" w:eastAsia="Arial" w:hAnsi="Arial"/>
                <w:sz w:val="17"/>
                <w:szCs w:val="17"/>
                <w:b w:val="1"/>
                <w:bCs w:val="1"/>
                <w:color w:val="auto"/>
                <w:w w:val="91"/>
              </w:rPr>
              <w:t>Accumulated Amortization and Impairment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ind w:left="80"/>
              <w:spacing w:after="0"/>
              <w:rPr>
                <w:sz w:val="20"/>
                <w:szCs w:val="20"/>
                <w:color w:val="auto"/>
              </w:rPr>
            </w:pPr>
            <w:r>
              <w:rPr>
                <w:rFonts w:ascii="Arial" w:cs="Arial" w:eastAsia="Arial" w:hAnsi="Arial"/>
                <w:sz w:val="17"/>
                <w:szCs w:val="17"/>
                <w:b w:val="1"/>
                <w:bCs w:val="1"/>
                <w:color w:val="auto"/>
                <w:w w:val="88"/>
              </w:rPr>
              <w:t>Intangible Assets, Net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gridSpan w:val="3"/>
          </w:tcPr>
          <w:p>
            <w:pPr>
              <w:jc w:val="right"/>
              <w:ind w:right="260"/>
              <w:spacing w:after="0" w:line="182" w:lineRule="exact"/>
              <w:rPr>
                <w:sz w:val="20"/>
                <w:szCs w:val="20"/>
                <w:color w:val="auto"/>
              </w:rPr>
            </w:pPr>
            <w:r>
              <w:rPr>
                <w:rFonts w:ascii="Arial" w:cs="Arial" w:eastAsia="Arial" w:hAnsi="Arial"/>
                <w:sz w:val="17"/>
                <w:szCs w:val="17"/>
                <w:b w:val="1"/>
                <w:bCs w:val="1"/>
                <w:color w:val="auto"/>
                <w:w w:val="92"/>
              </w:rPr>
              <w:t>January 1,</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100"/>
              <w:spacing w:after="0" w:line="182" w:lineRule="exact"/>
              <w:rPr>
                <w:sz w:val="20"/>
                <w:szCs w:val="20"/>
                <w:color w:val="auto"/>
              </w:rPr>
            </w:pPr>
            <w:r>
              <w:rPr>
                <w:rFonts w:ascii="Arial" w:cs="Arial" w:eastAsia="Arial" w:hAnsi="Arial"/>
                <w:sz w:val="17"/>
                <w:szCs w:val="17"/>
                <w:b w:val="1"/>
                <w:bCs w:val="1"/>
                <w:color w:val="auto"/>
                <w:w w:val="84"/>
              </w:rPr>
              <w:t>September 30,</w:t>
            </w:r>
          </w:p>
        </w:tc>
        <w:tc>
          <w:tcPr>
            <w:tcW w:w="200" w:type="dxa"/>
            <w:vAlign w:val="bottom"/>
          </w:tcPr>
          <w:p>
            <w:pPr>
              <w:spacing w:after="0"/>
              <w:rPr>
                <w:sz w:val="15"/>
                <w:szCs w:val="15"/>
                <w:color w:val="auto"/>
              </w:rPr>
            </w:pPr>
          </w:p>
        </w:tc>
        <w:tc>
          <w:tcPr>
            <w:tcW w:w="1080" w:type="dxa"/>
            <w:vAlign w:val="bottom"/>
            <w:tcBorders>
              <w:top w:val="single" w:sz="8" w:color="auto"/>
            </w:tcBorders>
            <w:gridSpan w:val="3"/>
          </w:tcPr>
          <w:p>
            <w:pPr>
              <w:jc w:val="right"/>
              <w:ind w:right="203"/>
              <w:spacing w:after="0" w:line="182" w:lineRule="exact"/>
              <w:rPr>
                <w:sz w:val="20"/>
                <w:szCs w:val="20"/>
                <w:color w:val="auto"/>
              </w:rPr>
            </w:pPr>
            <w:r>
              <w:rPr>
                <w:rFonts w:ascii="Arial" w:cs="Arial" w:eastAsia="Arial" w:hAnsi="Arial"/>
                <w:sz w:val="17"/>
                <w:szCs w:val="17"/>
                <w:b w:val="1"/>
                <w:bCs w:val="1"/>
                <w:color w:val="auto"/>
                <w:w w:val="92"/>
              </w:rPr>
              <w:t>January 1,</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319"/>
              <w:spacing w:after="0" w:line="182" w:lineRule="exact"/>
              <w:rPr>
                <w:sz w:val="20"/>
                <w:szCs w:val="20"/>
                <w:color w:val="auto"/>
              </w:rPr>
            </w:pPr>
            <w:r>
              <w:rPr>
                <w:rFonts w:ascii="Arial" w:cs="Arial" w:eastAsia="Arial" w:hAnsi="Arial"/>
                <w:sz w:val="17"/>
                <w:szCs w:val="17"/>
                <w:b w:val="1"/>
                <w:bCs w:val="1"/>
                <w:color w:val="auto"/>
                <w:w w:val="87"/>
              </w:rPr>
              <w:t>Expense and</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b w:val="1"/>
                <w:bCs w:val="1"/>
                <w:color w:val="auto"/>
                <w:w w:val="84"/>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gridSpan w:val="3"/>
          </w:tcPr>
          <w:p>
            <w:pPr>
              <w:jc w:val="right"/>
              <w:ind w:right="260"/>
              <w:spacing w:after="0" w:line="182" w:lineRule="exact"/>
              <w:rPr>
                <w:sz w:val="20"/>
                <w:szCs w:val="20"/>
                <w:color w:val="auto"/>
              </w:rPr>
            </w:pPr>
            <w:r>
              <w:rPr>
                <w:rFonts w:ascii="Arial" w:cs="Arial" w:eastAsia="Arial" w:hAnsi="Arial"/>
                <w:sz w:val="17"/>
                <w:szCs w:val="17"/>
                <w:b w:val="1"/>
                <w:bCs w:val="1"/>
                <w:color w:val="auto"/>
                <w:w w:val="92"/>
              </w:rPr>
              <w:t>January 1,</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b w:val="1"/>
                <w:bCs w:val="1"/>
                <w:color w:val="auto"/>
                <w:w w:val="84"/>
              </w:rPr>
              <w:t>September 30,</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9"/>
                <w:szCs w:val="19"/>
                <w:color w:val="auto"/>
              </w:rPr>
            </w:pPr>
          </w:p>
        </w:tc>
        <w:tc>
          <w:tcPr>
            <w:tcW w:w="700" w:type="dxa"/>
            <w:vAlign w:val="bottom"/>
          </w:tcPr>
          <w:p>
            <w:pPr>
              <w:jc w:val="right"/>
              <w:ind w:right="177"/>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Additions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57"/>
              <w:spacing w:after="0"/>
              <w:rPr>
                <w:sz w:val="20"/>
                <w:szCs w:val="20"/>
                <w:color w:val="auto"/>
              </w:rPr>
            </w:pPr>
            <w:r>
              <w:rPr>
                <w:rFonts w:ascii="Arial" w:cs="Arial" w:eastAsia="Arial" w:hAnsi="Arial"/>
                <w:sz w:val="17"/>
                <w:szCs w:val="17"/>
                <w:b w:val="1"/>
                <w:bCs w:val="1"/>
                <w:color w:val="auto"/>
                <w:w w:val="89"/>
              </w:rPr>
              <w:t>2022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77"/>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Impairments, net</w:t>
            </w:r>
          </w:p>
        </w:tc>
        <w:tc>
          <w:tcPr>
            <w:tcW w:w="220" w:type="dxa"/>
            <w:vAlign w:val="bottom"/>
          </w:tcPr>
          <w:p>
            <w:pPr>
              <w:spacing w:after="0"/>
              <w:rPr>
                <w:sz w:val="19"/>
                <w:szCs w:val="19"/>
                <w:color w:val="auto"/>
              </w:rPr>
            </w:pPr>
          </w:p>
        </w:tc>
        <w:tc>
          <w:tcPr>
            <w:tcW w:w="780" w:type="dxa"/>
            <w:vAlign w:val="bottom"/>
          </w:tcPr>
          <w:p>
            <w:pPr>
              <w:jc w:val="right"/>
              <w:ind w:right="237"/>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 names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82"/>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6,176</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6,889</w:t>
            </w:r>
          </w:p>
        </w:tc>
        <w:tc>
          <w:tcPr>
            <w:tcW w:w="140" w:type="dxa"/>
            <w:vAlign w:val="bottom"/>
          </w:tcPr>
          <w:p>
            <w:pPr>
              <w:spacing w:after="0"/>
              <w:rPr>
                <w:sz w:val="17"/>
                <w:szCs w:val="17"/>
                <w:color w:val="auto"/>
              </w:rPr>
            </w:pPr>
          </w:p>
        </w:tc>
        <w:tc>
          <w:tcPr>
            <w:tcW w:w="940" w:type="dxa"/>
            <w:vAlign w:val="bottom"/>
            <w:gridSpan w:val="2"/>
          </w:tcPr>
          <w:p>
            <w:pPr>
              <w:jc w:val="right"/>
              <w:ind w:right="83"/>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7"/>
                <w:szCs w:val="17"/>
                <w:color w:val="auto"/>
              </w:rPr>
              <w:t>(6,587)</w:t>
            </w:r>
          </w:p>
        </w:tc>
        <w:tc>
          <w:tcPr>
            <w:tcW w:w="220" w:type="dxa"/>
            <w:vAlign w:val="bottom"/>
          </w:tcPr>
          <w:p>
            <w:pPr>
              <w:spacing w:after="0"/>
              <w:rPr>
                <w:sz w:val="17"/>
                <w:szCs w:val="17"/>
                <w:color w:val="auto"/>
              </w:rPr>
            </w:pPr>
          </w:p>
        </w:tc>
        <w:tc>
          <w:tcPr>
            <w:tcW w:w="920" w:type="dxa"/>
            <w:vAlign w:val="bottom"/>
            <w:gridSpan w:val="2"/>
          </w:tcPr>
          <w:p>
            <w:pPr>
              <w:jc w:val="right"/>
              <w:ind w:right="3"/>
              <w:spacing w:after="0"/>
              <w:rPr>
                <w:sz w:val="20"/>
                <w:szCs w:val="20"/>
                <w:color w:val="auto"/>
              </w:rPr>
            </w:pPr>
            <w:r>
              <w:rPr>
                <w:rFonts w:ascii="Arial" w:cs="Arial" w:eastAsia="Arial" w:hAnsi="Arial"/>
                <w:sz w:val="17"/>
                <w:szCs w:val="17"/>
                <w:color w:val="auto"/>
              </w:rPr>
              <w:t>(6,889)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5,874</w:t>
            </w:r>
          </w:p>
        </w:tc>
        <w:tc>
          <w:tcPr>
            <w:tcW w:w="800" w:type="dxa"/>
            <w:vAlign w:val="bottom"/>
          </w:tcPr>
          <w:p>
            <w:pPr>
              <w:spacing w:after="0"/>
              <w:rPr>
                <w:sz w:val="17"/>
                <w:szCs w:val="17"/>
                <w:color w:val="auto"/>
              </w:rPr>
            </w:pPr>
          </w:p>
        </w:tc>
        <w:tc>
          <w:tcPr>
            <w:tcW w:w="30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Acquired developed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technology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4,911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6,343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(6,152)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(6,343)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4,720</w:t>
            </w:r>
          </w:p>
        </w:tc>
        <w:tc>
          <w:tcPr>
            <w:tcW w:w="8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rPr>
                <w:sz w:val="20"/>
                <w:szCs w:val="20"/>
                <w:color w:val="auto"/>
              </w:rPr>
            </w:pPr>
            <w:r>
              <w:rPr>
                <w:rFonts w:ascii="Arial" w:cs="Arial" w:eastAsia="Arial" w:hAnsi="Arial"/>
                <w:sz w:val="17"/>
                <w:szCs w:val="17"/>
                <w:color w:val="auto"/>
              </w:rPr>
              <w:t>Non-compete agreements</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1,202</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1,202</w:t>
            </w:r>
          </w:p>
        </w:tc>
        <w:tc>
          <w:tcPr>
            <w:tcW w:w="140" w:type="dxa"/>
            <w:vAlign w:val="bottom"/>
          </w:tcPr>
          <w:p>
            <w:pPr>
              <w:spacing w:after="0"/>
              <w:rPr>
                <w:sz w:val="17"/>
                <w:szCs w:val="17"/>
                <w:color w:val="auto"/>
              </w:rPr>
            </w:pPr>
          </w:p>
        </w:tc>
        <w:tc>
          <w:tcPr>
            <w:tcW w:w="940" w:type="dxa"/>
            <w:vAlign w:val="bottom"/>
            <w:gridSpan w:val="2"/>
          </w:tcPr>
          <w:p>
            <w:pPr>
              <w:jc w:val="right"/>
              <w:ind w:right="83"/>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7"/>
                <w:szCs w:val="17"/>
                <w:color w:val="auto"/>
              </w:rPr>
            </w:pPr>
          </w:p>
        </w:tc>
        <w:tc>
          <w:tcPr>
            <w:tcW w:w="1300" w:type="dxa"/>
            <w:vAlign w:val="bottom"/>
            <w:gridSpan w:val="2"/>
          </w:tcPr>
          <w:p>
            <w:pPr>
              <w:jc w:val="right"/>
              <w:ind w:right="119"/>
              <w:spacing w:after="0"/>
              <w:rPr>
                <w:sz w:val="20"/>
                <w:szCs w:val="20"/>
                <w:color w:val="auto"/>
              </w:rPr>
            </w:pPr>
            <w:r>
              <w:rPr>
                <w:rFonts w:ascii="Arial" w:cs="Arial" w:eastAsia="Arial" w:hAnsi="Arial"/>
                <w:sz w:val="17"/>
                <w:szCs w:val="17"/>
                <w:color w:val="auto"/>
              </w:rPr>
              <w:t>(1,142)</w:t>
            </w:r>
          </w:p>
        </w:tc>
        <w:tc>
          <w:tcPr>
            <w:tcW w:w="220" w:type="dxa"/>
            <w:vAlign w:val="bottom"/>
          </w:tcPr>
          <w:p>
            <w:pPr>
              <w:spacing w:after="0"/>
              <w:rPr>
                <w:sz w:val="17"/>
                <w:szCs w:val="17"/>
                <w:color w:val="auto"/>
              </w:rPr>
            </w:pPr>
          </w:p>
        </w:tc>
        <w:tc>
          <w:tcPr>
            <w:tcW w:w="920" w:type="dxa"/>
            <w:vAlign w:val="bottom"/>
            <w:gridSpan w:val="2"/>
          </w:tcPr>
          <w:p>
            <w:pPr>
              <w:jc w:val="right"/>
              <w:ind w:right="3"/>
              <w:spacing w:after="0"/>
              <w:rPr>
                <w:sz w:val="20"/>
                <w:szCs w:val="20"/>
                <w:color w:val="auto"/>
              </w:rPr>
            </w:pPr>
            <w:r>
              <w:rPr>
                <w:rFonts w:ascii="Arial" w:cs="Arial" w:eastAsia="Arial" w:hAnsi="Arial"/>
                <w:sz w:val="17"/>
                <w:szCs w:val="17"/>
                <w:color w:val="auto"/>
              </w:rPr>
              <w:t>(1,202)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1,142</w:t>
            </w:r>
          </w:p>
        </w:tc>
        <w:tc>
          <w:tcPr>
            <w:tcW w:w="800" w:type="dxa"/>
            <w:vAlign w:val="bottom"/>
          </w:tcPr>
          <w:p>
            <w:pPr>
              <w:spacing w:after="0"/>
              <w:rPr>
                <w:sz w:val="17"/>
                <w:szCs w:val="17"/>
                <w:color w:val="auto"/>
              </w:rPr>
            </w:pPr>
          </w:p>
        </w:tc>
        <w:tc>
          <w:tcPr>
            <w:tcW w:w="30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Capitalized website costs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(145)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w:t>
            </w:r>
          </w:p>
        </w:tc>
        <w:tc>
          <w:tcPr>
            <w:tcW w:w="8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7"/>
                <w:szCs w:val="17"/>
                <w:color w:val="auto"/>
                <w:w w:val="91"/>
              </w:rPr>
              <w:t>Total intangible assets,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40" w:type="dxa"/>
            <w:vAlign w:val="bottom"/>
            <w:gridSpan w:val="2"/>
            <w:vMerge w:val="continue"/>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14,952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2,462</w:t>
            </w:r>
          </w:p>
        </w:tc>
        <w:tc>
          <w:tcPr>
            <w:tcW w:w="4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17,414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(880</w:t>
            </w:r>
          </w:p>
        </w:tc>
        <w:tc>
          <w:tcPr>
            <w:tcW w:w="2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(16,534</w:t>
            </w:r>
          </w:p>
        </w:tc>
        <w:tc>
          <w:tcPr>
            <w:tcW w:w="200" w:type="dxa"/>
            <w:vAlign w:val="bottom"/>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(17,414</w:t>
            </w:r>
          </w:p>
        </w:tc>
        <w:tc>
          <w:tcPr>
            <w:tcW w:w="140" w:type="dxa"/>
            <w:vAlign w:val="bottom"/>
            <w:vMerge w:val="continue"/>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14,072</w:t>
            </w:r>
          </w:p>
        </w:tc>
        <w:tc>
          <w:tcPr>
            <w:tcW w:w="80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Intangible assets, net as of December 31, 2021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7"/>
          </w:tcPr>
          <w:p>
            <w:pPr>
              <w:ind w:left="560"/>
              <w:spacing w:after="0"/>
              <w:rPr>
                <w:sz w:val="20"/>
                <w:szCs w:val="20"/>
                <w:color w:val="auto"/>
              </w:rPr>
            </w:pPr>
            <w:r>
              <w:rPr>
                <w:rFonts w:ascii="Arial" w:cs="Arial" w:eastAsia="Arial" w:hAnsi="Arial"/>
                <w:sz w:val="17"/>
                <w:szCs w:val="17"/>
                <w:b w:val="1"/>
                <w:bCs w:val="1"/>
                <w:color w:val="auto"/>
                <w:w w:val="87"/>
              </w:rPr>
              <w:t>Intangible Assets, Gross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7"/>
          </w:tcPr>
          <w:p>
            <w:pPr>
              <w:jc w:val="right"/>
              <w:ind w:right="237"/>
              <w:spacing w:after="0"/>
              <w:rPr>
                <w:sz w:val="20"/>
                <w:szCs w:val="20"/>
                <w:color w:val="auto"/>
              </w:rPr>
            </w:pPr>
            <w:r>
              <w:rPr>
                <w:rFonts w:ascii="Arial" w:cs="Arial" w:eastAsia="Arial" w:hAnsi="Arial"/>
                <w:sz w:val="17"/>
                <w:szCs w:val="17"/>
                <w:b w:val="1"/>
                <w:bCs w:val="1"/>
                <w:color w:val="auto"/>
              </w:rPr>
              <w:t>Accumulated Amortization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tcPr>
          <w:p>
            <w:pPr>
              <w:ind w:left="100"/>
              <w:spacing w:after="0"/>
              <w:rPr>
                <w:sz w:val="20"/>
                <w:szCs w:val="20"/>
                <w:color w:val="auto"/>
              </w:rPr>
            </w:pPr>
            <w:r>
              <w:rPr>
                <w:rFonts w:ascii="Arial" w:cs="Arial" w:eastAsia="Arial" w:hAnsi="Arial"/>
                <w:sz w:val="17"/>
                <w:szCs w:val="17"/>
                <w:b w:val="1"/>
                <w:bCs w:val="1"/>
                <w:color w:val="auto"/>
              </w:rPr>
              <w:t>Intangible Assets, Net</w:t>
            </w: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gridSpan w:val="3"/>
          </w:tcPr>
          <w:p>
            <w:pPr>
              <w:ind w:left="80"/>
              <w:spacing w:after="0" w:line="182" w:lineRule="exact"/>
              <w:rPr>
                <w:sz w:val="20"/>
                <w:szCs w:val="20"/>
                <w:color w:val="auto"/>
              </w:rPr>
            </w:pPr>
            <w:r>
              <w:rPr>
                <w:rFonts w:ascii="Arial" w:cs="Arial" w:eastAsia="Arial" w:hAnsi="Arial"/>
                <w:sz w:val="17"/>
                <w:szCs w:val="17"/>
                <w:b w:val="1"/>
                <w:bCs w:val="1"/>
                <w:color w:val="auto"/>
              </w:rPr>
              <w:t>January 1,</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b w:val="1"/>
                <w:bCs w:val="1"/>
                <w:color w:val="auto"/>
                <w:w w:val="84"/>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top w:val="single" w:sz="8" w:color="auto"/>
            </w:tcBorders>
            <w:gridSpan w:val="3"/>
          </w:tcPr>
          <w:p>
            <w:pPr>
              <w:jc w:val="right"/>
              <w:ind w:right="123"/>
              <w:spacing w:after="0" w:line="182" w:lineRule="exact"/>
              <w:rPr>
                <w:sz w:val="20"/>
                <w:szCs w:val="20"/>
                <w:color w:val="auto"/>
              </w:rPr>
            </w:pPr>
            <w:r>
              <w:rPr>
                <w:rFonts w:ascii="Arial" w:cs="Arial" w:eastAsia="Arial" w:hAnsi="Arial"/>
                <w:sz w:val="17"/>
                <w:szCs w:val="17"/>
                <w:b w:val="1"/>
                <w:bCs w:val="1"/>
                <w:color w:val="auto"/>
                <w:w w:val="95"/>
              </w:rPr>
              <w:t>January 1,</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b w:val="1"/>
                <w:bCs w:val="1"/>
                <w:color w:val="auto"/>
                <w:w w:val="84"/>
              </w:rPr>
              <w:t>December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auto"/>
            </w:tcBorders>
            <w:gridSpan w:val="3"/>
          </w:tcPr>
          <w:p>
            <w:pPr>
              <w:ind w:left="80"/>
              <w:spacing w:after="0" w:line="182" w:lineRule="exact"/>
              <w:rPr>
                <w:sz w:val="20"/>
                <w:szCs w:val="20"/>
                <w:color w:val="auto"/>
              </w:rPr>
            </w:pPr>
            <w:r>
              <w:rPr>
                <w:rFonts w:ascii="Arial" w:cs="Arial" w:eastAsia="Arial" w:hAnsi="Arial"/>
                <w:sz w:val="17"/>
                <w:szCs w:val="17"/>
                <w:b w:val="1"/>
                <w:bCs w:val="1"/>
                <w:color w:val="auto"/>
              </w:rPr>
              <w:t>January 1,</w:t>
            </w:r>
          </w:p>
        </w:tc>
        <w:tc>
          <w:tcPr>
            <w:tcW w:w="9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7"/>
                <w:szCs w:val="17"/>
                <w:b w:val="1"/>
                <w:bCs w:val="1"/>
                <w:color w:val="auto"/>
                <w:w w:val="84"/>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80" w:type="dxa"/>
            <w:vAlign w:val="bottom"/>
          </w:tcPr>
          <w:p>
            <w:pPr>
              <w:spacing w:after="0"/>
              <w:rPr>
                <w:sz w:val="19"/>
                <w:szCs w:val="19"/>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Additions</w:t>
            </w:r>
          </w:p>
        </w:tc>
        <w:tc>
          <w:tcPr>
            <w:tcW w:w="260" w:type="dxa"/>
            <w:vAlign w:val="bottom"/>
          </w:tcPr>
          <w:p>
            <w:pPr>
              <w:spacing w:after="0"/>
              <w:rPr>
                <w:sz w:val="19"/>
                <w:szCs w:val="19"/>
                <w:color w:val="auto"/>
              </w:rPr>
            </w:pPr>
          </w:p>
        </w:tc>
        <w:tc>
          <w:tcPr>
            <w:tcW w:w="700" w:type="dxa"/>
            <w:vAlign w:val="bottom"/>
          </w:tcPr>
          <w:p>
            <w:pPr>
              <w:jc w:val="right"/>
              <w:ind w:right="237"/>
              <w:spacing w:after="0"/>
              <w:rPr>
                <w:sz w:val="20"/>
                <w:szCs w:val="20"/>
                <w:color w:val="auto"/>
              </w:rPr>
            </w:pPr>
            <w:r>
              <w:rPr>
                <w:rFonts w:ascii="Arial" w:cs="Arial" w:eastAsia="Arial" w:hAnsi="Arial"/>
                <w:sz w:val="17"/>
                <w:szCs w:val="17"/>
                <w:b w:val="1"/>
                <w:bCs w:val="1"/>
                <w:color w:val="auto"/>
                <w:w w:val="95"/>
              </w:rPr>
              <w:t>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3"/>
              <w:spacing w:after="0"/>
              <w:rPr>
                <w:sz w:val="20"/>
                <w:szCs w:val="20"/>
                <w:color w:val="auto"/>
              </w:rPr>
            </w:pPr>
            <w:r>
              <w:rPr>
                <w:rFonts w:ascii="Arial" w:cs="Arial" w:eastAsia="Arial" w:hAnsi="Arial"/>
                <w:sz w:val="17"/>
                <w:szCs w:val="17"/>
                <w:b w:val="1"/>
                <w:bCs w:val="1"/>
                <w:color w:val="auto"/>
                <w:w w:val="88"/>
              </w:rPr>
              <w:t>Expense</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3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 names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0"/>
              </w:rPr>
              <w:t>(227)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rPr>
                <w:sz w:val="20"/>
                <w:szCs w:val="20"/>
                <w:color w:val="auto"/>
              </w:rPr>
            </w:pPr>
            <w:r>
              <w:rPr>
                <w:rFonts w:ascii="Arial" w:cs="Arial" w:eastAsia="Arial" w:hAnsi="Arial"/>
                <w:sz w:val="17"/>
                <w:szCs w:val="17"/>
                <w:color w:val="auto"/>
              </w:rPr>
              <w:t>Customer relationships</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5,326</w:t>
            </w:r>
          </w:p>
        </w:tc>
        <w:tc>
          <w:tcPr>
            <w:tcW w:w="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6,176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3"/>
              <w:spacing w:after="0"/>
              <w:rPr>
                <w:sz w:val="20"/>
                <w:szCs w:val="20"/>
                <w:color w:val="auto"/>
              </w:rPr>
            </w:pPr>
            <w:r>
              <w:rPr>
                <w:rFonts w:ascii="Arial" w:cs="Arial" w:eastAsia="Arial" w:hAnsi="Arial"/>
                <w:sz w:val="17"/>
                <w:szCs w:val="17"/>
                <w:color w:val="auto"/>
              </w:rPr>
              <w:t>(213)</w:t>
            </w:r>
          </w:p>
        </w:tc>
        <w:tc>
          <w:tcPr>
            <w:tcW w:w="660" w:type="dxa"/>
            <w:vAlign w:val="bottom"/>
          </w:tcPr>
          <w:p>
            <w:pPr>
              <w:spacing w:after="0"/>
              <w:rPr>
                <w:sz w:val="17"/>
                <w:szCs w:val="17"/>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7"/>
                <w:szCs w:val="17"/>
                <w:color w:val="auto"/>
                <w:w w:val="85"/>
              </w:rPr>
              <w:t>(302)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761</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5,874</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Acquired developed technology</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4,911</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4,911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(191)</w:t>
            </w:r>
          </w:p>
        </w:tc>
        <w:tc>
          <w:tcPr>
            <w:tcW w:w="6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w w:val="85"/>
              </w:rPr>
              <w:t>(191)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4,720</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rPr>
                <w:sz w:val="20"/>
                <w:szCs w:val="20"/>
                <w:color w:val="auto"/>
              </w:rPr>
            </w:pPr>
            <w:r>
              <w:rPr>
                <w:rFonts w:ascii="Arial" w:cs="Arial" w:eastAsia="Arial" w:hAnsi="Arial"/>
                <w:sz w:val="17"/>
                <w:szCs w:val="17"/>
                <w:color w:val="auto"/>
              </w:rPr>
              <w:t>Non-compete agreements</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1,202</w:t>
            </w:r>
          </w:p>
        </w:tc>
        <w:tc>
          <w:tcPr>
            <w:tcW w:w="2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1,202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83"/>
              <w:spacing w:after="0"/>
              <w:rPr>
                <w:sz w:val="20"/>
                <w:szCs w:val="20"/>
                <w:color w:val="auto"/>
              </w:rPr>
            </w:pPr>
            <w:r>
              <w:rPr>
                <w:rFonts w:ascii="Arial" w:cs="Arial" w:eastAsia="Arial" w:hAnsi="Arial"/>
                <w:sz w:val="17"/>
                <w:szCs w:val="17"/>
                <w:color w:val="auto"/>
              </w:rPr>
              <w:t>(60)</w:t>
            </w:r>
          </w:p>
        </w:tc>
        <w:tc>
          <w:tcPr>
            <w:tcW w:w="660" w:type="dxa"/>
            <w:vAlign w:val="bottom"/>
          </w:tcPr>
          <w:p>
            <w:pPr>
              <w:spacing w:after="0"/>
              <w:rPr>
                <w:sz w:val="17"/>
                <w:szCs w:val="17"/>
                <w:color w:val="auto"/>
              </w:rPr>
            </w:pPr>
          </w:p>
        </w:tc>
        <w:tc>
          <w:tcPr>
            <w:tcW w:w="440" w:type="dxa"/>
            <w:vAlign w:val="bottom"/>
            <w:gridSpan w:val="2"/>
          </w:tcPr>
          <w:p>
            <w:pPr>
              <w:jc w:val="right"/>
              <w:ind w:right="3"/>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Capitalized website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(52)</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w w:val="85"/>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gridSpan w:val="2"/>
            <w:vMerge w:val="restart"/>
          </w:tcPr>
          <w:p>
            <w:pPr>
              <w:ind w:left="140"/>
              <w:spacing w:after="0"/>
              <w:rPr>
                <w:sz w:val="20"/>
                <w:szCs w:val="20"/>
                <w:color w:val="auto"/>
              </w:rPr>
            </w:pPr>
            <w:r>
              <w:rPr>
                <w:rFonts w:ascii="Arial" w:cs="Arial" w:eastAsia="Arial" w:hAnsi="Arial"/>
                <w:sz w:val="17"/>
                <w:szCs w:val="17"/>
                <w:color w:val="auto"/>
              </w:rPr>
              <w:t>Total intangible assets, net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240" w:type="dxa"/>
            <w:vAlign w:val="bottom"/>
            <w:gridSpan w:val="2"/>
            <w:vMerge w:val="continue"/>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13,033</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14,952</w:t>
            </w: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(225</w:t>
            </w:r>
          </w:p>
        </w:tc>
        <w:tc>
          <w:tcPr>
            <w:tcW w:w="140" w:type="dxa"/>
            <w:vAlign w:val="bottom"/>
            <w:vMerge w:val="continue"/>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(655</w:t>
            </w:r>
          </w:p>
        </w:tc>
        <w:tc>
          <w:tcPr>
            <w:tcW w:w="2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82"/>
              </w:rPr>
              <w:t>(880</w:t>
            </w:r>
          </w:p>
        </w:tc>
        <w:tc>
          <w:tcPr>
            <w:tcW w:w="140" w:type="dxa"/>
            <w:vAlign w:val="bottom"/>
            <w:vMerge w:val="continue"/>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1,694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14,072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4"/>
              </w:rPr>
              <w:t>39</w:t>
            </w: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type w:val="continuous"/>
        </w:sectPr>
      </w:pPr>
    </w:p>
    <w:bookmarkStart w:id="42" w:name="page43"/>
    <w:bookmarkEnd w:id="42"/>
    <w:p>
      <w:pPr>
        <w:ind w:right="340" w:firstLine="298"/>
        <w:spacing w:after="0" w:line="327" w:lineRule="auto"/>
        <w:rPr>
          <w:sz w:val="20"/>
          <w:szCs w:val="20"/>
          <w:color w:val="auto"/>
        </w:rPr>
      </w:pPr>
      <w:r>
        <w:rPr>
          <w:rFonts w:ascii="Arial" w:cs="Arial" w:eastAsia="Arial" w:hAnsi="Arial"/>
          <w:sz w:val="15"/>
          <w:szCs w:val="15"/>
          <w:color w:val="auto"/>
        </w:rPr>
        <w:t>Amortization expense recorded in general and administrative in the consolidated statements of operations were $0 and $57 thousand for the three months ended September 30, 2022 and 2021, respectively, and $1.4 million and $172 thousand for the nine months ended September 30,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Business Combination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Lab Society</w:t>
      </w:r>
    </w:p>
    <w:p>
      <w:pPr>
        <w:spacing w:after="0" w:line="205" w:lineRule="exact"/>
        <w:rPr>
          <w:sz w:val="20"/>
          <w:szCs w:val="20"/>
          <w:color w:val="auto"/>
        </w:rPr>
      </w:pPr>
    </w:p>
    <w:p>
      <w:pPr>
        <w:ind w:right="120" w:firstLine="298"/>
        <w:spacing w:after="0" w:line="247" w:lineRule="auto"/>
        <w:rPr>
          <w:sz w:val="20"/>
          <w:szCs w:val="20"/>
          <w:color w:val="auto"/>
        </w:rPr>
      </w:pPr>
      <w:r>
        <w:rPr>
          <w:rFonts w:ascii="Arial" w:cs="Arial" w:eastAsia="Arial" w:hAnsi="Arial"/>
          <w:sz w:val="17"/>
          <w:szCs w:val="17"/>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85" w:lineRule="exact"/>
        <w:rPr>
          <w:sz w:val="20"/>
          <w:szCs w:val="20"/>
          <w:color w:val="auto"/>
        </w:rPr>
      </w:pPr>
    </w:p>
    <w:p>
      <w:pPr>
        <w:ind w:right="200" w:firstLine="298"/>
        <w:spacing w:after="0" w:line="367" w:lineRule="auto"/>
        <w:rPr>
          <w:sz w:val="20"/>
          <w:szCs w:val="20"/>
          <w:color w:val="auto"/>
        </w:rPr>
      </w:pPr>
      <w:r>
        <w:rPr>
          <w:rFonts w:ascii="Arial" w:cs="Arial" w:eastAsia="Arial" w:hAnsi="Arial"/>
          <w:sz w:val="14"/>
          <w:szCs w:val="14"/>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03" w:lineRule="exact"/>
        <w:rPr>
          <w:sz w:val="20"/>
          <w:szCs w:val="20"/>
          <w:color w:val="auto"/>
        </w:rPr>
      </w:pPr>
    </w:p>
    <w:p>
      <w:pPr>
        <w:ind w:right="40" w:firstLine="298"/>
        <w:spacing w:after="0" w:line="293" w:lineRule="auto"/>
        <w:rPr>
          <w:sz w:val="20"/>
          <w:szCs w:val="20"/>
          <w:color w:val="auto"/>
        </w:rPr>
      </w:pPr>
      <w:r>
        <w:rPr>
          <w:rFonts w:ascii="Arial" w:cs="Arial" w:eastAsia="Arial" w:hAnsi="Arial"/>
          <w:sz w:val="15"/>
          <w:szCs w:val="15"/>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139 of the Holdback Lab Buyer Shares were forfeited after the finalization of the net working capital settlement. The remaining 499 Holdback Lab Buyer Shares will be released following the twelve-month anniversary of the Closing Date in accordance with and subject to the conditions of the Merger Agreement.</w:t>
      </w:r>
    </w:p>
    <w:p>
      <w:pPr>
        <w:spacing w:after="0" w:line="150"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5 – Fair Value Measures, included elsewhere in the notes to the consolidated financial statements.</w:t>
      </w:r>
    </w:p>
    <w:p>
      <w:pPr>
        <w:spacing w:after="0" w:line="185" w:lineRule="exact"/>
        <w:rPr>
          <w:sz w:val="20"/>
          <w:szCs w:val="20"/>
          <w:color w:val="auto"/>
        </w:rPr>
      </w:pPr>
    </w:p>
    <w:p>
      <w:pPr>
        <w:ind w:right="200" w:firstLine="298"/>
        <w:spacing w:after="0" w:line="252" w:lineRule="auto"/>
        <w:rPr>
          <w:sz w:val="20"/>
          <w:szCs w:val="20"/>
          <w:color w:val="auto"/>
        </w:rPr>
      </w:pPr>
      <w:r>
        <w:rPr>
          <w:rFonts w:ascii="Arial" w:cs="Arial" w:eastAsia="Arial" w:hAnsi="Arial"/>
          <w:sz w:val="17"/>
          <w:szCs w:val="17"/>
          <w:color w:val="auto"/>
        </w:rPr>
        <w:t>Transaction and related costs, consisting primarily of professional fees, related to the acquisition, totaled approximately $0 and $66 thousand for the three months and nine months ended September 30, 2022, respectively. All transaction and related costs were expensed as incurred and are included in general and administrative expenses.</w:t>
      </w:r>
    </w:p>
    <w:p>
      <w:pPr>
        <w:spacing w:after="0" w:line="178" w:lineRule="exact"/>
        <w:rPr>
          <w:sz w:val="20"/>
          <w:szCs w:val="20"/>
          <w:color w:val="auto"/>
        </w:rPr>
      </w:pPr>
    </w:p>
    <w:p>
      <w:pPr>
        <w:ind w:firstLine="298"/>
        <w:spacing w:after="0" w:line="327" w:lineRule="auto"/>
        <w:rPr>
          <w:sz w:val="20"/>
          <w:szCs w:val="20"/>
          <w:color w:val="auto"/>
        </w:rPr>
      </w:pPr>
      <w:r>
        <w:rPr>
          <w:rFonts w:ascii="Arial" w:cs="Arial" w:eastAsia="Arial" w:hAnsi="Arial"/>
          <w:sz w:val="15"/>
          <w:szCs w:val="15"/>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880" w:type="dxa"/>
            <w:vAlign w:val="bottom"/>
          </w:tcPr>
          <w:p>
            <w:pPr>
              <w:ind w:left="280"/>
              <w:spacing w:after="0"/>
              <w:rPr>
                <w:sz w:val="20"/>
                <w:szCs w:val="20"/>
                <w:color w:val="auto"/>
              </w:rPr>
            </w:pPr>
            <w:r>
              <w:rPr>
                <w:rFonts w:ascii="Arial" w:cs="Arial" w:eastAsia="Arial" w:hAnsi="Arial"/>
                <w:sz w:val="17"/>
                <w:szCs w:val="17"/>
                <w:color w:val="auto"/>
              </w:rPr>
              <w:t>The following table sets forth the components and the allocation of the purchase price for the business combination: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9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900" w:type="dxa"/>
            <w:vAlign w:val="bottom"/>
            <w:gridSpan w:val="2"/>
          </w:tcPr>
          <w:p>
            <w:pPr>
              <w:spacing w:after="0"/>
              <w:rPr>
                <w:sz w:val="20"/>
                <w:szCs w:val="20"/>
                <w:color w:val="auto"/>
              </w:rPr>
            </w:pPr>
            <w:r>
              <w:rPr>
                <w:rFonts w:ascii="Arial" w:cs="Arial" w:eastAsia="Arial" w:hAnsi="Arial"/>
                <w:sz w:val="17"/>
                <w:szCs w:val="17"/>
                <w:b w:val="1"/>
                <w:bCs w:val="1"/>
                <w:color w:val="auto"/>
              </w:rPr>
              <w:t>Purchase price consideration</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Estimated closing proceeds</w:t>
            </w:r>
          </w:p>
        </w:tc>
        <w:tc>
          <w:tcPr>
            <w:tcW w:w="50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Transaction expenses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Closing buyer shares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Holdback buyer shares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816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Earn-out consideration</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Estimated working capital adjustment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Fair value of total consideration transferred</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80" w:type="dxa"/>
            <w:vAlign w:val="bottom"/>
            <w:tcBorders>
              <w:bottom w:val="single" w:sz="8" w:color="CCEEFF"/>
            </w:tcBorders>
          </w:tcPr>
          <w:p>
            <w:pPr>
              <w:ind w:left="280"/>
              <w:spacing w:after="0" w:line="183" w:lineRule="exact"/>
              <w:rPr>
                <w:sz w:val="20"/>
                <w:szCs w:val="20"/>
                <w:color w:val="auto"/>
              </w:rPr>
            </w:pPr>
            <w:r>
              <w:rPr>
                <w:rFonts w:ascii="Arial" w:cs="Arial" w:eastAsia="Arial" w:hAnsi="Arial"/>
                <w:sz w:val="17"/>
                <w:szCs w:val="17"/>
                <w:color w:val="auto"/>
              </w:rPr>
              <w:t>Total purchase price, net of cash acquired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7,402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7"/>
                <w:szCs w:val="17"/>
                <w:b w:val="1"/>
                <w:bCs w:val="1"/>
                <w:color w:val="auto"/>
              </w:rPr>
              <w:t>Fair value allocation of purchase price</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50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Inventory</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Prepaid expenses and other current receivables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 - of-use assets, net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and refundable taxes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Accounts payable, accrued expenses, and other current liabilities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Deferred tax liability</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 liabilities, current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Finance lease liabilities, non-current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 current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Operating lease liabilities, non-current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Acquired intangible assets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purchase price</w:t>
            </w:r>
          </w:p>
        </w:tc>
        <w:tc>
          <w:tcPr>
            <w:tcW w:w="50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680" w:firstLine="298"/>
        <w:spacing w:after="0" w:line="260" w:lineRule="auto"/>
        <w:rPr>
          <w:sz w:val="20"/>
          <w:szCs w:val="20"/>
          <w:color w:val="auto"/>
        </w:rPr>
      </w:pPr>
      <w:r>
        <w:rPr>
          <w:rFonts w:ascii="Arial" w:cs="Arial" w:eastAsia="Arial" w:hAnsi="Arial"/>
          <w:sz w:val="17"/>
          <w:szCs w:val="17"/>
          <w:color w:val="auto"/>
        </w:rPr>
        <w:t>Identified intangible assets consist of trade names, technology, and customer relationships. The fair value of intangible assets and the determination of their respective useful lives were made in accordance with ASC805 and are outlined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b w:val="1"/>
                <w:bCs w:val="1"/>
                <w:color w:val="auto"/>
              </w:rPr>
              <w:t>Asset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b w:val="1"/>
                <w:bCs w:val="1"/>
                <w:color w:val="auto"/>
              </w:rPr>
              <w:t>Value</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Useful Life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Identified intangible assets</w:t>
            </w:r>
          </w:p>
        </w:tc>
        <w:tc>
          <w:tcPr>
            <w:tcW w:w="4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names</w:t>
            </w:r>
          </w:p>
        </w:tc>
        <w:tc>
          <w:tcPr>
            <w:tcW w:w="4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317</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Arial" w:cs="Arial" w:eastAsia="Arial" w:hAnsi="Arial"/>
                <w:sz w:val="17"/>
                <w:szCs w:val="17"/>
                <w:color w:val="auto"/>
              </w:rPr>
              <w:t>Acquired developed technology</w:t>
            </w: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1,432</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6"/>
              </w:rPr>
              <w:t>8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Customer relationships</w:t>
            </w:r>
          </w:p>
        </w:tc>
        <w:tc>
          <w:tcPr>
            <w:tcW w:w="4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6"/>
              </w:rPr>
              <w:t>6 years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tcPr>
          <w:p>
            <w:pPr>
              <w:ind w:left="280"/>
              <w:spacing w:after="0" w:line="189" w:lineRule="exact"/>
              <w:rPr>
                <w:sz w:val="20"/>
                <w:szCs w:val="20"/>
                <w:color w:val="auto"/>
              </w:rPr>
            </w:pPr>
            <w:r>
              <w:rPr>
                <w:rFonts w:ascii="Arial" w:cs="Arial" w:eastAsia="Arial" w:hAnsi="Arial"/>
                <w:sz w:val="17"/>
                <w:szCs w:val="17"/>
                <w:color w:val="auto"/>
              </w:rPr>
              <w:t>Total identified intangible assets</w:t>
            </w:r>
          </w:p>
        </w:tc>
        <w:tc>
          <w:tcPr>
            <w:tcW w:w="49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2,462</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580" w:type="dxa"/>
            <w:vAlign w:val="bottom"/>
            <w:vMerge w:val="restart"/>
          </w:tcPr>
          <w:p>
            <w:pPr>
              <w:jc w:val="right"/>
              <w:ind w:right="2777"/>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44" w:name="page45"/>
    <w:bookmarkEnd w:id="44"/>
    <w:p>
      <w:pPr>
        <w:ind w:right="220" w:firstLine="298"/>
        <w:spacing w:after="0" w:line="249" w:lineRule="auto"/>
        <w:rPr>
          <w:sz w:val="20"/>
          <w:szCs w:val="20"/>
          <w:color w:val="auto"/>
        </w:rPr>
      </w:pPr>
      <w:r>
        <w:rPr>
          <w:rFonts w:ascii="Arial" w:cs="Arial" w:eastAsia="Arial" w:hAnsi="Arial"/>
          <w:sz w:val="17"/>
          <w:szCs w:val="17"/>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1" w:lineRule="exact"/>
        <w:rPr>
          <w:sz w:val="20"/>
          <w:szCs w:val="20"/>
          <w:color w:val="auto"/>
        </w:rPr>
      </w:pPr>
    </w:p>
    <w:p>
      <w:pPr>
        <w:ind w:right="60" w:firstLine="298"/>
        <w:spacing w:after="0" w:line="247"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8 – Goodwill and Intangible Assets, Net, included elsewhere in the notes to the consolidated financial statements.</w:t>
      </w:r>
    </w:p>
    <w:p>
      <w:pPr>
        <w:spacing w:after="0" w:line="182" w:lineRule="exact"/>
        <w:rPr>
          <w:sz w:val="20"/>
          <w:szCs w:val="20"/>
          <w:color w:val="auto"/>
        </w:rPr>
      </w:pPr>
    </w:p>
    <w:p>
      <w:pPr>
        <w:ind w:right="220" w:firstLine="298"/>
        <w:spacing w:after="0" w:line="260" w:lineRule="auto"/>
        <w:rPr>
          <w:sz w:val="20"/>
          <w:szCs w:val="20"/>
          <w:color w:val="auto"/>
        </w:rPr>
      </w:pPr>
      <w:r>
        <w:rPr>
          <w:rFonts w:ascii="Arial" w:cs="Arial" w:eastAsia="Arial" w:hAnsi="Arial"/>
          <w:sz w:val="17"/>
          <w:szCs w:val="17"/>
          <w:color w:val="auto"/>
        </w:rPr>
        <w:t>The amount of revenue of Lab Society included in the consolidated statements of operations from the acquisition date of February 1, 2022 to September 30, 2022 was $4.0 million.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Precision and Cascade</w:t>
      </w:r>
    </w:p>
    <w:p>
      <w:pPr>
        <w:spacing w:after="0" w:line="205"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81"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Subject to the terms and conditions set forth in the Purchase Agreement, (1)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81" w:lineRule="exact"/>
        <w:rPr>
          <w:sz w:val="20"/>
          <w:szCs w:val="20"/>
          <w:color w:val="auto"/>
        </w:rPr>
      </w:pPr>
    </w:p>
    <w:p>
      <w:pPr>
        <w:ind w:right="200" w:firstLine="298"/>
        <w:spacing w:after="0" w:line="288" w:lineRule="auto"/>
        <w:rPr>
          <w:sz w:val="20"/>
          <w:szCs w:val="20"/>
          <w:color w:val="auto"/>
        </w:rPr>
      </w:pPr>
      <w:r>
        <w:rPr>
          <w:rFonts w:ascii="Arial" w:cs="Arial" w:eastAsia="Arial" w:hAnsi="Arial"/>
          <w:sz w:val="15"/>
          <w:szCs w:val="15"/>
          <w:color w:val="auto"/>
        </w:rPr>
        <w:t>The aggregate consideration for the Interest Purchase and the Merger consisted of: (a) the sum of $30 million in cash, plus consideration payable to holders of outstanding Sinclair equity awards, subject to certain adjustments for working capital, cash and indebtedness, payable in connection with the Interest Purchase; (b) the number of shares of Common Stock, subject to adjustment, equal to the quotient of (i) $20.0 million divided by (ii) the volume weighted-average price per share of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56" w:lineRule="exact"/>
        <w:rPr>
          <w:sz w:val="20"/>
          <w:szCs w:val="20"/>
          <w:color w:val="auto"/>
        </w:rPr>
      </w:pPr>
    </w:p>
    <w:p>
      <w:pPr>
        <w:ind w:right="40" w:firstLine="298"/>
        <w:spacing w:after="0" w:line="288" w:lineRule="auto"/>
        <w:rPr>
          <w:sz w:val="20"/>
          <w:szCs w:val="20"/>
          <w:color w:val="auto"/>
        </w:rPr>
      </w:pPr>
      <w:r>
        <w:rPr>
          <w:rFonts w:ascii="Arial" w:cs="Arial" w:eastAsia="Arial" w:hAnsi="Arial"/>
          <w:sz w:val="15"/>
          <w:szCs w:val="15"/>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w:t>
      </w:r>
    </w:p>
    <w:p>
      <w:pPr>
        <w:spacing w:after="0" w:line="156"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and 588 Buyer Shares were held by the Company as the Holdback Buyer Shares. During the three-month period ended September 30, 2022, the Company made the final Aggregate True-up Payment of approximately $5.6 million, of which, $3.3 million was paid in cash and 435 Holdback Buyer Shares were released to the Sinclair Members and the Company received $1.4 million from the Adjustment Escrow Amount, and the remaining $1.1 million balance of the Adjustment Escrow Amount became part of the Indemnity Escrow Amount.</w:t>
      </w:r>
    </w:p>
    <w:p>
      <w:pPr>
        <w:spacing w:after="0" w:line="156" w:lineRule="exact"/>
        <w:rPr>
          <w:sz w:val="20"/>
          <w:szCs w:val="20"/>
          <w:color w:val="auto"/>
        </w:rPr>
      </w:pPr>
    </w:p>
    <w:p>
      <w:pPr>
        <w:ind w:right="140" w:firstLine="298"/>
        <w:spacing w:after="0" w:line="252" w:lineRule="auto"/>
        <w:rPr>
          <w:sz w:val="20"/>
          <w:szCs w:val="20"/>
          <w:color w:val="auto"/>
        </w:rPr>
      </w:pPr>
      <w:r>
        <w:rPr>
          <w:rFonts w:ascii="Arial" w:cs="Arial" w:eastAsia="Arial" w:hAnsi="Arial"/>
          <w:sz w:val="17"/>
          <w:szCs w:val="17"/>
          <w:color w:val="auto"/>
        </w:rPr>
        <w:t>Transaction and related costs, consisting primarily of professional fees, related to the acquisition, totaled approximately $0 and $63 thousand for the three and nine months ended September 30, 2022, respectively. All transaction and related costs were expensed as incurred and are included in selling, general and administrative expenses.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822" w:right="3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0000" w:type="dxa"/>
            <w:vAlign w:val="bottom"/>
            <w:gridSpan w:val="2"/>
          </w:tcPr>
          <w:p>
            <w:pPr>
              <w:ind w:left="280"/>
              <w:spacing w:after="0"/>
              <w:rPr>
                <w:sz w:val="20"/>
                <w:szCs w:val="20"/>
                <w:color w:val="auto"/>
              </w:rPr>
            </w:pPr>
            <w:r>
              <w:rPr>
                <w:rFonts w:ascii="Arial" w:cs="Arial" w:eastAsia="Arial" w:hAnsi="Arial"/>
                <w:sz w:val="17"/>
                <w:szCs w:val="17"/>
                <w:color w:val="auto"/>
              </w:rPr>
              <w:t>The following table sets forth the components and the allocation of the purchase price for the business combination: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002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90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Purchase price consideration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paid to Sinclair Members at the close</w:t>
            </w:r>
          </w:p>
        </w:tc>
        <w:tc>
          <w:tcPr>
            <w:tcW w:w="380" w:type="dxa"/>
            <w:vAlign w:val="bottom"/>
            <w:gridSpan w:val="2"/>
            <w:shd w:val="clear" w:color="auto" w:fill="CCEEFF"/>
          </w:tcPr>
          <w:p>
            <w:pPr>
              <w:jc w:val="right"/>
              <w:ind w:right="248"/>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Cash contributed to escrow accounts at the close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7,000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paid for excess net working capital</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Stock issued at the close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14,535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Fair value of contingent consideration to be achieved</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tcBorders>
              <w:top w:val="single" w:sz="8" w:color="CCEEFF"/>
              <w:bottom w:val="single" w:sz="8" w:color="CCEEFF"/>
            </w:tcBorders>
            <w:gridSpan w:val="2"/>
          </w:tcPr>
          <w:p>
            <w:pPr>
              <w:ind w:left="280"/>
              <w:spacing w:after="0" w:line="184" w:lineRule="exact"/>
              <w:rPr>
                <w:sz w:val="20"/>
                <w:szCs w:val="20"/>
                <w:color w:val="auto"/>
              </w:rPr>
            </w:pPr>
            <w:r>
              <w:rPr>
                <w:rFonts w:ascii="Arial" w:cs="Arial" w:eastAsia="Arial" w:hAnsi="Arial"/>
                <w:sz w:val="17"/>
                <w:szCs w:val="17"/>
                <w:color w:val="auto"/>
              </w:rPr>
              <w:t>Fair value of total consideration transferred</w:t>
            </w:r>
          </w:p>
        </w:tc>
        <w:tc>
          <w:tcPr>
            <w:tcW w:w="20" w:type="dxa"/>
            <w:vAlign w:val="bottom"/>
            <w:tcBorders>
              <w:top w:val="single" w:sz="8" w:color="CCEEFF"/>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49,918</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purchase price, net of cash acquired</w:t>
            </w: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48,630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Fair value allocation of purchase price</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Cash and cash equivalents</w:t>
            </w:r>
          </w:p>
        </w:tc>
        <w:tc>
          <w:tcPr>
            <w:tcW w:w="380" w:type="dxa"/>
            <w:vAlign w:val="bottom"/>
            <w:gridSpan w:val="2"/>
          </w:tcPr>
          <w:p>
            <w:pPr>
              <w:jc w:val="right"/>
              <w:ind w:right="248"/>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Accounts receivable</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Inventory</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6,761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receivables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Right-of-use assets, net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Capitalized web costs, net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(5,419)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Long-term debt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Operating lease liabilities, current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lease liabilities, non-current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0" w:type="dxa"/>
            <w:vAlign w:val="bottom"/>
            <w:gridSpan w:val="2"/>
          </w:tcPr>
          <w:p>
            <w:pPr>
              <w:ind w:left="120"/>
              <w:spacing w:after="0"/>
              <w:rPr>
                <w:sz w:val="20"/>
                <w:szCs w:val="20"/>
                <w:color w:val="auto"/>
              </w:rPr>
            </w:pPr>
            <w:r>
              <w:rPr>
                <w:rFonts w:ascii="Arial" w:cs="Arial" w:eastAsia="Arial" w:hAnsi="Arial"/>
                <w:sz w:val="17"/>
                <w:szCs w:val="17"/>
                <w:color w:val="auto"/>
              </w:rPr>
              <w:t>Acquired intangible assets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9,889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Total purchase price</w:t>
            </w:r>
          </w:p>
        </w:tc>
        <w:tc>
          <w:tcPr>
            <w:tcW w:w="3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49,918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420" w:firstLine="298"/>
        <w:spacing w:after="0" w:line="327" w:lineRule="auto"/>
        <w:rPr>
          <w:sz w:val="20"/>
          <w:szCs w:val="20"/>
          <w:color w:val="auto"/>
        </w:rPr>
      </w:pPr>
      <w:r>
        <w:rPr>
          <w:rFonts w:ascii="Arial" w:cs="Arial" w:eastAsia="Arial" w:hAnsi="Arial"/>
          <w:sz w:val="15"/>
          <w:szCs w:val="15"/>
          <w:color w:val="auto"/>
        </w:rPr>
        <w:t>Identified intangible assets consist of trade names, technology, non-compete agreements, and customer relationships. The fair value of intangible assets and the determination of their respective useful lives were made in accordance with ASC805 and are outlined in the table below:</w:t>
      </w:r>
    </w:p>
    <w:p>
      <w:pPr>
        <w:sectPr>
          <w:pgSz w:w="11900" w:h="16838" w:orient="portrait"/>
          <w:cols w:equalWidth="0" w:num="1">
            <w:col w:w="11240"/>
          </w:cols>
          <w:pgMar w:left="320" w:top="822" w:right="3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543433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3433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Identified intangible assets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Trade names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Acquired developed technology</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Non-compete agreements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Customer relationships</w:t>
      </w:r>
    </w:p>
    <w:p>
      <w:pPr>
        <w:spacing w:after="0" w:line="17" w:lineRule="exact"/>
        <w:rPr>
          <w:sz w:val="20"/>
          <w:szCs w:val="20"/>
          <w:color w:val="auto"/>
        </w:rPr>
      </w:pPr>
    </w:p>
    <w:p>
      <w:pPr>
        <w:jc w:val="right"/>
        <w:ind w:right="5520"/>
        <w:spacing w:after="0"/>
        <w:rPr>
          <w:sz w:val="20"/>
          <w:szCs w:val="20"/>
          <w:color w:val="auto"/>
        </w:rPr>
      </w:pPr>
      <w:r>
        <w:rPr>
          <w:rFonts w:ascii="Arial" w:cs="Arial" w:eastAsia="Arial" w:hAnsi="Arial"/>
          <w:sz w:val="17"/>
          <w:szCs w:val="17"/>
          <w:color w:val="auto"/>
        </w:rPr>
        <w:t>Total identified intangible assets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20" w:type="dxa"/>
            <w:vAlign w:val="bottom"/>
          </w:tcPr>
          <w:p>
            <w:pPr>
              <w:spacing w:after="0"/>
              <w:rPr>
                <w:sz w:val="17"/>
                <w:szCs w:val="17"/>
                <w:color w:val="auto"/>
              </w:rPr>
            </w:pPr>
          </w:p>
        </w:tc>
        <w:tc>
          <w:tcPr>
            <w:tcW w:w="900" w:type="dxa"/>
            <w:vAlign w:val="bottom"/>
          </w:tcPr>
          <w:p>
            <w:pPr>
              <w:jc w:val="right"/>
              <w:ind w:right="297"/>
              <w:spacing w:after="0"/>
              <w:rPr>
                <w:sz w:val="20"/>
                <w:szCs w:val="20"/>
                <w:color w:val="auto"/>
              </w:rPr>
            </w:pPr>
            <w:r>
              <w:rPr>
                <w:rFonts w:ascii="Arial" w:cs="Arial" w:eastAsia="Arial" w:hAnsi="Arial"/>
                <w:sz w:val="17"/>
                <w:szCs w:val="17"/>
                <w:b w:val="1"/>
                <w:bCs w:val="1"/>
                <w:color w:val="auto"/>
              </w:rPr>
              <w:t>Asset</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Value</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Useful Life</w:t>
            </w:r>
          </w:p>
        </w:tc>
      </w:tr>
      <w:tr>
        <w:trPr>
          <w:trHeight w:val="384"/>
        </w:trPr>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1,260</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5"/>
              </w:rPr>
              <w:t>6 to 7 years</w:t>
            </w:r>
          </w:p>
        </w:tc>
      </w:tr>
      <w:tr>
        <w:trPr>
          <w:trHeight w:val="198"/>
        </w:trPr>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3,818</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6"/>
              </w:rPr>
              <w:t>5 years</w:t>
            </w:r>
          </w:p>
        </w:tc>
      </w:tr>
      <w:tr>
        <w:trPr>
          <w:trHeight w:val="198"/>
        </w:trPr>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1,202</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6"/>
              </w:rPr>
              <w:t>5 years</w:t>
            </w:r>
          </w:p>
        </w:tc>
      </w:tr>
      <w:tr>
        <w:trPr>
          <w:trHeight w:val="228"/>
        </w:trPr>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5"/>
              </w:rPr>
              <w:t>7 to 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-527050</wp:posOffset>
            </wp:positionV>
            <wp:extent cx="7143750" cy="125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-274955</wp:posOffset>
            </wp:positionV>
            <wp:extent cx="7143750" cy="125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-6985</wp:posOffset>
            </wp:positionV>
            <wp:extent cx="7143750" cy="165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ind w:left="740" w:hanging="739"/>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70866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22" w:right="3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375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type w:val="continuous"/>
        </w:sectPr>
      </w:pPr>
    </w:p>
    <w:bookmarkStart w:id="46" w:name="page47"/>
    <w:bookmarkEnd w:id="46"/>
    <w:p>
      <w:pPr>
        <w:ind w:right="200" w:firstLine="298"/>
        <w:spacing w:after="0" w:line="249" w:lineRule="auto"/>
        <w:rPr>
          <w:sz w:val="20"/>
          <w:szCs w:val="20"/>
          <w:color w:val="auto"/>
        </w:rPr>
      </w:pPr>
      <w:r>
        <w:rPr>
          <w:rFonts w:ascii="Arial" w:cs="Arial" w:eastAsia="Arial" w:hAnsi="Arial"/>
          <w:sz w:val="17"/>
          <w:szCs w:val="17"/>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1" w:lineRule="exact"/>
        <w:rPr>
          <w:sz w:val="20"/>
          <w:szCs w:val="20"/>
          <w:color w:val="auto"/>
        </w:rPr>
      </w:pPr>
    </w:p>
    <w:p>
      <w:pPr>
        <w:ind w:right="100" w:firstLine="298"/>
        <w:spacing w:after="0" w:line="247"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8 – Goodwill and Intangible Assets, Net, included elsewhere in the notes to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PurePressure</w:t>
      </w:r>
    </w:p>
    <w:p>
      <w:pPr>
        <w:spacing w:after="0" w:line="205"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85" w:lineRule="exact"/>
        <w:rPr>
          <w:sz w:val="20"/>
          <w:szCs w:val="20"/>
          <w:color w:val="auto"/>
        </w:rPr>
      </w:pPr>
    </w:p>
    <w:p>
      <w:pPr>
        <w:ind w:right="240" w:firstLine="298"/>
        <w:spacing w:after="0" w:line="327" w:lineRule="auto"/>
        <w:rPr>
          <w:sz w:val="20"/>
          <w:szCs w:val="20"/>
          <w:color w:val="auto"/>
        </w:rPr>
      </w:pPr>
      <w:r>
        <w:rPr>
          <w:rFonts w:ascii="Arial" w:cs="Arial" w:eastAsia="Arial" w:hAnsi="Arial"/>
          <w:sz w:val="15"/>
          <w:szCs w:val="15"/>
          <w:color w:val="auto"/>
        </w:rPr>
        <w:t>The aggregate consideration for the Acquisition consisted of: (a) $4.0 million in cash, subject to certain adjustments for working capital, cash and indebtedness of PurePressure at closing; (b) 1,646 shares of Common Stock (the “Buyer Shares”); and (c) the Earn-out Consideration (as defined below), to the extent earned.</w:t>
      </w:r>
    </w:p>
    <w:p>
      <w:pPr>
        <w:spacing w:after="0" w:line="125" w:lineRule="exact"/>
        <w:rPr>
          <w:sz w:val="20"/>
          <w:szCs w:val="20"/>
          <w:color w:val="auto"/>
        </w:rPr>
      </w:pPr>
    </w:p>
    <w:p>
      <w:pPr>
        <w:ind w:right="20" w:firstLine="298"/>
        <w:spacing w:after="0" w:line="247" w:lineRule="auto"/>
        <w:rPr>
          <w:sz w:val="20"/>
          <w:szCs w:val="20"/>
          <w:color w:val="auto"/>
        </w:rPr>
      </w:pPr>
      <w:r>
        <w:rPr>
          <w:rFonts w:ascii="Arial" w:cs="Arial" w:eastAsia="Arial" w:hAnsi="Arial"/>
          <w:sz w:val="17"/>
          <w:szCs w:val="17"/>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72 of the Holdback Buyer Shares were forfeited after the finalization of the net working capital settlement. The remaining 371 of the Holdback Buyer Shares will be released following the twelve-month anniversary of the Closing Date in accordance with and subject to the conditions of the Pure Purchase Agreement.</w:t>
      </w:r>
    </w:p>
    <w:p>
      <w:pPr>
        <w:spacing w:after="0" w:line="185" w:lineRule="exact"/>
        <w:rPr>
          <w:sz w:val="20"/>
          <w:szCs w:val="20"/>
          <w:color w:val="auto"/>
        </w:rPr>
      </w:pPr>
    </w:p>
    <w:p>
      <w:pPr>
        <w:ind w:right="60" w:firstLine="298"/>
        <w:spacing w:after="0" w:line="288" w:lineRule="auto"/>
        <w:rPr>
          <w:sz w:val="20"/>
          <w:szCs w:val="20"/>
          <w:color w:val="auto"/>
        </w:rPr>
      </w:pPr>
      <w:r>
        <w:rPr>
          <w:rFonts w:ascii="Arial" w:cs="Arial" w:eastAsia="Arial" w:hAnsi="Arial"/>
          <w:sz w:val="15"/>
          <w:szCs w:val="15"/>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 Additional information regarding the Company’s contingent consideration arrangements may be found in Note 5 – Fair Value Measures, included elsewhere in the notes to the consolidated financial statements.</w:t>
      </w:r>
    </w:p>
    <w:p>
      <w:pPr>
        <w:spacing w:after="0" w:line="156"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156" w:lineRule="exact"/>
        <w:rPr>
          <w:sz w:val="20"/>
          <w:szCs w:val="20"/>
          <w:color w:val="auto"/>
        </w:rPr>
      </w:pPr>
    </w:p>
    <w:p>
      <w:pPr>
        <w:ind w:right="80" w:firstLine="298"/>
        <w:spacing w:after="0" w:line="367" w:lineRule="auto"/>
        <w:rPr>
          <w:sz w:val="20"/>
          <w:szCs w:val="20"/>
          <w:color w:val="auto"/>
        </w:rPr>
      </w:pPr>
      <w:r>
        <w:rPr>
          <w:rFonts w:ascii="Arial" w:cs="Arial" w:eastAsia="Arial" w:hAnsi="Arial"/>
          <w:sz w:val="14"/>
          <w:szCs w:val="14"/>
          <w:color w:val="auto"/>
        </w:rPr>
        <w:t>Transaction and related costs, consisting primarily of professional fees, related to the acquisition, totaled approximately $0 and $563 thousand for the three and nine months ended September 30, 2022, respectively. All transaction and related costs were expensed as incurred and are included in general and administrative expenses.</w:t>
      </w:r>
    </w:p>
    <w:p>
      <w:pPr>
        <w:spacing w:after="0" w:line="103" w:lineRule="exact"/>
        <w:rPr>
          <w:sz w:val="20"/>
          <w:szCs w:val="20"/>
          <w:color w:val="auto"/>
        </w:rPr>
      </w:pPr>
    </w:p>
    <w:p>
      <w:pPr>
        <w:ind w:right="520" w:firstLine="298"/>
        <w:spacing w:after="0" w:line="260" w:lineRule="auto"/>
        <w:rPr>
          <w:sz w:val="20"/>
          <w:szCs w:val="20"/>
          <w:color w:val="auto"/>
        </w:rPr>
      </w:pPr>
      <w:r>
        <w:rPr>
          <w:rFonts w:ascii="Arial" w:cs="Arial" w:eastAsia="Arial" w:hAnsi="Arial"/>
          <w:sz w:val="17"/>
          <w:szCs w:val="17"/>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9880" w:type="dxa"/>
            <w:vAlign w:val="bottom"/>
          </w:tcPr>
          <w:p>
            <w:pPr>
              <w:ind w:left="280"/>
              <w:spacing w:after="0"/>
              <w:rPr>
                <w:sz w:val="20"/>
                <w:szCs w:val="20"/>
                <w:color w:val="auto"/>
              </w:rPr>
            </w:pPr>
            <w:r>
              <w:rPr>
                <w:rFonts w:ascii="Arial" w:cs="Arial" w:eastAsia="Arial" w:hAnsi="Arial"/>
                <w:sz w:val="17"/>
                <w:szCs w:val="17"/>
                <w:color w:val="auto"/>
              </w:rPr>
              <w:t>The following table sets forth the components and the allocation of the purchase price for the business combination: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9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900" w:type="dxa"/>
            <w:vAlign w:val="bottom"/>
            <w:gridSpan w:val="2"/>
          </w:tcPr>
          <w:p>
            <w:pPr>
              <w:spacing w:after="0"/>
              <w:rPr>
                <w:sz w:val="20"/>
                <w:szCs w:val="20"/>
                <w:color w:val="auto"/>
              </w:rPr>
            </w:pPr>
            <w:r>
              <w:rPr>
                <w:rFonts w:ascii="Arial" w:cs="Arial" w:eastAsia="Arial" w:hAnsi="Arial"/>
                <w:sz w:val="17"/>
                <w:szCs w:val="17"/>
                <w:b w:val="1"/>
                <w:bCs w:val="1"/>
                <w:color w:val="auto"/>
              </w:rPr>
              <w:t>Purchase price consideration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Estimated closing proceeds</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Indebtedness paid</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expenses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Closing buyer shares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Holdback buyer shares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Earn-out consideration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Estimated working capital adjustments</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Borders>
              <w:top w:val="single" w:sz="8" w:color="CCEEFF"/>
              <w:bottom w:val="single" w:sz="8" w:color="CCEEFF"/>
            </w:tcBorders>
          </w:tcPr>
          <w:p>
            <w:pPr>
              <w:ind w:left="280"/>
              <w:spacing w:after="0" w:line="184" w:lineRule="exact"/>
              <w:rPr>
                <w:sz w:val="20"/>
                <w:szCs w:val="20"/>
                <w:color w:val="auto"/>
              </w:rPr>
            </w:pPr>
            <w:r>
              <w:rPr>
                <w:rFonts w:ascii="Arial" w:cs="Arial" w:eastAsia="Arial" w:hAnsi="Arial"/>
                <w:sz w:val="17"/>
                <w:szCs w:val="17"/>
                <w:color w:val="auto"/>
              </w:rPr>
              <w:t>Fair value of total consideration transferred</w:t>
            </w:r>
          </w:p>
        </w:tc>
        <w:tc>
          <w:tcPr>
            <w:tcW w:w="120" w:type="dxa"/>
            <w:vAlign w:val="bottom"/>
            <w:tcBorders>
              <w:top w:val="single" w:sz="8" w:color="CCEEFF"/>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7,950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purchase price, net of cash acquired</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Fair value allocation of purchase price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5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Inventory</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Right-of-use assets, net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receivables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Other non-current assets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 current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Operating lease liabilities, non-current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 liabilities, current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Finance lease liabilities, non-current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Notes payable, current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tcPr>
          <w:p>
            <w:pPr>
              <w:ind w:left="120"/>
              <w:spacing w:after="0"/>
              <w:rPr>
                <w:sz w:val="20"/>
                <w:szCs w:val="20"/>
                <w:color w:val="auto"/>
              </w:rPr>
            </w:pPr>
            <w:r>
              <w:rPr>
                <w:rFonts w:ascii="Arial" w:cs="Arial" w:eastAsia="Arial" w:hAnsi="Arial"/>
                <w:sz w:val="17"/>
                <w:szCs w:val="17"/>
                <w:color w:val="auto"/>
              </w:rPr>
              <w:t>Notes payable, non-current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Acquired intangible assets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purchase price</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680" w:firstLine="298"/>
        <w:spacing w:after="0" w:line="260" w:lineRule="auto"/>
        <w:rPr>
          <w:sz w:val="20"/>
          <w:szCs w:val="20"/>
          <w:color w:val="auto"/>
        </w:rPr>
      </w:pPr>
      <w:r>
        <w:rPr>
          <w:rFonts w:ascii="Arial" w:cs="Arial" w:eastAsia="Arial" w:hAnsi="Arial"/>
          <w:sz w:val="17"/>
          <w:szCs w:val="17"/>
          <w:color w:val="auto"/>
        </w:rPr>
        <w:t>Identified intangible assets consist of trade names, technology, and customer relationships. The fair value of intangible assets and the determination of their respective useful lives were made in accordance with ASC805 and are outlined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b w:val="1"/>
                <w:bCs w:val="1"/>
                <w:color w:val="auto"/>
              </w:rPr>
              <w:t>Asset</w:t>
            </w:r>
          </w:p>
        </w:tc>
        <w:tc>
          <w:tcPr>
            <w:tcW w:w="1220" w:type="dxa"/>
            <w:vAlign w:val="bottom"/>
          </w:tcPr>
          <w:p>
            <w:pPr>
              <w:spacing w:after="0"/>
              <w:rPr>
                <w:sz w:val="17"/>
                <w:szCs w:val="17"/>
                <w:color w:val="auto"/>
              </w:rPr>
            </w:pPr>
          </w:p>
        </w:tc>
      </w:tr>
      <w:tr>
        <w:trPr>
          <w:trHeight w:val="220"/>
        </w:trPr>
        <w:tc>
          <w:tcPr>
            <w:tcW w:w="868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7"/>
                <w:szCs w:val="17"/>
                <w:b w:val="1"/>
                <w:bCs w:val="1"/>
                <w:color w:val="auto"/>
              </w:rPr>
              <w:t>Value</w:t>
            </w: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89"/>
              </w:rPr>
              <w:t>Useful Life</w:t>
            </w:r>
          </w:p>
        </w:tc>
      </w:tr>
      <w:tr>
        <w:trPr>
          <w:trHeight w:val="198"/>
        </w:trPr>
        <w:tc>
          <w:tcPr>
            <w:tcW w:w="20" w:type="dxa"/>
            <w:vAlign w:val="bottom"/>
          </w:tcPr>
          <w:p>
            <w:pPr>
              <w:spacing w:after="0"/>
              <w:rPr>
                <w:sz w:val="17"/>
                <w:szCs w:val="17"/>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Identified intangible assets</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Trade name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227</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r>
      <w:tr>
        <w:trPr>
          <w:trHeight w:val="198"/>
        </w:trPr>
        <w:tc>
          <w:tcPr>
            <w:tcW w:w="20" w:type="dxa"/>
            <w:vAlign w:val="bottom"/>
          </w:tcPr>
          <w:p>
            <w:pPr>
              <w:spacing w:after="0"/>
              <w:rPr>
                <w:sz w:val="17"/>
                <w:szCs w:val="17"/>
                <w:color w:val="auto"/>
              </w:rPr>
            </w:pPr>
          </w:p>
        </w:tc>
        <w:tc>
          <w:tcPr>
            <w:tcW w:w="8660" w:type="dxa"/>
            <w:vAlign w:val="bottom"/>
            <w:gridSpan w:val="2"/>
          </w:tcPr>
          <w:p>
            <w:pPr>
              <w:ind w:left="120"/>
              <w:spacing w:after="0"/>
              <w:rPr>
                <w:sz w:val="20"/>
                <w:szCs w:val="20"/>
                <w:color w:val="auto"/>
              </w:rPr>
            </w:pPr>
            <w:r>
              <w:rPr>
                <w:rFonts w:ascii="Arial" w:cs="Arial" w:eastAsia="Arial" w:hAnsi="Arial"/>
                <w:sz w:val="17"/>
                <w:szCs w:val="17"/>
                <w:color w:val="auto"/>
              </w:rPr>
              <w:t>Acquired developed technology</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1,093</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6"/>
              </w:rPr>
              <w:t>8 years</w:t>
            </w:r>
          </w:p>
        </w:tc>
      </w:tr>
      <w:tr>
        <w:trPr>
          <w:trHeight w:val="230"/>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1,717</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r>
      <w:tr>
        <w:trPr>
          <w:trHeight w:val="214"/>
        </w:trPr>
        <w:tc>
          <w:tcPr>
            <w:tcW w:w="20" w:type="dxa"/>
            <w:vAlign w:val="bottom"/>
          </w:tcPr>
          <w:p>
            <w:pPr>
              <w:spacing w:after="0"/>
              <w:rPr>
                <w:sz w:val="18"/>
                <w:szCs w:val="18"/>
                <w:color w:val="auto"/>
              </w:rPr>
            </w:pPr>
          </w:p>
        </w:tc>
        <w:tc>
          <w:tcPr>
            <w:tcW w:w="86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Total identified intangible assets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3,037</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6" w:lineRule="exact"/>
        <w:rPr>
          <w:sz w:val="20"/>
          <w:szCs w:val="20"/>
          <w:color w:val="auto"/>
        </w:rPr>
      </w:pPr>
    </w:p>
    <w:p>
      <w:pPr>
        <w:ind w:right="100" w:firstLine="298"/>
        <w:spacing w:after="0" w:line="247" w:lineRule="auto"/>
        <w:rPr>
          <w:sz w:val="20"/>
          <w:szCs w:val="20"/>
          <w:color w:val="auto"/>
        </w:rPr>
      </w:pPr>
      <w:r>
        <w:rPr>
          <w:rFonts w:ascii="Arial" w:cs="Arial" w:eastAsia="Arial" w:hAnsi="Arial"/>
          <w:sz w:val="17"/>
          <w:szCs w:val="17"/>
          <w:color w:val="auto"/>
        </w:rPr>
        <w:t>During the three-month period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long-lived assets and accordingly performed interim testing as of June 30, 2022. Based on its interim testing, the Company noted that the entire carrying value of its goodwill and intangible assets should be impaired. Additional information regarding the Company’s interim testing on goodwill and intangible assets may be found in Note 8 – Goodwill and Intangible Assets, Net, included elsewhere in the notes to the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3"/>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Note 10 – Debt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7"/>
        </w:trPr>
        <w:tc>
          <w:tcPr>
            <w:tcW w:w="8680" w:type="dxa"/>
            <w:vAlign w:val="bottom"/>
            <w:gridSpan w:val="2"/>
          </w:tcPr>
          <w:p>
            <w:pPr>
              <w:ind w:left="300"/>
              <w:spacing w:after="0"/>
              <w:rPr>
                <w:sz w:val="20"/>
                <w:szCs w:val="20"/>
                <w:color w:val="auto"/>
              </w:rPr>
            </w:pPr>
            <w:r>
              <w:rPr>
                <w:rFonts w:ascii="Arial" w:cs="Arial" w:eastAsia="Arial" w:hAnsi="Arial"/>
                <w:sz w:val="17"/>
                <w:szCs w:val="17"/>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24"/>
                <w:szCs w:val="2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0"/>
              </w:rPr>
              <w:t>December 31,</w:t>
            </w:r>
          </w:p>
        </w:tc>
      </w:tr>
      <w:tr>
        <w:trPr>
          <w:trHeight w:val="22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98"/>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Note payable – Exchange Note</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PPP Loan</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804</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Navitas Loan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3"/>
        </w:trPr>
        <w:tc>
          <w:tcPr>
            <w:tcW w:w="8680" w:type="dxa"/>
            <w:vAlign w:val="bottom"/>
            <w:gridSpan w:val="2"/>
          </w:tcPr>
          <w:p>
            <w:pPr>
              <w:spacing w:after="0" w:line="248" w:lineRule="exact"/>
              <w:rPr>
                <w:sz w:val="20"/>
                <w:szCs w:val="20"/>
                <w:color w:val="auto"/>
              </w:rPr>
            </w:pPr>
            <w:r>
              <w:rPr>
                <w:rFonts w:ascii="Arial" w:cs="Arial" w:eastAsia="Arial" w:hAnsi="Arial"/>
                <w:sz w:val="17"/>
                <w:szCs w:val="17"/>
                <w:color w:val="auto"/>
              </w:rPr>
              <w:t xml:space="preserve">Other notes payable </w:t>
            </w:r>
            <w:r>
              <w:rPr>
                <w:rFonts w:ascii="Arial" w:cs="Arial" w:eastAsia="Arial" w:hAnsi="Arial"/>
                <w:sz w:val="27"/>
                <w:szCs w:val="27"/>
                <w:color w:val="auto"/>
                <w:vertAlign w:val="superscript"/>
              </w:rPr>
              <w:t>(1)</w:t>
            </w:r>
          </w:p>
        </w:tc>
        <w:tc>
          <w:tcPr>
            <w:tcW w:w="2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297</w:t>
            </w:r>
          </w:p>
        </w:tc>
      </w:tr>
      <w:tr>
        <w:trPr>
          <w:trHeight w:val="198"/>
        </w:trPr>
        <w:tc>
          <w:tcPr>
            <w:tcW w:w="86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debt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35,971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7"/>
                <w:szCs w:val="17"/>
                <w:color w:val="auto"/>
              </w:rPr>
              <w:t>Less: unamortized debt discount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(3,677)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8"/>
        </w:trPr>
        <w:tc>
          <w:tcPr>
            <w:tcW w:w="86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debt, net of debt discount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32,294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7"/>
                <w:szCs w:val="17"/>
                <w:color w:val="auto"/>
              </w:rPr>
              <w:t>Less: current portion, net of current unamortized debt discount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(1,089)</w:t>
            </w:r>
          </w:p>
        </w:tc>
      </w:tr>
      <w:tr>
        <w:trPr>
          <w:trHeight w:val="228"/>
        </w:trPr>
        <w:tc>
          <w:tcPr>
            <w:tcW w:w="86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Long-term debt</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(1)  Other notes payable relates to a one-year insurance premium that was financed over nine months.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 Payable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 Agreement</w:t>
      </w:r>
    </w:p>
    <w:p>
      <w:pPr>
        <w:spacing w:after="0" w:line="201" w:lineRule="exact"/>
        <w:rPr>
          <w:sz w:val="20"/>
          <w:szCs w:val="20"/>
          <w:color w:val="auto"/>
        </w:rPr>
      </w:pPr>
    </w:p>
    <w:p>
      <w:pPr>
        <w:ind w:firstLine="298"/>
        <w:spacing w:after="0" w:line="249" w:lineRule="auto"/>
        <w:rPr>
          <w:sz w:val="20"/>
          <w:szCs w:val="20"/>
          <w:color w:val="auto"/>
        </w:rPr>
      </w:pPr>
      <w:r>
        <w:rPr>
          <w:rFonts w:ascii="Arial" w:cs="Arial" w:eastAsia="Arial" w:hAnsi="Arial"/>
          <w:sz w:val="17"/>
          <w:szCs w:val="17"/>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SPA Warrant to purchase up to an aggregate of 34,405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Exchange Agreement</w:t>
      </w:r>
    </w:p>
    <w:p>
      <w:pPr>
        <w:spacing w:after="0" w:line="201"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On August 18, 2022, the Company reached an agreement with its Investor to amend its existing senior SPA Note and entered into the Exchange Agreement. Pursuant to the Exchange Agreement, the Company partially paid $35.2 million under the SPA Note and exchanged the remaining balance of the SPA Note for an Exchange Note with an aggregate original principal amount of $35.0 million and a new Note Exchange Warrant to purchase 71,138 shares of Common Stock and modified an existing SPA Warrants to purchase up to an aggregate of 34,405 shares of Common Stock. The Company exchanged the SPA Warrant for a new warrant for the same number of underlying shares but with a reduced exercise price (the “Modified Warrants” and, collectively with the Note Exchange Warrant, the “Warrant Liabilities”). As of September 30, 2022, the Company had outstanding liability-classified Warrant Liabilities that allows the Investor to purchase shares 105,543 of the Company’s Common Stock. Additional information regarding the Company’s Warrant Liabilities may be found in Note 1 – Overview, Basis of Presentation and Significant Accounting Policies and Note 5 – Fair Value Measures, included elsewhere in the notes to the condensed consolidated financial statements.</w:t>
      </w:r>
    </w:p>
    <w:p>
      <w:pPr>
        <w:spacing w:after="0" w:line="159"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50"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9" w:name="page50"/>
    <w:bookmarkEnd w:id="49"/>
    <w:p>
      <w:pPr>
        <w:ind w:firstLine="298"/>
        <w:spacing w:after="0" w:line="283" w:lineRule="auto"/>
        <w:rPr>
          <w:sz w:val="20"/>
          <w:szCs w:val="20"/>
          <w:color w:val="auto"/>
        </w:rPr>
      </w:pPr>
      <w:r>
        <w:rPr>
          <w:rFonts w:ascii="Arial" w:cs="Arial" w:eastAsia="Arial" w:hAnsi="Arial"/>
          <w:sz w:val="15"/>
          <w:szCs w:val="15"/>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 As of September 30, 2022, the Company is in compliance with the financial debt covenants associated with its Exchange Note.</w:t>
      </w:r>
    </w:p>
    <w:p>
      <w:pPr>
        <w:spacing w:after="0" w:line="159" w:lineRule="exact"/>
        <w:rPr>
          <w:sz w:val="20"/>
          <w:szCs w:val="20"/>
          <w:color w:val="auto"/>
        </w:rPr>
      </w:pPr>
    </w:p>
    <w:p>
      <w:pPr>
        <w:ind w:right="80" w:firstLine="298"/>
        <w:spacing w:after="0" w:line="252" w:lineRule="auto"/>
        <w:rPr>
          <w:sz w:val="20"/>
          <w:szCs w:val="20"/>
          <w:color w:val="auto"/>
        </w:rPr>
      </w:pPr>
      <w:r>
        <w:rPr>
          <w:rFonts w:ascii="Arial" w:cs="Arial" w:eastAsia="Arial" w:hAnsi="Arial"/>
          <w:sz w:val="17"/>
          <w:szCs w:val="17"/>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8" w:lineRule="exact"/>
        <w:rPr>
          <w:sz w:val="20"/>
          <w:szCs w:val="20"/>
          <w:color w:val="auto"/>
        </w:rPr>
      </w:pPr>
    </w:p>
    <w:p>
      <w:pPr>
        <w:ind w:right="280" w:firstLine="298"/>
        <w:spacing w:after="0" w:line="247" w:lineRule="auto"/>
        <w:rPr>
          <w:sz w:val="20"/>
          <w:szCs w:val="20"/>
          <w:color w:val="auto"/>
        </w:rPr>
      </w:pPr>
      <w:r>
        <w:rPr>
          <w:rFonts w:ascii="Arial" w:cs="Arial" w:eastAsia="Arial" w:hAnsi="Arial"/>
          <w:sz w:val="17"/>
          <w:szCs w:val="17"/>
          <w:color w:val="auto"/>
        </w:rPr>
        <w:t>The Modified Warrant have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85" w:lineRule="exact"/>
        <w:rPr>
          <w:sz w:val="20"/>
          <w:szCs w:val="20"/>
          <w:color w:val="auto"/>
        </w:rPr>
      </w:pPr>
    </w:p>
    <w:p>
      <w:pPr>
        <w:ind w:right="20" w:firstLine="298"/>
        <w:spacing w:after="0" w:line="283" w:lineRule="auto"/>
        <w:rPr>
          <w:sz w:val="20"/>
          <w:szCs w:val="20"/>
          <w:color w:val="auto"/>
        </w:rPr>
      </w:pPr>
      <w:r>
        <w:rPr>
          <w:rFonts w:ascii="Arial" w:cs="Arial" w:eastAsia="Arial" w:hAnsi="Arial"/>
          <w:sz w:val="15"/>
          <w:szCs w:val="15"/>
          <w:color w:val="auto"/>
        </w:rPr>
        <w:t>The Note Exchange Warrant have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completes a qualified equity financing of at least $15.0 million, which requirement was satisfied with sales under the ATM Program, the Note Exchange Warrant’s exercise price would have been reduced to the extent the Company issues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59" w:lineRule="exact"/>
        <w:rPr>
          <w:sz w:val="20"/>
          <w:szCs w:val="20"/>
          <w:color w:val="auto"/>
        </w:rPr>
      </w:pPr>
    </w:p>
    <w:p>
      <w:pPr>
        <w:ind w:right="80" w:firstLine="298"/>
        <w:spacing w:after="0" w:line="288" w:lineRule="auto"/>
        <w:rPr>
          <w:sz w:val="20"/>
          <w:szCs w:val="20"/>
          <w:color w:val="auto"/>
        </w:rPr>
      </w:pPr>
      <w:r>
        <w:rPr>
          <w:rFonts w:ascii="Arial" w:cs="Arial" w:eastAsia="Arial" w:hAnsi="Arial"/>
          <w:sz w:val="15"/>
          <w:szCs w:val="15"/>
          <w:color w:val="auto"/>
        </w:rPr>
        <w:t>The Warrant Liabilities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 Additionally, the Warrant Liabilities could be exercised for more than an aggregate of 26,542 shares of Common Stock unless and until shareholder approval is obtained, which approval was obtained on October 14, 2022.</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breakdown of the SPA Note balances as of September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97"/>
              <w:spacing w:after="0"/>
              <w:rPr>
                <w:sz w:val="20"/>
                <w:szCs w:val="20"/>
                <w:color w:val="auto"/>
              </w:rPr>
            </w:pPr>
            <w:r>
              <w:rPr>
                <w:rFonts w:ascii="Arial" w:cs="Arial" w:eastAsia="Arial" w:hAnsi="Arial"/>
                <w:sz w:val="17"/>
                <w:szCs w:val="17"/>
                <w:b w:val="1"/>
                <w:bCs w:val="1"/>
                <w:color w:val="auto"/>
                <w:w w:val="86"/>
              </w:rPr>
              <w:t>Balance at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103"/>
              <w:spacing w:after="0"/>
              <w:rPr>
                <w:sz w:val="20"/>
                <w:szCs w:val="20"/>
                <w:color w:val="auto"/>
              </w:rPr>
            </w:pPr>
            <w:r>
              <w:rPr>
                <w:rFonts w:ascii="Arial" w:cs="Arial" w:eastAsia="Arial" w:hAnsi="Arial"/>
                <w:sz w:val="17"/>
                <w:szCs w:val="17"/>
                <w:b w:val="1"/>
                <w:bCs w:val="1"/>
                <w:color w:val="auto"/>
                <w:w w:val="92"/>
              </w:rPr>
              <w:t>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3"/>
              <w:spacing w:after="0"/>
              <w:rPr>
                <w:sz w:val="20"/>
                <w:szCs w:val="20"/>
                <w:color w:val="auto"/>
              </w:rPr>
            </w:pPr>
            <w:r>
              <w:rPr>
                <w:rFonts w:ascii="Arial" w:cs="Arial" w:eastAsia="Arial" w:hAnsi="Arial"/>
                <w:sz w:val="17"/>
                <w:szCs w:val="17"/>
                <w:b w:val="1"/>
                <w:bCs w:val="1"/>
                <w:color w:val="auto"/>
                <w:w w:val="86"/>
              </w:rPr>
              <w:t>Balance at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7"/>
              <w:spacing w:after="0"/>
              <w:rPr>
                <w:sz w:val="20"/>
                <w:szCs w:val="20"/>
                <w:color w:val="auto"/>
              </w:rPr>
            </w:pPr>
            <w:r>
              <w:rPr>
                <w:rFonts w:ascii="Arial" w:cs="Arial" w:eastAsia="Arial" w:hAnsi="Arial"/>
                <w:sz w:val="17"/>
                <w:szCs w:val="17"/>
                <w:b w:val="1"/>
                <w:bCs w:val="1"/>
                <w:color w:val="auto"/>
                <w:w w:val="90"/>
              </w:rPr>
              <w:t>January 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3"/>
              <w:spacing w:after="0"/>
              <w:rPr>
                <w:sz w:val="20"/>
                <w:szCs w:val="20"/>
                <w:color w:val="auto"/>
              </w:rPr>
            </w:pPr>
            <w:r>
              <w:rPr>
                <w:rFonts w:ascii="Arial" w:cs="Arial" w:eastAsia="Arial" w:hAnsi="Arial"/>
                <w:sz w:val="17"/>
                <w:szCs w:val="17"/>
                <w:b w:val="1"/>
                <w:bCs w:val="1"/>
                <w:color w:val="auto"/>
                <w:w w:val="88"/>
              </w:rPr>
              <w:t>of Debt</w:t>
            </w:r>
          </w:p>
        </w:tc>
        <w:tc>
          <w:tcPr>
            <w:tcW w:w="80" w:type="dxa"/>
            <w:vAlign w:val="bottom"/>
          </w:tcPr>
          <w:p>
            <w:pPr>
              <w:spacing w:after="0"/>
              <w:rPr>
                <w:sz w:val="17"/>
                <w:szCs w:val="17"/>
                <w:color w:val="auto"/>
              </w:rPr>
            </w:pPr>
          </w:p>
        </w:tc>
        <w:tc>
          <w:tcPr>
            <w:tcW w:w="1220" w:type="dxa"/>
            <w:vAlign w:val="bottom"/>
            <w:gridSpan w:val="3"/>
          </w:tcPr>
          <w:p>
            <w:pPr>
              <w:jc w:val="center"/>
              <w:ind w:right="63"/>
              <w:spacing w:after="0"/>
              <w:rPr>
                <w:sz w:val="20"/>
                <w:szCs w:val="20"/>
                <w:color w:val="auto"/>
              </w:rPr>
            </w:pPr>
            <w:r>
              <w:rPr>
                <w:rFonts w:ascii="Arial" w:cs="Arial" w:eastAsia="Arial" w:hAnsi="Arial"/>
                <w:sz w:val="17"/>
                <w:szCs w:val="17"/>
                <w:b w:val="1"/>
                <w:bCs w:val="1"/>
                <w:color w:val="auto"/>
                <w:w w:val="86"/>
              </w:rPr>
              <w:t>September 30,</w:t>
            </w:r>
          </w:p>
        </w:tc>
        <w:tc>
          <w:tcPr>
            <w:tcW w:w="0" w:type="dxa"/>
            <w:vAlign w:val="bottom"/>
          </w:tcPr>
          <w:p>
            <w:pPr>
              <w:spacing w:after="0"/>
              <w:rPr>
                <w:sz w:val="1"/>
                <w:szCs w:val="1"/>
                <w:color w:val="auto"/>
              </w:rPr>
            </w:pPr>
          </w:p>
        </w:tc>
      </w:tr>
      <w:tr>
        <w:trPr>
          <w:trHeight w:val="220"/>
        </w:trPr>
        <w:tc>
          <w:tcPr>
            <w:tcW w:w="462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c>
          <w:tcPr>
            <w:tcW w:w="140" w:type="dxa"/>
            <w:vAlign w:val="bottom"/>
          </w:tcPr>
          <w:p>
            <w:pPr>
              <w:spacing w:after="0"/>
              <w:rPr>
                <w:sz w:val="19"/>
                <w:szCs w:val="19"/>
                <w:color w:val="auto"/>
              </w:rPr>
            </w:pPr>
          </w:p>
        </w:tc>
        <w:tc>
          <w:tcPr>
            <w:tcW w:w="1000" w:type="dxa"/>
            <w:vAlign w:val="bottom"/>
          </w:tcPr>
          <w:p>
            <w:pPr>
              <w:jc w:val="center"/>
              <w:ind w:right="37"/>
              <w:spacing w:after="0"/>
              <w:rPr>
                <w:sz w:val="20"/>
                <w:szCs w:val="20"/>
                <w:color w:val="auto"/>
              </w:rPr>
            </w:pPr>
            <w:r>
              <w:rPr>
                <w:rFonts w:ascii="Arial" w:cs="Arial" w:eastAsia="Arial" w:hAnsi="Arial"/>
                <w:sz w:val="17"/>
                <w:szCs w:val="17"/>
                <w:b w:val="1"/>
                <w:bCs w:val="1"/>
                <w:color w:val="auto"/>
                <w:w w:val="84"/>
              </w:rPr>
              <w:t>2022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83"/>
              <w:spacing w:after="0"/>
              <w:rPr>
                <w:sz w:val="20"/>
                <w:szCs w:val="20"/>
                <w:color w:val="auto"/>
              </w:rPr>
            </w:pPr>
            <w:r>
              <w:rPr>
                <w:rFonts w:ascii="Arial" w:cs="Arial" w:eastAsia="Arial" w:hAnsi="Arial"/>
                <w:sz w:val="17"/>
                <w:szCs w:val="17"/>
                <w:b w:val="1"/>
                <w:bCs w:val="1"/>
                <w:color w:val="auto"/>
                <w:w w:val="91"/>
              </w:rPr>
              <w:t>Additions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7"/>
                <w:szCs w:val="17"/>
                <w:b w:val="1"/>
                <w:bCs w:val="1"/>
                <w:color w:val="auto"/>
              </w:rPr>
              <w:t>Payments</w:t>
            </w:r>
          </w:p>
        </w:tc>
        <w:tc>
          <w:tcPr>
            <w:tcW w:w="160" w:type="dxa"/>
            <w:vAlign w:val="bottom"/>
          </w:tcPr>
          <w:p>
            <w:pPr>
              <w:spacing w:after="0"/>
              <w:rPr>
                <w:sz w:val="19"/>
                <w:szCs w:val="19"/>
                <w:color w:val="auto"/>
              </w:rPr>
            </w:pPr>
          </w:p>
        </w:tc>
        <w:tc>
          <w:tcPr>
            <w:tcW w:w="1100" w:type="dxa"/>
            <w:vAlign w:val="bottom"/>
            <w:gridSpan w:val="2"/>
          </w:tcPr>
          <w:p>
            <w:pPr>
              <w:jc w:val="center"/>
              <w:ind w:right="223"/>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7"/>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4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interest expense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4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65,000</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Notes payable, discount</w:t>
            </w:r>
          </w:p>
        </w:tc>
        <w:tc>
          <w:tcPr>
            <w:tcW w:w="14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7"/>
                <w:szCs w:val="17"/>
                <w:color w:val="auto"/>
              </w:rPr>
              <w:t>(32,196)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
              <w:spacing w:after="0"/>
              <w:rPr>
                <w:sz w:val="20"/>
                <w:szCs w:val="20"/>
                <w:color w:val="auto"/>
              </w:rPr>
            </w:pPr>
            <w:r>
              <w:rPr>
                <w:rFonts w:ascii="Arial" w:cs="Arial" w:eastAsia="Arial" w:hAnsi="Arial"/>
                <w:sz w:val="17"/>
                <w:szCs w:val="17"/>
                <w:color w:val="auto"/>
              </w:rPr>
              <w:t>(3,677)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(35,873)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Net carrying amount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(3,677</w:t>
            </w:r>
          </w:p>
        </w:tc>
        <w:tc>
          <w:tcPr>
            <w:tcW w:w="14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47</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50" w:name="page51"/>
    <w:bookmarkEnd w:id="50"/>
    <w:p>
      <w:pPr>
        <w:ind w:left="300"/>
        <w:spacing w:after="0"/>
        <w:rPr>
          <w:sz w:val="20"/>
          <w:szCs w:val="20"/>
          <w:color w:val="auto"/>
        </w:rPr>
      </w:pPr>
      <w:r>
        <w:rPr>
          <w:rFonts w:ascii="Arial" w:cs="Arial" w:eastAsia="Arial" w:hAnsi="Arial"/>
          <w:sz w:val="17"/>
          <w:szCs w:val="17"/>
          <w:color w:val="auto"/>
        </w:rPr>
        <w:t>The following table summarizes the short-term and long-term portions of the Exchange Note as of September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Notes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5"/>
              </w:rPr>
              <w:t>Payable,</w:t>
            </w:r>
          </w:p>
        </w:tc>
        <w:tc>
          <w:tcPr>
            <w:tcW w:w="0" w:type="dxa"/>
            <w:vAlign w:val="bottom"/>
          </w:tcPr>
          <w:p>
            <w:pPr>
              <w:spacing w:after="0"/>
              <w:rPr>
                <w:sz w:val="1"/>
                <w:szCs w:val="1"/>
                <w:color w:val="auto"/>
              </w:rPr>
            </w:pPr>
          </w:p>
        </w:tc>
      </w:tr>
      <w:tr>
        <w:trPr>
          <w:trHeight w:val="220"/>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1"/>
              </w:rPr>
              <w:t>Short-Term</w:t>
            </w:r>
          </w:p>
        </w:tc>
        <w:tc>
          <w:tcPr>
            <w:tcW w:w="12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Arial" w:cs="Arial" w:eastAsia="Arial" w:hAnsi="Arial"/>
                <w:sz w:val="17"/>
                <w:szCs w:val="17"/>
                <w:b w:val="1"/>
                <w:bCs w:val="1"/>
                <w:color w:val="auto"/>
              </w:rPr>
              <w:t>Long-Term</w:t>
            </w:r>
          </w:p>
        </w:tc>
        <w:tc>
          <w:tcPr>
            <w:tcW w:w="16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Direct issuance costs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Principal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Unamortized discount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(3,677)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(3,677)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carrying amount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280"/>
              <w:spacing w:after="0"/>
              <w:rPr>
                <w:sz w:val="20"/>
                <w:szCs w:val="20"/>
                <w:color w:val="auto"/>
              </w:rPr>
            </w:pPr>
            <w:r>
              <w:rPr>
                <w:rFonts w:ascii="Arial" w:cs="Arial" w:eastAsia="Arial" w:hAnsi="Arial"/>
                <w:sz w:val="17"/>
                <w:szCs w:val="17"/>
                <w:color w:val="auto"/>
              </w:rPr>
              <w:t>As of September 30, 2022, future minimum principal payments were as follows: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Years ending December 31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Remaining 2022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2026 and thereafter</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7"/>
                <w:szCs w:val="17"/>
                <w:color w:val="auto"/>
              </w:rPr>
              <w:t>Total future payments</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35,971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Paycheck Protection Program Loan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Paycheck Protection Program Loans under the Coronavirus Aid, Relief, and Economic Security Act</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May 2020, the Company entered into a PPP Loan with Bank of America pursuant to the PPP under the CARES Act administered by the SBA.</w:t>
      </w:r>
    </w:p>
    <w:p>
      <w:pPr>
        <w:spacing w:after="0" w:line="201" w:lineRule="exact"/>
        <w:rPr>
          <w:sz w:val="20"/>
          <w:szCs w:val="20"/>
          <w:color w:val="auto"/>
        </w:rPr>
      </w:pPr>
    </w:p>
    <w:p>
      <w:pPr>
        <w:ind w:right="260" w:firstLine="298"/>
        <w:spacing w:after="0" w:line="293" w:lineRule="auto"/>
        <w:rPr>
          <w:sz w:val="20"/>
          <w:szCs w:val="20"/>
          <w:color w:val="auto"/>
        </w:rPr>
      </w:pPr>
      <w:r>
        <w:rPr>
          <w:rFonts w:ascii="Arial" w:cs="Arial" w:eastAsia="Arial" w:hAnsi="Arial"/>
          <w:sz w:val="15"/>
          <w:szCs w:val="15"/>
          <w:color w:val="auto"/>
        </w:rPr>
        <w:t>The Company received total proceeds of approximately $779 thousand from the unsecured PPP Loan, which was originally scheduled to mature on May 7, 2022. The SBA denied the Company’s submission to have the remaining $779 thousand PPP Loan forgiven. On June 23, 2022, the Company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breakdown of PPP Loan balances by current and non-current as of September 30, 2022 and December 31, 2021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Balance Sheet</w:t>
            </w:r>
          </w:p>
        </w:tc>
        <w:tc>
          <w:tcPr>
            <w:tcW w:w="1220" w:type="dxa"/>
            <w:vAlign w:val="bottom"/>
            <w:gridSpan w:val="3"/>
          </w:tcPr>
          <w:p>
            <w:pPr>
              <w:ind w:left="60"/>
              <w:spacing w:after="0"/>
              <w:rPr>
                <w:sz w:val="20"/>
                <w:szCs w:val="20"/>
                <w:color w:val="auto"/>
              </w:rPr>
            </w:pPr>
            <w:r>
              <w:rPr>
                <w:rFonts w:ascii="Arial" w:cs="Arial" w:eastAsia="Arial" w:hAnsi="Arial"/>
                <w:sz w:val="17"/>
                <w:szCs w:val="17"/>
                <w:b w:val="1"/>
                <w:bCs w:val="1"/>
                <w:color w:val="auto"/>
                <w:w w:val="98"/>
              </w:rPr>
              <w:t>September 30,</w:t>
            </w:r>
          </w:p>
        </w:tc>
        <w:tc>
          <w:tcPr>
            <w:tcW w:w="12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0"/>
        </w:trPr>
        <w:tc>
          <w:tcPr>
            <w:tcW w:w="632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Location</w:t>
            </w: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r>
      <w:tr>
        <w:trPr>
          <w:trHeight w:val="186"/>
        </w:trPr>
        <w:tc>
          <w:tcPr>
            <w:tcW w:w="618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PPP Loan, current</w:t>
            </w:r>
          </w:p>
        </w:tc>
        <w:tc>
          <w:tcPr>
            <w:tcW w:w="1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86" w:lineRule="exact"/>
              <w:rPr>
                <w:sz w:val="20"/>
                <w:szCs w:val="20"/>
                <w:color w:val="auto"/>
              </w:rPr>
            </w:pPr>
            <w:r>
              <w:rPr>
                <w:rFonts w:ascii="Arial" w:cs="Arial" w:eastAsia="Arial" w:hAnsi="Arial"/>
                <w:sz w:val="17"/>
                <w:szCs w:val="17"/>
                <w:color w:val="auto"/>
                <w:w w:val="89"/>
              </w:rPr>
              <w:t>Long-term debt,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current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w:t>
            </w:r>
          </w:p>
        </w:tc>
      </w:tr>
      <w:tr>
        <w:trPr>
          <w:trHeight w:val="216"/>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PPP Loan, non-current</w:t>
            </w:r>
          </w:p>
        </w:tc>
        <w:tc>
          <w:tcPr>
            <w:tcW w:w="23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w w:val="90"/>
              </w:rPr>
              <w:t>Long-term debt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r>
      <w:tr>
        <w:trPr>
          <w:trHeight w:val="228"/>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PPP Loan outstanding</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726</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PurePressure SBA Debt</w:t>
      </w:r>
    </w:p>
    <w:p>
      <w:pPr>
        <w:spacing w:after="0" w:line="201" w:lineRule="exact"/>
        <w:rPr>
          <w:sz w:val="20"/>
          <w:szCs w:val="20"/>
          <w:color w:val="auto"/>
        </w:rPr>
      </w:pPr>
    </w:p>
    <w:p>
      <w:pPr>
        <w:ind w:right="740" w:firstLine="298"/>
        <w:spacing w:after="0" w:line="260" w:lineRule="auto"/>
        <w:rPr>
          <w:sz w:val="20"/>
          <w:szCs w:val="20"/>
          <w:color w:val="auto"/>
        </w:rPr>
      </w:pPr>
      <w:r>
        <w:rPr>
          <w:rFonts w:ascii="Arial" w:cs="Arial" w:eastAsia="Arial" w:hAnsi="Arial"/>
          <w:sz w:val="17"/>
          <w:szCs w:val="17"/>
          <w:color w:val="auto"/>
        </w:rPr>
        <w:t>As part of the acquisition of PurePressure, $159 thousand of debt remained outstanding from a standard SBA loan as of December 31, 2021. This debt has subsequently been paid as a part of the PurePressure acquisition.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Note 11 — Leases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1" w:lineRule="exact"/>
        <w:rPr>
          <w:sz w:val="20"/>
          <w:szCs w:val="20"/>
          <w:color w:val="auto"/>
        </w:rPr>
      </w:pPr>
    </w:p>
    <w:p>
      <w:pPr>
        <w:ind w:right="180" w:firstLine="298"/>
        <w:spacing w:after="0" w:line="319" w:lineRule="auto"/>
        <w:rPr>
          <w:sz w:val="20"/>
          <w:szCs w:val="20"/>
          <w:color w:val="auto"/>
        </w:rPr>
      </w:pPr>
      <w:r>
        <w:rPr>
          <w:rFonts w:ascii="Arial" w:cs="Arial" w:eastAsia="Arial" w:hAnsi="Arial"/>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36" w:lineRule="exact"/>
        <w:rPr>
          <w:sz w:val="20"/>
          <w:szCs w:val="20"/>
          <w:color w:val="auto"/>
        </w:rPr>
      </w:pPr>
    </w:p>
    <w:p>
      <w:pPr>
        <w:ind w:right="40" w:firstLine="298"/>
        <w:spacing w:after="0" w:line="252" w:lineRule="auto"/>
        <w:rPr>
          <w:sz w:val="20"/>
          <w:szCs w:val="20"/>
          <w:color w:val="auto"/>
        </w:rPr>
      </w:pPr>
      <w:r>
        <w:rPr>
          <w:rFonts w:ascii="Arial" w:cs="Arial" w:eastAsia="Arial" w:hAnsi="Arial"/>
          <w:sz w:val="17"/>
          <w:szCs w:val="17"/>
          <w:color w:val="auto"/>
        </w:rPr>
        <w:t>As the implicit interest rate in its leases was generally not known, the Company’s used its incremental borrowing rate as the discount rate for purposes of determining the present value of its lease liabilities. At September 30, 2022 and December 31, 2021, the Company’s weighted-average discount rate utilized for its leases was 7.27% and 7.16%, respectively.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When a contract contained lease and non-lease elements, both were accounted as a single lease component.</w:t>
      </w:r>
    </w:p>
    <w:p>
      <w:pPr>
        <w:spacing w:after="0" w:line="201" w:lineRule="exact"/>
        <w:rPr>
          <w:sz w:val="20"/>
          <w:szCs w:val="20"/>
          <w:color w:val="auto"/>
        </w:rPr>
      </w:pPr>
    </w:p>
    <w:p>
      <w:pPr>
        <w:ind w:right="1280" w:firstLine="298"/>
        <w:spacing w:after="0" w:line="260" w:lineRule="auto"/>
        <w:rPr>
          <w:sz w:val="20"/>
          <w:szCs w:val="20"/>
          <w:color w:val="auto"/>
        </w:rPr>
      </w:pPr>
      <w:r>
        <w:rPr>
          <w:rFonts w:ascii="Arial" w:cs="Arial" w:eastAsia="Arial" w:hAnsi="Arial"/>
          <w:sz w:val="17"/>
          <w:szCs w:val="17"/>
          <w:color w:val="auto"/>
        </w:rPr>
        <w:t>The Company had several non-cancelable finance leases for machinery and equipment. The Company’s finance leases have remaining lease terms of one year to five years.</w:t>
      </w:r>
    </w:p>
    <w:p>
      <w:pPr>
        <w:spacing w:after="0" w:line="172" w:lineRule="exact"/>
        <w:rPr>
          <w:sz w:val="20"/>
          <w:szCs w:val="20"/>
          <w:color w:val="auto"/>
        </w:rPr>
      </w:pPr>
    </w:p>
    <w:p>
      <w:pPr>
        <w:ind w:right="360" w:firstLine="298"/>
        <w:spacing w:after="0" w:line="252" w:lineRule="auto"/>
        <w:rPr>
          <w:sz w:val="20"/>
          <w:szCs w:val="20"/>
          <w:color w:val="auto"/>
        </w:rPr>
      </w:pPr>
      <w:r>
        <w:rPr>
          <w:rFonts w:ascii="Arial" w:cs="Arial" w:eastAsia="Arial" w:hAnsi="Arial"/>
          <w:sz w:val="17"/>
          <w:szCs w:val="17"/>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Additional information on the Company’s operating and financing lease activity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103"/>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ind w:left="280"/>
              <w:spacing w:after="0"/>
              <w:rPr>
                <w:sz w:val="20"/>
                <w:szCs w:val="20"/>
                <w:color w:val="auto"/>
              </w:rPr>
            </w:pPr>
            <w:r>
              <w:rPr>
                <w:rFonts w:ascii="Arial" w:cs="Arial" w:eastAsia="Arial" w:hAnsi="Arial"/>
                <w:sz w:val="17"/>
                <w:szCs w:val="17"/>
                <w:b w:val="1"/>
                <w:bCs w:val="1"/>
                <w:color w:val="auto"/>
              </w:rPr>
              <w:t>Nine Months Ended</w:t>
            </w:r>
          </w:p>
        </w:tc>
      </w:tr>
      <w:tr>
        <w:trPr>
          <w:trHeight w:val="22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7"/>
                <w:szCs w:val="17"/>
                <w:b w:val="1"/>
                <w:bCs w:val="1"/>
                <w:color w:val="auto"/>
                <w:w w:val="84"/>
              </w:rPr>
              <w:t>September 30,</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17"/>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Pr>
          <w:p>
            <w:pPr>
              <w:spacing w:after="0"/>
              <w:rPr>
                <w:sz w:val="18"/>
                <w:szCs w:val="18"/>
                <w:color w:val="auto"/>
              </w:rPr>
            </w:pPr>
          </w:p>
        </w:tc>
      </w:tr>
      <w:tr>
        <w:trPr>
          <w:trHeight w:val="198"/>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5860" w:type="dxa"/>
            <w:vAlign w:val="bottom"/>
          </w:tcPr>
          <w:p>
            <w:pPr>
              <w:ind w:left="140"/>
              <w:spacing w:after="0"/>
              <w:rPr>
                <w:sz w:val="20"/>
                <w:szCs w:val="20"/>
                <w:color w:val="auto"/>
              </w:rPr>
            </w:pPr>
            <w:r>
              <w:rPr>
                <w:rFonts w:ascii="Arial" w:cs="Arial" w:eastAsia="Arial" w:hAnsi="Arial"/>
                <w:sz w:val="17"/>
                <w:szCs w:val="17"/>
                <w:color w:val="auto"/>
              </w:rPr>
              <w:t>Finance lease cost: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right-of-use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r>
      <w:tr>
        <w:trPr>
          <w:trHeight w:val="216"/>
        </w:trPr>
        <w:tc>
          <w:tcPr>
            <w:tcW w:w="58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Interest on lease liabilities</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r>
      <w:tr>
        <w:trPr>
          <w:trHeight w:val="228"/>
        </w:trPr>
        <w:tc>
          <w:tcPr>
            <w:tcW w:w="58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lease cost</w:t>
            </w:r>
          </w:p>
        </w:tc>
        <w:tc>
          <w:tcPr>
            <w:tcW w:w="860" w:type="dxa"/>
            <w:vAlign w:val="bottom"/>
            <w:gridSpan w:val="2"/>
            <w:shd w:val="clear" w:color="auto" w:fill="CCEEFF"/>
          </w:tcPr>
          <w:p>
            <w:pPr>
              <w:jc w:val="right"/>
              <w:ind w:right="579"/>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354</w:t>
            </w:r>
          </w:p>
        </w:tc>
        <w:tc>
          <w:tcPr>
            <w:tcW w:w="900" w:type="dxa"/>
            <w:vAlign w:val="bottom"/>
            <w:gridSpan w:val="2"/>
            <w:shd w:val="clear" w:color="auto" w:fill="CCEEFF"/>
          </w:tcPr>
          <w:p>
            <w:pPr>
              <w:jc w:val="right"/>
              <w:ind w:right="643"/>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1">
            <w:col w:w="11240"/>
          </w:cols>
          <w:pgMar w:left="320" w:top="818"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54393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3935"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Right-of-use assets, net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assets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lease assets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Current: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Operating</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Non-current: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Operating</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Financing</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Total lease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Weighted-average remaining lease term – operating leases</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Weighted-average remaining lease term – finance leases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discount rate – operating leases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discount rate – finance 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900" w:type="dxa"/>
            <w:vAlign w:val="bottom"/>
            <w:gridSpan w:val="2"/>
          </w:tcPr>
          <w:p>
            <w:pPr>
              <w:ind w:left="900"/>
              <w:spacing w:after="0"/>
              <w:rPr>
                <w:sz w:val="20"/>
                <w:szCs w:val="20"/>
                <w:color w:val="auto"/>
              </w:rPr>
            </w:pPr>
            <w:r>
              <w:rPr>
                <w:rFonts w:ascii="Arial" w:cs="Arial" w:eastAsia="Arial" w:hAnsi="Arial"/>
                <w:sz w:val="17"/>
                <w:szCs w:val="17"/>
                <w:b w:val="1"/>
                <w:bCs w:val="1"/>
                <w:color w:val="auto"/>
              </w:rPr>
              <w:t>Balance Sheet</w:t>
            </w:r>
          </w:p>
        </w:tc>
        <w:tc>
          <w:tcPr>
            <w:tcW w:w="13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1"/>
              </w:rPr>
              <w:t>September 30,</w:t>
            </w:r>
          </w:p>
        </w:tc>
        <w:tc>
          <w:tcPr>
            <w:tcW w:w="126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December 31,</w:t>
            </w:r>
          </w:p>
        </w:tc>
      </w:tr>
      <w:tr>
        <w:trPr>
          <w:trHeight w:val="220"/>
        </w:trPr>
        <w:tc>
          <w:tcPr>
            <w:tcW w:w="280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Location</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84"/>
        </w:trPr>
        <w:tc>
          <w:tcPr>
            <w:tcW w:w="2900" w:type="dxa"/>
            <w:vAlign w:val="bottom"/>
            <w:gridSpan w:val="2"/>
          </w:tcPr>
          <w:p>
            <w:pPr>
              <w:spacing w:after="0"/>
              <w:rPr>
                <w:sz w:val="20"/>
                <w:szCs w:val="20"/>
                <w:color w:val="auto"/>
              </w:rPr>
            </w:pPr>
            <w:r>
              <w:rPr>
                <w:rFonts w:ascii="Arial" w:cs="Arial" w:eastAsia="Arial" w:hAnsi="Arial"/>
                <w:sz w:val="17"/>
                <w:szCs w:val="17"/>
                <w:color w:val="auto"/>
              </w:rPr>
              <w:t>Right-of-use, net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2,470</w:t>
            </w:r>
          </w:p>
        </w:tc>
        <w:tc>
          <w:tcPr>
            <w:tcW w:w="260" w:type="dxa"/>
            <w:vAlign w:val="bottom"/>
          </w:tcPr>
          <w:p>
            <w:pPr>
              <w:spacing w:after="0"/>
              <w:rPr>
                <w:sz w:val="24"/>
                <w:szCs w:val="24"/>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1,479</w:t>
            </w:r>
          </w:p>
        </w:tc>
        <w:tc>
          <w:tcPr>
            <w:tcW w:w="120" w:type="dxa"/>
            <w:vAlign w:val="bottom"/>
          </w:tcPr>
          <w:p>
            <w:pPr>
              <w:spacing w:after="0"/>
              <w:rPr>
                <w:sz w:val="24"/>
                <w:szCs w:val="24"/>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304</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380</w:t>
            </w:r>
          </w:p>
        </w:tc>
        <w:tc>
          <w:tcPr>
            <w:tcW w:w="120" w:type="dxa"/>
            <w:vAlign w:val="bottom"/>
          </w:tcPr>
          <w:p>
            <w:pPr>
              <w:spacing w:after="0"/>
              <w:rPr>
                <w:sz w:val="19"/>
                <w:szCs w:val="19"/>
                <w:color w:val="auto"/>
              </w:rPr>
            </w:pPr>
          </w:p>
        </w:tc>
      </w:t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1,859</w:t>
            </w:r>
          </w:p>
        </w:tc>
        <w:tc>
          <w:tcPr>
            <w:tcW w:w="12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79"/>
        </w:trPr>
        <w:tc>
          <w:tcPr>
            <w:tcW w:w="2900" w:type="dxa"/>
            <w:vAlign w:val="bottom"/>
            <w:gridSpan w:val="2"/>
          </w:tcPr>
          <w:p>
            <w:pPr>
              <w:spacing w:after="0"/>
              <w:rPr>
                <w:sz w:val="20"/>
                <w:szCs w:val="20"/>
                <w:color w:val="auto"/>
              </w:rPr>
            </w:pPr>
            <w:r>
              <w:rPr>
                <w:rFonts w:ascii="Arial" w:cs="Arial" w:eastAsia="Arial" w:hAnsi="Arial"/>
                <w:sz w:val="17"/>
                <w:szCs w:val="17"/>
                <w:color w:val="auto"/>
              </w:rPr>
              <w:t>Operating lease liabilities, current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822</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814</w:t>
            </w:r>
          </w:p>
        </w:tc>
        <w:tc>
          <w:tcPr>
            <w:tcW w:w="120" w:type="dxa"/>
            <w:vAlign w:val="bottom"/>
          </w:tcPr>
          <w:p>
            <w:pPr>
              <w:spacing w:after="0"/>
              <w:rPr>
                <w:sz w:val="24"/>
                <w:szCs w:val="24"/>
                <w:color w:val="auto"/>
              </w:rPr>
            </w:pPr>
          </w:p>
        </w:tc>
      </w:tr>
      <w:tr>
        <w:trPr>
          <w:trHeight w:val="198"/>
        </w:trPr>
        <w:tc>
          <w:tcPr>
            <w:tcW w:w="2900" w:type="dxa"/>
            <w:vAlign w:val="bottom"/>
            <w:gridSpan w:val="2"/>
          </w:tcPr>
          <w:p>
            <w:pPr>
              <w:spacing w:after="0"/>
              <w:rPr>
                <w:sz w:val="20"/>
                <w:szCs w:val="20"/>
                <w:color w:val="auto"/>
              </w:rPr>
            </w:pPr>
            <w:r>
              <w:rPr>
                <w:rFonts w:ascii="Arial" w:cs="Arial" w:eastAsia="Arial" w:hAnsi="Arial"/>
                <w:sz w:val="17"/>
                <w:szCs w:val="17"/>
                <w:color w:val="auto"/>
              </w:rPr>
              <w:t>Accrued expenses and other current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9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153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18"/>
                <w:szCs w:val="18"/>
                <w:color w:val="auto"/>
              </w:rPr>
            </w:pPr>
          </w:p>
        </w:tc>
      </w:tr>
      <w:tr>
        <w:trPr>
          <w:trHeight w:val="386"/>
        </w:trPr>
        <w:tc>
          <w:tcPr>
            <w:tcW w:w="2900" w:type="dxa"/>
            <w:vAlign w:val="bottom"/>
            <w:gridSpan w:val="2"/>
          </w:tcPr>
          <w:p>
            <w:pPr>
              <w:spacing w:after="0"/>
              <w:rPr>
                <w:sz w:val="20"/>
                <w:szCs w:val="20"/>
                <w:color w:val="auto"/>
              </w:rPr>
            </w:pPr>
            <w:r>
              <w:rPr>
                <w:rFonts w:ascii="Arial" w:cs="Arial" w:eastAsia="Arial" w:hAnsi="Arial"/>
                <w:sz w:val="17"/>
                <w:szCs w:val="17"/>
                <w:color w:val="auto"/>
              </w:rPr>
              <w:t>Operating lease liabilities, non-current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1,744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704</w:t>
            </w:r>
          </w:p>
        </w:tc>
        <w:tc>
          <w:tcPr>
            <w:tcW w:w="120" w:type="dxa"/>
            <w:vAlign w:val="bottom"/>
          </w:tcPr>
          <w:p>
            <w:pPr>
              <w:spacing w:after="0"/>
              <w:rPr>
                <w:sz w:val="24"/>
                <w:szCs w:val="24"/>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187</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293</w:t>
            </w:r>
          </w:p>
        </w:tc>
        <w:tc>
          <w:tcPr>
            <w:tcW w:w="120" w:type="dxa"/>
            <w:vAlign w:val="bottom"/>
          </w:tcPr>
          <w:p>
            <w:pPr>
              <w:spacing w:after="0"/>
              <w:rPr>
                <w:sz w:val="19"/>
                <w:szCs w:val="19"/>
                <w:color w:val="auto"/>
              </w:rPr>
            </w:pPr>
          </w:p>
        </w:tc>
      </w:t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1,967</w:t>
            </w:r>
          </w:p>
        </w:tc>
        <w:tc>
          <w:tcPr>
            <w:tcW w:w="12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183"/>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3.68 years</w:t>
            </w: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3.11 years</w:t>
            </w:r>
          </w:p>
        </w:tc>
        <w:tc>
          <w:tcPr>
            <w:tcW w:w="140" w:type="dxa"/>
            <w:vAlign w:val="bottom"/>
            <w:gridSpan w:val="2"/>
          </w:tcPr>
          <w:p>
            <w:pPr>
              <w:spacing w:after="0"/>
              <w:rPr>
                <w:sz w:val="15"/>
                <w:szCs w:val="15"/>
                <w:color w:val="auto"/>
              </w:rPr>
            </w:pP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2.50 years</w:t>
            </w:r>
          </w:p>
        </w:tc>
        <w:tc>
          <w:tcPr>
            <w:tcW w:w="24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2.36 years</w:t>
            </w: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6.70%</w:t>
            </w:r>
          </w:p>
        </w:tc>
        <w:tc>
          <w:tcPr>
            <w:tcW w:w="24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8.03%</w:t>
            </w:r>
          </w:p>
        </w:tc>
      </w:tr>
      <w:tr>
        <w:trPr>
          <w:trHeight w:val="209"/>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7.84%</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-2298065</wp:posOffset>
            </wp:positionV>
            <wp:extent cx="7143750" cy="125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-2030095</wp:posOffset>
            </wp:positionV>
            <wp:extent cx="7143750" cy="165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1651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-1715135</wp:posOffset>
            </wp:positionV>
            <wp:extent cx="7143750"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-1463040</wp:posOffset>
            </wp:positionV>
            <wp:extent cx="7143750"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-1085215</wp:posOffset>
            </wp:positionV>
            <wp:extent cx="714375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-833120</wp:posOffset>
            </wp:positionV>
            <wp:extent cx="714375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750" cy="14160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-525780</wp:posOffset>
            </wp:positionV>
            <wp:extent cx="7143750" cy="149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750" cy="14986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-250190</wp:posOffset>
            </wp:positionV>
            <wp:extent cx="7143750"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40"/>
          </w:cols>
          <w:pgMar w:left="320" w:top="818" w:right="3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375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660" w:type="dxa"/>
            <w:vAlign w:val="bottom"/>
            <w:gridSpan w:val="2"/>
          </w:tcPr>
          <w:p>
            <w:pPr>
              <w:ind w:left="280"/>
              <w:spacing w:after="0"/>
              <w:rPr>
                <w:sz w:val="20"/>
                <w:szCs w:val="20"/>
                <w:color w:val="auto"/>
              </w:rPr>
            </w:pPr>
            <w:r>
              <w:rPr>
                <w:rFonts w:ascii="Arial" w:cs="Arial" w:eastAsia="Arial" w:hAnsi="Arial"/>
                <w:sz w:val="17"/>
                <w:szCs w:val="17"/>
                <w:color w:val="auto"/>
              </w:rPr>
              <w:t>Maturities of operating and finance lease liabilities as of September 30, 2022 are as follows: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03"/>
              <w:spacing w:after="0"/>
              <w:rPr>
                <w:sz w:val="20"/>
                <w:szCs w:val="20"/>
                <w:color w:val="auto"/>
              </w:rPr>
            </w:pPr>
            <w:r>
              <w:rPr>
                <w:rFonts w:ascii="Arial" w:cs="Arial" w:eastAsia="Arial" w:hAnsi="Arial"/>
                <w:sz w:val="17"/>
                <w:szCs w:val="17"/>
                <w:b w:val="1"/>
                <w:bCs w:val="1"/>
                <w:color w:val="auto"/>
                <w:w w:val="89"/>
              </w:rPr>
              <w:t>Operating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03"/>
              <w:spacing w:after="0"/>
              <w:rPr>
                <w:sz w:val="20"/>
                <w:szCs w:val="20"/>
                <w:color w:val="auto"/>
              </w:rPr>
            </w:pPr>
            <w:r>
              <w:rPr>
                <w:rFonts w:ascii="Arial" w:cs="Arial" w:eastAsia="Arial" w:hAnsi="Arial"/>
                <w:sz w:val="17"/>
                <w:szCs w:val="17"/>
                <w:b w:val="1"/>
                <w:bCs w:val="1"/>
                <w:color w:val="auto"/>
                <w:w w:val="87"/>
              </w:rPr>
              <w:t>Finance</w:t>
            </w:r>
          </w:p>
        </w:tc>
        <w:tc>
          <w:tcPr>
            <w:tcW w:w="0" w:type="dxa"/>
            <w:vAlign w:val="bottom"/>
          </w:tcPr>
          <w:p>
            <w:pPr>
              <w:spacing w:after="0"/>
              <w:rPr>
                <w:sz w:val="1"/>
                <w:szCs w:val="1"/>
                <w:color w:val="auto"/>
              </w:rPr>
            </w:pPr>
          </w:p>
        </w:tc>
      </w:tr>
      <w:tr>
        <w:trPr>
          <w:trHeight w:val="220"/>
        </w:trPr>
        <w:tc>
          <w:tcPr>
            <w:tcW w:w="8680" w:type="dxa"/>
            <w:vAlign w:val="bottom"/>
            <w:gridSpan w:val="3"/>
          </w:tcPr>
          <w:p>
            <w:pPr>
              <w:spacing w:after="0"/>
              <w:rPr>
                <w:sz w:val="20"/>
                <w:szCs w:val="20"/>
                <w:color w:val="auto"/>
              </w:rPr>
            </w:pPr>
            <w:r>
              <w:rPr>
                <w:rFonts w:ascii="Arial" w:cs="Arial" w:eastAsia="Arial" w:hAnsi="Arial"/>
                <w:sz w:val="17"/>
                <w:szCs w:val="17"/>
                <w:b w:val="1"/>
                <w:bCs w:val="1"/>
                <w:color w:val="auto"/>
              </w:rPr>
              <w:t>Years ending December 31 (In thousands),</w:t>
            </w:r>
          </w:p>
        </w:tc>
        <w:tc>
          <w:tcPr>
            <w:tcW w:w="140" w:type="dxa"/>
            <w:vAlign w:val="bottom"/>
          </w:tcPr>
          <w:p>
            <w:pPr>
              <w:spacing w:after="0"/>
              <w:rPr>
                <w:sz w:val="19"/>
                <w:szCs w:val="19"/>
                <w:color w:val="auto"/>
              </w:rPr>
            </w:pPr>
          </w:p>
        </w:tc>
        <w:tc>
          <w:tcPr>
            <w:tcW w:w="1120" w:type="dxa"/>
            <w:vAlign w:val="bottom"/>
            <w:gridSpan w:val="2"/>
          </w:tcPr>
          <w:p>
            <w:pPr>
              <w:jc w:val="center"/>
              <w:ind w:right="203"/>
              <w:spacing w:after="0"/>
              <w:rPr>
                <w:sz w:val="20"/>
                <w:szCs w:val="20"/>
                <w:color w:val="auto"/>
              </w:rPr>
            </w:pPr>
            <w:r>
              <w:rPr>
                <w:rFonts w:ascii="Arial" w:cs="Arial" w:eastAsia="Arial" w:hAnsi="Arial"/>
                <w:sz w:val="17"/>
                <w:szCs w:val="17"/>
                <w:b w:val="1"/>
                <w:bCs w:val="1"/>
                <w:color w:val="auto"/>
                <w:w w:val="82"/>
              </w:rPr>
              <w:t>Lease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03"/>
              <w:spacing w:after="0"/>
              <w:rPr>
                <w:sz w:val="20"/>
                <w:szCs w:val="20"/>
                <w:color w:val="auto"/>
              </w:rPr>
            </w:pPr>
            <w:r>
              <w:rPr>
                <w:rFonts w:ascii="Arial" w:cs="Arial" w:eastAsia="Arial" w:hAnsi="Arial"/>
                <w:sz w:val="17"/>
                <w:szCs w:val="17"/>
                <w:b w:val="1"/>
                <w:bCs w:val="1"/>
                <w:color w:val="auto"/>
                <w:w w:val="82"/>
              </w:rPr>
              <w:t>Lease</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227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17"/>
                <w:szCs w:val="17"/>
                <w:color w:val="auto"/>
              </w:rPr>
              <w:t>921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17"/>
                <w:szCs w:val="17"/>
                <w:color w:val="auto"/>
              </w:rPr>
              <w:t>493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1120" w:type="dxa"/>
            <w:vAlign w:val="bottom"/>
            <w:gridSpan w:val="2"/>
          </w:tcPr>
          <w:p>
            <w:pPr>
              <w:jc w:val="right"/>
              <w:ind w:right="63"/>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 minimum lease payments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tcBorders>
              <w:bottom w:val="single" w:sz="8" w:color="CCEEFF"/>
            </w:tcBorders>
            <w:gridSpan w:val="2"/>
          </w:tcPr>
          <w:p>
            <w:pPr>
              <w:spacing w:after="0" w:line="183" w:lineRule="exact"/>
              <w:rPr>
                <w:sz w:val="20"/>
                <w:szCs w:val="20"/>
                <w:color w:val="auto"/>
              </w:rPr>
            </w:pPr>
            <w:r>
              <w:rPr>
                <w:rFonts w:ascii="Arial" w:cs="Arial" w:eastAsia="Arial" w:hAnsi="Arial"/>
                <w:sz w:val="17"/>
                <w:szCs w:val="17"/>
                <w:color w:val="auto"/>
              </w:rPr>
              <w:t>Less imputed interest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(350</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Convertible Promissory Notes</w:t>
      </w:r>
    </w:p>
    <w:p>
      <w:pPr>
        <w:spacing w:after="0" w:line="205" w:lineRule="exact"/>
        <w:rPr>
          <w:sz w:val="20"/>
          <w:szCs w:val="20"/>
          <w:color w:val="auto"/>
        </w:rPr>
      </w:pPr>
    </w:p>
    <w:p>
      <w:pPr>
        <w:ind w:right="140" w:firstLine="298"/>
        <w:spacing w:after="0" w:line="293" w:lineRule="auto"/>
        <w:rPr>
          <w:sz w:val="20"/>
          <w:szCs w:val="20"/>
          <w:color w:val="auto"/>
        </w:rPr>
      </w:pPr>
      <w:r>
        <w:rPr>
          <w:rFonts w:ascii="Arial" w:cs="Arial" w:eastAsia="Arial" w:hAnsi="Arial"/>
          <w:sz w:val="15"/>
          <w:szCs w:val="15"/>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 per share.</w:t>
      </w:r>
    </w:p>
    <w:p>
      <w:pPr>
        <w:spacing w:after="0" w:line="150" w:lineRule="exact"/>
        <w:rPr>
          <w:sz w:val="20"/>
          <w:szCs w:val="20"/>
          <w:color w:val="auto"/>
        </w:rPr>
      </w:pPr>
    </w:p>
    <w:p>
      <w:pPr>
        <w:ind w:right="380" w:firstLine="298"/>
        <w:spacing w:after="0" w:line="252" w:lineRule="auto"/>
        <w:rPr>
          <w:sz w:val="20"/>
          <w:szCs w:val="20"/>
          <w:color w:val="auto"/>
        </w:rPr>
      </w:pPr>
      <w:r>
        <w:rPr>
          <w:rFonts w:ascii="Arial" w:cs="Arial" w:eastAsia="Arial" w:hAnsi="Arial"/>
          <w:sz w:val="17"/>
          <w:szCs w:val="17"/>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78" w:lineRule="exact"/>
        <w:rPr>
          <w:sz w:val="20"/>
          <w:szCs w:val="20"/>
          <w:color w:val="auto"/>
        </w:rPr>
      </w:pPr>
    </w:p>
    <w:p>
      <w:pPr>
        <w:ind w:firstLine="298"/>
        <w:spacing w:after="0" w:line="301" w:lineRule="auto"/>
        <w:rPr>
          <w:sz w:val="20"/>
          <w:szCs w:val="20"/>
          <w:color w:val="auto"/>
        </w:rPr>
      </w:pPr>
      <w:r>
        <w:rPr>
          <w:rFonts w:ascii="Arial" w:cs="Arial" w:eastAsia="Arial" w:hAnsi="Arial"/>
          <w:sz w:val="15"/>
          <w:szCs w:val="15"/>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45" w:lineRule="exact"/>
        <w:rPr>
          <w:sz w:val="20"/>
          <w:szCs w:val="20"/>
          <w:color w:val="auto"/>
        </w:rPr>
      </w:pPr>
    </w:p>
    <w:p>
      <w:pPr>
        <w:ind w:right="640" w:firstLine="298"/>
        <w:spacing w:after="0" w:line="260" w:lineRule="auto"/>
        <w:rPr>
          <w:sz w:val="20"/>
          <w:szCs w:val="20"/>
          <w:color w:val="auto"/>
        </w:rPr>
      </w:pPr>
      <w:r>
        <w:rPr>
          <w:rFonts w:ascii="Arial" w:cs="Arial" w:eastAsia="Arial" w:hAnsi="Arial"/>
          <w:sz w:val="17"/>
          <w:szCs w:val="17"/>
          <w:color w:val="auto"/>
        </w:rPr>
        <w:t>On February 1, 2021, in conjunction with the closing of the Company’s IPO, the Convertible Notes in the aggregate principal amount of $13.1 million were converted into 8,485 shares of Common Stock at the election of the Company at a conversion price of $77.20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Stockholders’ Equity</w:t>
      </w:r>
    </w:p>
    <w:p>
      <w:pPr>
        <w:spacing w:after="0" w:line="205" w:lineRule="exact"/>
        <w:rPr>
          <w:sz w:val="20"/>
          <w:szCs w:val="20"/>
          <w:color w:val="auto"/>
        </w:rPr>
      </w:pPr>
    </w:p>
    <w:p>
      <w:pPr>
        <w:jc w:val="both"/>
        <w:ind w:right="260" w:firstLine="298"/>
        <w:spacing w:after="0" w:line="252" w:lineRule="auto"/>
        <w:rPr>
          <w:sz w:val="20"/>
          <w:szCs w:val="20"/>
          <w:color w:val="auto"/>
        </w:rPr>
      </w:pPr>
      <w:r>
        <w:rPr>
          <w:rFonts w:ascii="Arial" w:cs="Arial" w:eastAsia="Arial" w:hAnsi="Arial"/>
          <w:sz w:val="17"/>
          <w:szCs w:val="17"/>
          <w:color w:val="auto"/>
        </w:rPr>
        <w:t>On July 11, 2022, the Company increased its authorized number of shares of Common Stock to 5,150,000 consisting of: 5,000,000 shares of Common Stock, and 3,000,000 shares of Preferred Stock. On January 9, 2020, the Company designated 100,000 shares of the 3,000,000 authorized shares of Preferred Stock, as Series A Convertible Preferred Stock (“Series A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201" w:lineRule="exact"/>
        <w:rPr>
          <w:sz w:val="20"/>
          <w:szCs w:val="20"/>
          <w:color w:val="auto"/>
        </w:rPr>
      </w:pPr>
    </w:p>
    <w:p>
      <w:pPr>
        <w:ind w:firstLine="298"/>
        <w:spacing w:after="0" w:line="252" w:lineRule="auto"/>
        <w:rPr>
          <w:sz w:val="20"/>
          <w:szCs w:val="20"/>
          <w:color w:val="auto"/>
        </w:rPr>
      </w:pPr>
      <w:r>
        <w:rPr>
          <w:rFonts w:ascii="Arial" w:cs="Arial" w:eastAsia="Arial" w:hAnsi="Arial"/>
          <w:sz w:val="17"/>
          <w:szCs w:val="17"/>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of Conversion Formulas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January 11, 2021, the Company’s Board of Directors approved the amendment to the conversion formula of the Series A Preferred Stock and Convertible Notes.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After the amendment:</w:t>
      </w:r>
    </w:p>
    <w:p>
      <w:pPr>
        <w:spacing w:after="0" w:line="191" w:lineRule="exact"/>
        <w:rPr>
          <w:sz w:val="20"/>
          <w:szCs w:val="20"/>
          <w:color w:val="auto"/>
        </w:rPr>
      </w:pPr>
    </w:p>
    <w:p>
      <w:pPr>
        <w:ind w:left="600" w:right="80" w:hanging="303"/>
        <w:spacing w:after="0" w:line="24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$1,544.00 per share (after the reverse split taking effect); and</w:t>
      </w:r>
    </w:p>
    <w:p>
      <w:pPr>
        <w:spacing w:after="0" w:line="181" w:lineRule="exact"/>
        <w:rPr>
          <w:rFonts w:ascii="Arial" w:cs="Arial" w:eastAsia="Arial" w:hAnsi="Arial"/>
          <w:sz w:val="17"/>
          <w:szCs w:val="17"/>
          <w:color w:val="auto"/>
        </w:rPr>
      </w:pPr>
    </w:p>
    <w:p>
      <w:pPr>
        <w:ind w:left="600" w:right="20" w:hanging="303"/>
        <w:spacing w:after="0" w:line="24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$1,544.00 per share (after the reverse split taking effect).</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January 11, 2021, the Company’s shareholders approved the amendment to the Series A Preferred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Initial Public Offering</w:t>
      </w:r>
    </w:p>
    <w:p>
      <w:pPr>
        <w:spacing w:after="0" w:line="205" w:lineRule="exact"/>
        <w:rPr>
          <w:sz w:val="20"/>
          <w:szCs w:val="20"/>
          <w:color w:val="auto"/>
        </w:rPr>
      </w:pPr>
    </w:p>
    <w:p>
      <w:pPr>
        <w:ind w:right="60" w:firstLine="298"/>
        <w:spacing w:after="0" w:line="282" w:lineRule="auto"/>
        <w:rPr>
          <w:sz w:val="20"/>
          <w:szCs w:val="20"/>
          <w:color w:val="auto"/>
        </w:rPr>
      </w:pPr>
      <w:r>
        <w:rPr>
          <w:rFonts w:ascii="Arial" w:cs="Arial" w:eastAsia="Arial" w:hAnsi="Arial"/>
          <w:sz w:val="15"/>
          <w:szCs w:val="15"/>
          <w:color w:val="auto"/>
        </w:rPr>
        <w:t>On February 1, 2021, the Company completed an IPO for the sale of 27,000 shares of Common Stock at a price of $2,000.00 per share. The Company also granted the underwriters: (a) a 45-day option to purchase up to 4,050 additional shares of Common Stock on the same terms and conditions for the purpose of covering any over-allotments in connection with the IPO, and (b)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$57.0 million, after deducting underwriting discounts and estimated offering expenses.</w:t>
      </w:r>
    </w:p>
    <w:p>
      <w:pPr>
        <w:spacing w:after="0" w:line="160" w:lineRule="exact"/>
        <w:rPr>
          <w:sz w:val="20"/>
          <w:szCs w:val="20"/>
          <w:color w:val="auto"/>
        </w:rPr>
      </w:pPr>
    </w:p>
    <w:p>
      <w:pPr>
        <w:ind w:right="160" w:firstLine="298"/>
        <w:spacing w:after="0" w:line="260" w:lineRule="auto"/>
        <w:rPr>
          <w:sz w:val="20"/>
          <w:szCs w:val="20"/>
          <w:color w:val="auto"/>
        </w:rPr>
      </w:pPr>
      <w:r>
        <w:rPr>
          <w:rFonts w:ascii="Arial" w:cs="Arial" w:eastAsia="Arial" w:hAnsi="Arial"/>
          <w:sz w:val="17"/>
          <w:szCs w:val="17"/>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Public Offering</w:t>
      </w:r>
    </w:p>
    <w:p>
      <w:pPr>
        <w:spacing w:after="0" w:line="205" w:lineRule="exact"/>
        <w:rPr>
          <w:sz w:val="20"/>
          <w:szCs w:val="20"/>
          <w:color w:val="auto"/>
        </w:rPr>
      </w:pPr>
    </w:p>
    <w:p>
      <w:pPr>
        <w:ind w:firstLine="298"/>
        <w:spacing w:after="0" w:line="282" w:lineRule="auto"/>
        <w:rPr>
          <w:sz w:val="20"/>
          <w:szCs w:val="20"/>
          <w:color w:val="auto"/>
        </w:rPr>
      </w:pPr>
      <w:r>
        <w:rPr>
          <w:rFonts w:ascii="Arial" w:cs="Arial" w:eastAsia="Arial" w:hAnsi="Arial"/>
          <w:sz w:val="15"/>
          <w:szCs w:val="15"/>
          <w:color w:val="auto"/>
        </w:rPr>
        <w:t>On February 19, 2021, the Company consummated a secondary public offering (the “February Offering”) for the sale of 27,778 shares of Common Stock for a price of $2,700.00 per share. The Company also granted the underwriters: (a) a 45-day option to purchase up to 4,167 additional shares of Common Stock on the same terms and conditions for the purpose of covering any over-allotments in connection with the February Offering, and (b)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$3,375 per share. The exercise of the over-allotment option brought the total number of shares of Common Stock sold by the Company in connection with the February Offering to 31,944 shares and the total net proceeds received in connection with the February Offering to approximately $80.0 million, after deducting underwriting discounts and estimated offering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Underwriter Termination</w:t>
      </w:r>
    </w:p>
    <w:p>
      <w:pPr>
        <w:spacing w:after="0" w:line="205" w:lineRule="exact"/>
        <w:rPr>
          <w:sz w:val="20"/>
          <w:szCs w:val="20"/>
          <w:color w:val="auto"/>
        </w:rPr>
      </w:pPr>
    </w:p>
    <w:p>
      <w:pPr>
        <w:ind w:right="160" w:firstLine="298"/>
        <w:spacing w:after="0" w:line="293" w:lineRule="auto"/>
        <w:rPr>
          <w:sz w:val="20"/>
          <w:szCs w:val="20"/>
          <w:color w:val="auto"/>
        </w:rPr>
      </w:pPr>
      <w:r>
        <w:rPr>
          <w:rFonts w:ascii="Arial" w:cs="Arial" w:eastAsia="Arial" w:hAnsi="Arial"/>
          <w:sz w:val="15"/>
          <w:szCs w:val="15"/>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a cash payment to the representative of $2.4 million and the right to participate as a co-manager with 10% of the economics with respect to the Company’s next public offering of securities, payable in cash upon the closing of such offering.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Placement</w:t>
      </w:r>
    </w:p>
    <w:p>
      <w:pPr>
        <w:spacing w:after="0" w:line="205" w:lineRule="exact"/>
        <w:rPr>
          <w:sz w:val="20"/>
          <w:szCs w:val="20"/>
          <w:color w:val="auto"/>
        </w:rPr>
      </w:pPr>
    </w:p>
    <w:p>
      <w:pPr>
        <w:ind w:right="100" w:firstLine="298"/>
        <w:spacing w:after="0" w:line="288" w:lineRule="auto"/>
        <w:rPr>
          <w:sz w:val="20"/>
          <w:szCs w:val="20"/>
          <w:color w:val="auto"/>
        </w:rPr>
      </w:pPr>
      <w:r>
        <w:rPr>
          <w:rFonts w:ascii="Arial" w:cs="Arial" w:eastAsia="Arial" w:hAnsi="Arial"/>
          <w:sz w:val="15"/>
          <w:szCs w:val="15"/>
          <w:color w:val="auto"/>
        </w:rPr>
        <w:t>On January 25, 2022, the Company entered into a Securities Purchase Agreement (the “Securities Agreement”) with an institutional investor and other accredited investors for the sale by the Company of 12,252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56" w:lineRule="exact"/>
        <w:rPr>
          <w:sz w:val="20"/>
          <w:szCs w:val="20"/>
          <w:color w:val="auto"/>
        </w:rPr>
      </w:pPr>
    </w:p>
    <w:p>
      <w:pPr>
        <w:ind w:right="160" w:firstLine="298"/>
        <w:spacing w:after="0" w:line="293" w:lineRule="auto"/>
        <w:rPr>
          <w:sz w:val="20"/>
          <w:szCs w:val="20"/>
          <w:color w:val="auto"/>
        </w:rPr>
      </w:pPr>
      <w:r>
        <w:rPr>
          <w:rFonts w:ascii="Arial" w:cs="Arial" w:eastAsia="Arial" w:hAnsi="Arial"/>
          <w:sz w:val="15"/>
          <w:szCs w:val="15"/>
          <w:color w:val="auto"/>
        </w:rPr>
        <w:t>Subject to certain ownership limitations, the SA Warrants are exercisable six months from issuance. Each Pre-Funded Warrant was exercisable into one share of Common Stock at a price per share of $0.001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50" w:lineRule="exact"/>
        <w:rPr>
          <w:sz w:val="20"/>
          <w:szCs w:val="20"/>
          <w:color w:val="auto"/>
        </w:rPr>
      </w:pPr>
    </w:p>
    <w:p>
      <w:pPr>
        <w:ind w:right="320" w:firstLine="298"/>
        <w:spacing w:after="0" w:line="252" w:lineRule="auto"/>
        <w:rPr>
          <w:sz w:val="20"/>
          <w:szCs w:val="20"/>
          <w:color w:val="auto"/>
        </w:rPr>
      </w:pPr>
      <w:r>
        <w:rPr>
          <w:rFonts w:ascii="Arial" w:cs="Arial" w:eastAsia="Arial" w:hAnsi="Arial"/>
          <w:sz w:val="17"/>
          <w:szCs w:val="17"/>
          <w:color w:val="auto"/>
        </w:rPr>
        <w:t>Raymond Chang, Chairman and Chief Executive Officer of the Company, and Stuart Wilcox, who is currently the Chief Operating Officer, and at the time was a member of the Company’s Board of Directors, participated in the private placement on essentially the same terms as other investors, except for having a combined purchase price of $1,380.00 per share.</w:t>
      </w:r>
    </w:p>
    <w:p>
      <w:pPr>
        <w:spacing w:after="0" w:line="178" w:lineRule="exact"/>
        <w:rPr>
          <w:sz w:val="20"/>
          <w:szCs w:val="20"/>
          <w:color w:val="auto"/>
        </w:rPr>
      </w:pPr>
    </w:p>
    <w:p>
      <w:pPr>
        <w:ind w:right="240" w:firstLine="298"/>
        <w:spacing w:after="0" w:line="260" w:lineRule="auto"/>
        <w:rPr>
          <w:sz w:val="20"/>
          <w:szCs w:val="20"/>
          <w:color w:val="auto"/>
        </w:rPr>
      </w:pPr>
      <w:r>
        <w:rPr>
          <w:rFonts w:ascii="Arial" w:cs="Arial" w:eastAsia="Arial" w:hAnsi="Arial"/>
          <w:sz w:val="17"/>
          <w:szCs w:val="17"/>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Issuance of Common Stock in Connection with Acquisitions</w:t>
      </w:r>
    </w:p>
    <w:p>
      <w:pPr>
        <w:spacing w:after="0" w:line="205" w:lineRule="exact"/>
        <w:rPr>
          <w:sz w:val="20"/>
          <w:szCs w:val="20"/>
          <w:color w:val="auto"/>
        </w:rPr>
      </w:pPr>
    </w:p>
    <w:p>
      <w:pPr>
        <w:ind w:right="120" w:firstLine="298"/>
        <w:spacing w:after="0" w:line="249" w:lineRule="auto"/>
        <w:rPr>
          <w:sz w:val="20"/>
          <w:szCs w:val="20"/>
          <w:color w:val="auto"/>
        </w:rPr>
      </w:pPr>
      <w:r>
        <w:rPr>
          <w:rFonts w:ascii="Arial" w:cs="Arial" w:eastAsia="Arial" w:hAnsi="Arial"/>
          <w:sz w:val="17"/>
          <w:szCs w:val="17"/>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in connection with the finalization of the net working capital settlement. Refer to Note 9 – Business Combinations, included elsewhere in the notes to the consolidated financial statements.</w:t>
      </w:r>
    </w:p>
    <w:p>
      <w:pPr>
        <w:spacing w:after="0" w:line="181" w:lineRule="exact"/>
        <w:rPr>
          <w:sz w:val="20"/>
          <w:szCs w:val="20"/>
          <w:color w:val="auto"/>
        </w:rPr>
      </w:pPr>
    </w:p>
    <w:p>
      <w:pPr>
        <w:ind w:right="100" w:firstLine="298"/>
        <w:spacing w:after="0" w:line="327" w:lineRule="auto"/>
        <w:rPr>
          <w:sz w:val="20"/>
          <w:szCs w:val="20"/>
          <w:color w:val="auto"/>
        </w:rPr>
      </w:pPr>
      <w:r>
        <w:rPr>
          <w:rFonts w:ascii="Arial" w:cs="Arial" w:eastAsia="Arial" w:hAnsi="Arial"/>
          <w:sz w:val="15"/>
          <w:szCs w:val="15"/>
          <w:color w:val="auto"/>
        </w:rPr>
        <w:t>On December 31, 2021, the Company issued an aggregate of 1,202 shares of its Common Stock to the PurePressure shareholders in connection with the Company’s acquisition of PurePressure. Refer to Note 9 – Business Combinations, included elsewhere in the notes to the consolidated financial statements.</w:t>
      </w:r>
    </w:p>
    <w:p>
      <w:pPr>
        <w:spacing w:after="0" w:line="125" w:lineRule="exact"/>
        <w:rPr>
          <w:sz w:val="20"/>
          <w:szCs w:val="20"/>
          <w:color w:val="auto"/>
        </w:rPr>
      </w:pPr>
    </w:p>
    <w:p>
      <w:pPr>
        <w:ind w:right="320" w:firstLine="298"/>
        <w:spacing w:after="0" w:line="327" w:lineRule="auto"/>
        <w:rPr>
          <w:sz w:val="20"/>
          <w:szCs w:val="20"/>
          <w:color w:val="auto"/>
        </w:rPr>
      </w:pPr>
      <w:r>
        <w:rPr>
          <w:rFonts w:ascii="Arial" w:cs="Arial" w:eastAsia="Arial" w:hAnsi="Arial"/>
          <w:sz w:val="15"/>
          <w:szCs w:val="15"/>
          <w:color w:val="auto"/>
        </w:rPr>
        <w:t>On February 1, 2022, the Company issued an aggregate of 1,491 shares of its Common Stock to the Lab Society shareholders in connection with the Company’s acquisition of Lab Society. Refer to Note 9 – Business Combinations, included elsewhere in the notes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Stock-Based Compensation and Employee Benefit Plans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Omnibus Equity Incentive Plan</w:t>
      </w:r>
    </w:p>
    <w:p>
      <w:pPr>
        <w:spacing w:after="0" w:line="205" w:lineRule="exact"/>
        <w:rPr>
          <w:sz w:val="20"/>
          <w:szCs w:val="20"/>
          <w:color w:val="auto"/>
        </w:rPr>
      </w:pPr>
    </w:p>
    <w:p>
      <w:pPr>
        <w:ind w:right="60" w:firstLine="298"/>
        <w:spacing w:after="0" w:line="283" w:lineRule="auto"/>
        <w:rPr>
          <w:sz w:val="20"/>
          <w:szCs w:val="20"/>
          <w:color w:val="auto"/>
        </w:rPr>
      </w:pPr>
      <w:r>
        <w:rPr>
          <w:rFonts w:ascii="Arial" w:cs="Arial" w:eastAsia="Arial" w:hAnsi="Arial"/>
          <w:sz w:val="15"/>
          <w:szCs w:val="15"/>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or terminates unexercised or is forfeited, the number of shares subject thereto is again available for grant under the 2022 Plan. The 2022 Plan shall continue in effect, unless sooner terminated, until the tenth anniversary of the date on which it is adopted by the Board of Directors.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1" w:lineRule="exact"/>
        <w:rPr>
          <w:sz w:val="20"/>
          <w:szCs w:val="20"/>
          <w:color w:val="auto"/>
        </w:rPr>
      </w:pPr>
    </w:p>
    <w:p>
      <w:pPr>
        <w:ind w:right="40" w:firstLine="298"/>
        <w:spacing w:after="0" w:line="301" w:lineRule="auto"/>
        <w:rPr>
          <w:sz w:val="20"/>
          <w:szCs w:val="20"/>
          <w:color w:val="auto"/>
        </w:rPr>
      </w:pPr>
      <w:r>
        <w:rPr>
          <w:rFonts w:ascii="Arial" w:cs="Arial" w:eastAsia="Arial" w:hAnsi="Arial"/>
          <w:sz w:val="15"/>
          <w:szCs w:val="15"/>
          <w:color w:val="auto"/>
        </w:rPr>
        <w:t>The Company’s stock option compensation expense was $1.6 million and $941 thousand for the three months ended September 30, 2022 and 2021, respectively, and $3.5 million and $4.0 million for the nine months ended September 30, 2022 and 2021, respectively. There was $4.3 million of total unrecognized compensation cost related to unvested options granted under the Company’s options plans as of September 30, 2022. This stock option expense will be recognized through 2025.</w:t>
      </w:r>
    </w:p>
    <w:p>
      <w:pPr>
        <w:spacing w:after="0" w:line="145" w:lineRule="exact"/>
        <w:rPr>
          <w:sz w:val="20"/>
          <w:szCs w:val="20"/>
          <w:color w:val="auto"/>
        </w:rPr>
      </w:pPr>
    </w:p>
    <w:p>
      <w:pPr>
        <w:ind w:right="80" w:firstLine="298"/>
        <w:spacing w:after="0" w:line="301" w:lineRule="auto"/>
        <w:rPr>
          <w:sz w:val="20"/>
          <w:szCs w:val="20"/>
          <w:color w:val="auto"/>
        </w:rPr>
      </w:pPr>
      <w:r>
        <w:rPr>
          <w:rFonts w:ascii="Arial" w:cs="Arial" w:eastAsia="Arial" w:hAnsi="Arial"/>
          <w:sz w:val="15"/>
          <w:szCs w:val="15"/>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nine months ended September 30, 2022.</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Company’s assumptions used in the valuation of options granted during the year ended December 31,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7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198"/>
        </w:trPr>
        <w:tc>
          <w:tcPr>
            <w:tcW w:w="36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7640" w:type="dxa"/>
            <w:vAlign w:val="bottom"/>
          </w:tcPr>
          <w:p>
            <w:pPr>
              <w:jc w:val="right"/>
              <w:spacing w:after="0"/>
              <w:rPr>
                <w:sz w:val="20"/>
                <w:szCs w:val="20"/>
                <w:color w:val="auto"/>
              </w:rPr>
            </w:pPr>
            <w:r>
              <w:rPr>
                <w:rFonts w:ascii="Arial" w:cs="Arial" w:eastAsia="Arial" w:hAnsi="Arial"/>
                <w:sz w:val="17"/>
                <w:szCs w:val="17"/>
                <w:color w:val="auto"/>
              </w:rPr>
              <w:t>1.10% – 1.63%</w:t>
            </w:r>
          </w:p>
        </w:tc>
      </w:tr>
      <w:tr>
        <w:trPr>
          <w:trHeight w:val="198"/>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7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198"/>
        </w:trPr>
        <w:tc>
          <w:tcPr>
            <w:tcW w:w="3600" w:type="dxa"/>
            <w:vAlign w:val="bottom"/>
          </w:tcPr>
          <w:p>
            <w:pPr>
              <w:spacing w:after="0"/>
              <w:rPr>
                <w:sz w:val="20"/>
                <w:szCs w:val="20"/>
                <w:color w:val="auto"/>
              </w:rPr>
            </w:pPr>
            <w:r>
              <w:rPr>
                <w:rFonts w:ascii="Arial" w:cs="Arial" w:eastAsia="Arial" w:hAnsi="Arial"/>
                <w:sz w:val="17"/>
                <w:szCs w:val="17"/>
                <w:color w:val="auto"/>
              </w:rPr>
              <w:t>0% Expected life (Years)</w:t>
            </w:r>
          </w:p>
        </w:tc>
        <w:tc>
          <w:tcPr>
            <w:tcW w:w="7640" w:type="dxa"/>
            <w:vAlign w:val="bottom"/>
          </w:tcPr>
          <w:p>
            <w:pPr>
              <w:jc w:val="right"/>
              <w:ind w:right="57"/>
              <w:spacing w:after="0"/>
              <w:rPr>
                <w:sz w:val="20"/>
                <w:szCs w:val="20"/>
                <w:color w:val="auto"/>
              </w:rPr>
            </w:pPr>
            <w:r>
              <w:rPr>
                <w:rFonts w:ascii="Arial" w:cs="Arial" w:eastAsia="Arial" w:hAnsi="Arial"/>
                <w:sz w:val="17"/>
                <w:szCs w:val="17"/>
                <w:color w:val="auto"/>
              </w:rPr>
              <w:t>10</w:t>
            </w:r>
          </w:p>
        </w:tc>
      </w:tr>
      <w:tr>
        <w:trPr>
          <w:trHeight w:val="198"/>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Forfeiture rate</w:t>
            </w:r>
          </w:p>
        </w:tc>
        <w:tc>
          <w:tcPr>
            <w:tcW w:w="7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600"/>
        </w:trPr>
        <w:tc>
          <w:tcPr>
            <w:tcW w:w="36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jc w:val="right"/>
              <w:ind w:right="5457"/>
              <w:spacing w:after="0"/>
              <w:rPr>
                <w:sz w:val="20"/>
                <w:szCs w:val="20"/>
                <w:color w:val="auto"/>
              </w:rPr>
            </w:pPr>
            <w:r>
              <w:rPr>
                <w:rFonts w:ascii="Arial" w:cs="Arial" w:eastAsia="Arial" w:hAnsi="Arial"/>
                <w:sz w:val="17"/>
                <w:szCs w:val="17"/>
                <w:color w:val="auto"/>
              </w:rPr>
              <w:t>52</w:t>
            </w:r>
          </w:p>
        </w:tc>
      </w:tr>
    </w:tbl>
    <w:p>
      <w:pPr>
        <w:sectPr>
          <w:pgSz w:w="11900" w:h="16838" w:orient="portrait"/>
          <w:cols w:equalWidth="0" w:num="1">
            <w:col w:w="11240"/>
          </w:cols>
          <w:pgMar w:left="320" w:top="818" w:right="339" w:bottom="1440" w:gutter="0" w:footer="0" w:header="0"/>
        </w:sectPr>
      </w:pPr>
    </w:p>
    <w:bookmarkStart w:id="55" w:name="page56"/>
    <w:bookmarkEnd w:id="55"/>
    <w:p>
      <w:pPr>
        <w:ind w:firstLine="298"/>
        <w:spacing w:after="0" w:line="283" w:lineRule="auto"/>
        <w:rPr>
          <w:sz w:val="20"/>
          <w:szCs w:val="20"/>
          <w:color w:val="auto"/>
        </w:rPr>
      </w:pPr>
      <w:r>
        <w:rPr>
          <w:rFonts w:ascii="Arial" w:cs="Arial" w:eastAsia="Arial" w:hAnsi="Arial"/>
          <w:sz w:val="15"/>
          <w:szCs w:val="15"/>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59" w:lineRule="exact"/>
        <w:rPr>
          <w:sz w:val="20"/>
          <w:szCs w:val="20"/>
          <w:color w:val="auto"/>
        </w:rPr>
      </w:pPr>
    </w:p>
    <w:p>
      <w:pPr>
        <w:ind w:right="20" w:firstLine="298"/>
        <w:spacing w:after="0" w:line="286" w:lineRule="auto"/>
        <w:rPr>
          <w:sz w:val="20"/>
          <w:szCs w:val="20"/>
          <w:color w:val="auto"/>
        </w:rPr>
      </w:pPr>
      <w:r>
        <w:rPr>
          <w:rFonts w:ascii="Arial" w:cs="Arial" w:eastAsia="Arial" w:hAnsi="Arial"/>
          <w:sz w:val="15"/>
          <w:szCs w:val="15"/>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September 30, 2022, there were 3,234 shares of Common Stock available to be granted under the Company’s 2022 Plan.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01" w:lineRule="exact"/>
        <w:rPr>
          <w:sz w:val="20"/>
          <w:szCs w:val="20"/>
          <w:color w:val="auto"/>
        </w:rPr>
      </w:pPr>
    </w:p>
    <w:p>
      <w:pPr>
        <w:ind w:right="220" w:firstLine="298"/>
        <w:spacing w:after="0" w:line="260" w:lineRule="auto"/>
        <w:rPr>
          <w:sz w:val="20"/>
          <w:szCs w:val="20"/>
          <w:color w:val="auto"/>
        </w:rPr>
      </w:pPr>
      <w:r>
        <w:rPr>
          <w:rFonts w:ascii="Arial" w:cs="Arial" w:eastAsia="Arial" w:hAnsi="Arial"/>
          <w:sz w:val="17"/>
          <w:szCs w:val="17"/>
          <w:color w:val="auto"/>
        </w:rPr>
        <w:t>The following table presents option activity under the Company’s stock option plans for the nine months ended September 30, 2022 and the year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3"/>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Aggregate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Number of</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Exercise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Intrinsic</w:t>
            </w:r>
          </w:p>
        </w:tc>
        <w:tc>
          <w:tcPr>
            <w:tcW w:w="0" w:type="dxa"/>
            <w:vAlign w:val="bottom"/>
          </w:tcPr>
          <w:p>
            <w:pPr>
              <w:spacing w:after="0"/>
              <w:rPr>
                <w:sz w:val="1"/>
                <w:szCs w:val="1"/>
                <w:color w:val="auto"/>
              </w:rPr>
            </w:pPr>
          </w:p>
        </w:tc>
      </w:tr>
      <w:tr>
        <w:trPr>
          <w:trHeight w:val="220"/>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(In thousands, except share and per share data)</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Price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22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 outstanding at December 31, 2020</w:t>
            </w:r>
          </w:p>
        </w:tc>
        <w:tc>
          <w:tcPr>
            <w:tcW w:w="2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15,666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20"/>
              <w:spacing w:after="0"/>
              <w:rPr>
                <w:sz w:val="20"/>
                <w:szCs w:val="20"/>
                <w:color w:val="auto"/>
              </w:rPr>
            </w:pPr>
            <w:r>
              <w:rPr>
                <w:rFonts w:ascii="Arial" w:cs="Arial" w:eastAsia="Arial" w:hAnsi="Arial"/>
                <w:sz w:val="17"/>
                <w:szCs w:val="17"/>
                <w:color w:val="auto"/>
              </w:rPr>
              <w:t>Granted</w:t>
            </w:r>
          </w:p>
        </w:tc>
        <w:tc>
          <w:tcPr>
            <w:tcW w:w="3860" w:type="dxa"/>
            <w:vAlign w:val="bottom"/>
            <w:gridSpan w:val="4"/>
          </w:tcPr>
          <w:p>
            <w:pPr>
              <w:jc w:val="right"/>
              <w:ind w:right="220"/>
              <w:spacing w:after="0"/>
              <w:rPr>
                <w:sz w:val="20"/>
                <w:szCs w:val="20"/>
                <w:color w:val="auto"/>
              </w:rPr>
            </w:pPr>
            <w:r>
              <w:rPr>
                <w:rFonts w:ascii="Arial" w:cs="Arial" w:eastAsia="Arial" w:hAnsi="Arial"/>
                <w:sz w:val="17"/>
                <w:szCs w:val="17"/>
                <w:color w:val="auto"/>
              </w:rPr>
              <w:t>7,600</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2,426.00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Exercised</w:t>
            </w:r>
          </w:p>
        </w:tc>
        <w:tc>
          <w:tcPr>
            <w:tcW w:w="38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(3,288)</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646.00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20"/>
              <w:spacing w:after="0"/>
              <w:rPr>
                <w:sz w:val="20"/>
                <w:szCs w:val="20"/>
                <w:color w:val="auto"/>
              </w:rPr>
            </w:pPr>
            <w:r>
              <w:rPr>
                <w:rFonts w:ascii="Arial" w:cs="Arial" w:eastAsia="Arial" w:hAnsi="Arial"/>
                <w:sz w:val="17"/>
                <w:szCs w:val="17"/>
                <w:color w:val="auto"/>
              </w:rPr>
              <w:t>Forfeited</w:t>
            </w:r>
          </w:p>
        </w:tc>
        <w:tc>
          <w:tcPr>
            <w:tcW w:w="3860" w:type="dxa"/>
            <w:vAlign w:val="bottom"/>
            <w:gridSpan w:val="4"/>
          </w:tcPr>
          <w:p>
            <w:pPr>
              <w:jc w:val="right"/>
              <w:ind w:right="160"/>
              <w:spacing w:after="0"/>
              <w:rPr>
                <w:sz w:val="20"/>
                <w:szCs w:val="20"/>
                <w:color w:val="auto"/>
              </w:rPr>
            </w:pPr>
            <w:r>
              <w:rPr>
                <w:rFonts w:ascii="Arial" w:cs="Arial" w:eastAsia="Arial" w:hAnsi="Arial"/>
                <w:sz w:val="17"/>
                <w:szCs w:val="17"/>
                <w:color w:val="auto"/>
              </w:rPr>
              <w:t>(2,151)</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Canceled</w:t>
            </w:r>
          </w:p>
        </w:tc>
        <w:tc>
          <w:tcPr>
            <w:tcW w:w="38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886.00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tcBorders>
              <w:top w:val="single" w:sz="8" w:color="CCEEFF"/>
            </w:tcBorders>
          </w:tcPr>
          <w:p>
            <w:pPr>
              <w:spacing w:after="0" w:line="184" w:lineRule="exact"/>
              <w:rPr>
                <w:sz w:val="20"/>
                <w:szCs w:val="20"/>
                <w:color w:val="auto"/>
              </w:rPr>
            </w:pPr>
            <w:r>
              <w:rPr>
                <w:rFonts w:ascii="Arial" w:cs="Arial" w:eastAsia="Arial" w:hAnsi="Arial"/>
                <w:sz w:val="17"/>
                <w:szCs w:val="17"/>
                <w:color w:val="auto"/>
              </w:rPr>
              <w:t>Options outstanding at December 31, 2021</w:t>
            </w:r>
          </w:p>
        </w:tc>
        <w:tc>
          <w:tcPr>
            <w:tcW w:w="2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17,822</w:t>
            </w: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gridSpan w:val="2"/>
          </w:tcPr>
          <w:p>
            <w:pPr>
              <w:jc w:val="right"/>
              <w:ind w:right="100"/>
              <w:spacing w:after="0" w:line="184" w:lineRule="exact"/>
              <w:rPr>
                <w:sz w:val="20"/>
                <w:szCs w:val="20"/>
                <w:color w:val="auto"/>
              </w:rPr>
            </w:pPr>
            <w:r>
              <w:rPr>
                <w:rFonts w:ascii="Arial" w:cs="Arial" w:eastAsia="Arial" w:hAnsi="Arial"/>
                <w:sz w:val="17"/>
                <w:szCs w:val="17"/>
                <w:color w:val="auto"/>
              </w:rPr>
              <w:t>1,436.00</w:t>
            </w:r>
          </w:p>
        </w:tc>
        <w:tc>
          <w:tcPr>
            <w:tcW w:w="260" w:type="dxa"/>
            <w:vAlign w:val="bottom"/>
            <w:tcBorders>
              <w:top w:val="single" w:sz="8" w:color="CCEEFF"/>
            </w:tcBorders>
            <w:gridSpan w:val="2"/>
          </w:tcPr>
          <w:p>
            <w:pPr>
              <w:jc w:val="right"/>
              <w:spacing w:after="0" w:line="184"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CCEEFF"/>
            </w:tcBorders>
            <w:gridSpan w:val="2"/>
          </w:tcPr>
          <w:p>
            <w:pPr>
              <w:jc w:val="right"/>
              <w:ind w:right="100"/>
              <w:spacing w:after="0" w:line="184" w:lineRule="exact"/>
              <w:rPr>
                <w:sz w:val="20"/>
                <w:szCs w:val="20"/>
                <w:color w:val="auto"/>
              </w:rPr>
            </w:pPr>
            <w:r>
              <w:rPr>
                <w:rFonts w:ascii="Arial" w:cs="Arial" w:eastAsia="Arial" w:hAnsi="Arial"/>
                <w:sz w:val="17"/>
                <w:szCs w:val="17"/>
                <w:color w:val="auto"/>
              </w:rPr>
              <w:t>251,440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Granted</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ind w:left="120"/>
              <w:spacing w:after="0"/>
              <w:rPr>
                <w:sz w:val="20"/>
                <w:szCs w:val="20"/>
                <w:color w:val="auto"/>
              </w:rPr>
            </w:pPr>
            <w:r>
              <w:rPr>
                <w:rFonts w:ascii="Arial" w:cs="Arial" w:eastAsia="Arial" w:hAnsi="Arial"/>
                <w:sz w:val="17"/>
                <w:szCs w:val="17"/>
                <w:color w:val="auto"/>
              </w:rPr>
              <w:t>Exercised</w:t>
            </w:r>
          </w:p>
        </w:tc>
        <w:tc>
          <w:tcPr>
            <w:tcW w:w="3860" w:type="dxa"/>
            <w:vAlign w:val="bottom"/>
            <w:gridSpan w:val="4"/>
          </w:tcPr>
          <w:p>
            <w:pPr>
              <w:jc w:val="right"/>
              <w:ind w:right="16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458.40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38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(2,351)</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7"/>
                <w:szCs w:val="17"/>
                <w:color w:val="auto"/>
              </w:rPr>
              <w:t>Canceled</w:t>
            </w:r>
          </w:p>
        </w:tc>
        <w:tc>
          <w:tcPr>
            <w:tcW w:w="2500" w:type="dxa"/>
            <w:vAlign w:val="bottom"/>
            <w:gridSpan w:val="2"/>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(1,145)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1,858.60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Options outstanding at September 30, 2022</w:t>
            </w:r>
          </w:p>
        </w:tc>
        <w:tc>
          <w:tcPr>
            <w:tcW w:w="25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1,473.20</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vMerge w:val="continue"/>
          </w:tcPr>
          <w:p>
            <w:pPr>
              <w:spacing w:after="0"/>
              <w:rPr>
                <w:sz w:val="20"/>
                <w:szCs w:val="20"/>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Options vested and exercisable as of September 30, 2022</w:t>
            </w:r>
          </w:p>
        </w:tc>
        <w:tc>
          <w:tcPr>
            <w:tcW w:w="2500" w:type="dxa"/>
            <w:vAlign w:val="bottom"/>
            <w:tcBorders>
              <w:bottom w:val="single" w:sz="8" w:color="CCEEFF"/>
            </w:tcBorders>
            <w:gridSpan w:val="2"/>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1,257.40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7"/>
                <w:szCs w:val="17"/>
                <w:color w:val="auto"/>
              </w:rPr>
              <w:t>Options vested and expected to vest as of September 30, 2022</w:t>
            </w:r>
          </w:p>
        </w:tc>
        <w:tc>
          <w:tcPr>
            <w:tcW w:w="23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1,438.60</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13,610</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80" w:type="dxa"/>
            <w:vAlign w:val="bottom"/>
            <w:vMerge w:val="restart"/>
          </w:tcPr>
          <w:p>
            <w:pPr>
              <w:jc w:val="right"/>
              <w:ind w:right="1417"/>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56" w:name="page57"/>
    <w:bookmarkEnd w:id="56"/>
    <w:p>
      <w:pPr>
        <w:ind w:left="30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following table presents restricted stock unit activity under the 2022 Plan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Unvested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3750" cy="133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0" cy="1339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Granted</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25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Forfeited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Unvested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3750" cy="165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2022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Weighted-</w:t>
            </w:r>
          </w:p>
        </w:tc>
      </w:tr>
      <w:tr>
        <w:trPr>
          <w:trHeight w:val="198"/>
        </w:trPr>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3"/>
              </w:rPr>
              <w:t>Average</w:t>
            </w:r>
          </w:p>
        </w:tc>
      </w:tr>
      <w:tr>
        <w:trPr>
          <w:trHeight w:val="198"/>
        </w:trPr>
        <w:tc>
          <w:tcPr>
            <w:tcW w:w="12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1"/>
              </w:rPr>
              <w:t>Number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Grant Date</w:t>
            </w:r>
          </w:p>
        </w:tc>
      </w:tr>
      <w:tr>
        <w:trPr>
          <w:trHeight w:val="220"/>
        </w:trPr>
        <w:tc>
          <w:tcPr>
            <w:tcW w:w="1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Shares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Fair Value</w:t>
            </w:r>
          </w:p>
        </w:tc>
      </w:tr>
      <w:tr>
        <w:trPr>
          <w:trHeight w:val="186"/>
        </w:trPr>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8"/>
        </w:trPr>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252.40</w:t>
            </w:r>
          </w:p>
        </w:tc>
      </w:tr>
      <w:tr>
        <w:trPr>
          <w:trHeight w:val="198"/>
        </w:trPr>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384.00</w:t>
            </w:r>
          </w:p>
        </w:tc>
      </w:tr>
      <w:tr>
        <w:trPr>
          <w:trHeight w:val="223"/>
        </w:trPr>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314.00</w:t>
            </w:r>
          </w:p>
        </w:tc>
      </w:tr>
      <w:tr>
        <w:trPr>
          <w:trHeight w:val="26"/>
        </w:trPr>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r>
      <w:tr>
        <w:trPr>
          <w:trHeight w:val="228"/>
        </w:trPr>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7,965</w:t>
            </w:r>
          </w:p>
        </w:tc>
        <w:tc>
          <w:tcPr>
            <w:tcW w:w="22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249.20</w:t>
            </w:r>
          </w:p>
        </w:tc>
      </w:tr>
      <w:tr>
        <w:trPr>
          <w:trHeight w:val="20"/>
        </w:trPr>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1" w:lineRule="exact"/>
        <w:rPr>
          <w:sz w:val="20"/>
          <w:szCs w:val="20"/>
          <w:color w:val="auto"/>
        </w:rPr>
      </w:pPr>
    </w:p>
    <w:p>
      <w:pPr>
        <w:sectPr>
          <w:pgSz w:w="11900" w:h="16838" w:orient="portrait"/>
          <w:cols w:equalWidth="0" w:num="2">
            <w:col w:w="8620" w:space="60"/>
            <w:col w:w="2560"/>
          </w:cols>
          <w:pgMar w:left="320" w:top="822" w:right="339" w:bottom="1440" w:gutter="0" w:footer="0" w:header="0"/>
        </w:sectPr>
      </w:pPr>
    </w:p>
    <w:p>
      <w:pPr>
        <w:spacing w:after="0" w:line="1" w:lineRule="exact"/>
        <w:rPr>
          <w:sz w:val="20"/>
          <w:szCs w:val="20"/>
          <w:color w:val="auto"/>
        </w:rPr>
      </w:pPr>
    </w:p>
    <w:p>
      <w:pPr>
        <w:jc w:val="both"/>
        <w:ind w:right="20" w:firstLine="298"/>
        <w:spacing w:after="0" w:line="252" w:lineRule="auto"/>
        <w:rPr>
          <w:sz w:val="20"/>
          <w:szCs w:val="20"/>
          <w:color w:val="auto"/>
        </w:rPr>
      </w:pPr>
      <w:r>
        <w:rPr>
          <w:rFonts w:ascii="Arial" w:cs="Arial" w:eastAsia="Arial" w:hAnsi="Arial"/>
          <w:sz w:val="17"/>
          <w:szCs w:val="17"/>
          <w:color w:val="auto"/>
        </w:rPr>
        <w:t>On April 29, 2022, the Company’s Board of Directors, and on June 8, 2022, the Company’s stockholders, adopted and approved the 2022 Employee Stock Purchase Plan (“ESPP”). The Company has initially reserved 2,500 shares of Common Stock for issuance under the ESPP. On September 30, 2022, 2,500 shares were available for future issuance.</w:t>
      </w:r>
    </w:p>
    <w:p>
      <w:pPr>
        <w:spacing w:after="0" w:line="178"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nine months ended September 30, 2022.</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w:t>
      </w:r>
    </w:p>
    <w:p>
      <w:pPr>
        <w:spacing w:after="0" w:line="205" w:lineRule="exact"/>
        <w:rPr>
          <w:sz w:val="20"/>
          <w:szCs w:val="20"/>
          <w:color w:val="auto"/>
        </w:rPr>
      </w:pPr>
    </w:p>
    <w:p>
      <w:pPr>
        <w:jc w:val="both"/>
        <w:ind w:right="520" w:firstLine="298"/>
        <w:spacing w:after="0" w:line="252" w:lineRule="auto"/>
        <w:rPr>
          <w:sz w:val="20"/>
          <w:szCs w:val="20"/>
          <w:color w:val="auto"/>
        </w:rPr>
      </w:pPr>
      <w:r>
        <w:rPr>
          <w:rFonts w:ascii="Arial" w:cs="Arial" w:eastAsia="Arial" w:hAnsi="Arial"/>
          <w:sz w:val="17"/>
          <w:szCs w:val="17"/>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nine months ended September 30, 2022 and 2021, the Company did not contribute to the 401k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Stock Warrants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all warrant activity of the Company for the nine months ended September 30, 2022 and the year ended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Weighted-</w:t>
            </w:r>
          </w:p>
        </w:tc>
      </w:tr>
      <w:tr>
        <w:trPr>
          <w:trHeight w:val="198"/>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3"/>
              </w:rPr>
              <w:t>Average</w:t>
            </w:r>
          </w:p>
        </w:tc>
      </w:tr>
      <w:tr>
        <w:trPr>
          <w:trHeight w:val="198"/>
        </w:trPr>
        <w:tc>
          <w:tcPr>
            <w:tcW w:w="8680" w:type="dxa"/>
            <w:vAlign w:val="bottom"/>
          </w:tcPr>
          <w:p>
            <w:pPr>
              <w:spacing w:after="0"/>
              <w:rPr>
                <w:sz w:val="17"/>
                <w:szCs w:val="17"/>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Exercise</w:t>
            </w:r>
          </w:p>
        </w:tc>
      </w:tr>
      <w:tr>
        <w:trPr>
          <w:trHeight w:val="220"/>
        </w:trPr>
        <w:tc>
          <w:tcPr>
            <w:tcW w:w="86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Warrants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Price</w:t>
            </w:r>
          </w:p>
        </w:tc>
      </w:tr>
      <w:tr>
        <w:trPr>
          <w:trHeight w:val="198"/>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Warrants 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8680" w:type="dxa"/>
            <w:vAlign w:val="bottom"/>
          </w:tcPr>
          <w:p>
            <w:pPr>
              <w:ind w:left="140"/>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1,890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294.40</w:t>
            </w: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121.40</w:t>
            </w:r>
          </w:p>
        </w:tc>
      </w:tr>
      <w:tr>
        <w:trPr>
          <w:trHeight w:val="184"/>
        </w:trPr>
        <w:tc>
          <w:tcPr>
            <w:tcW w:w="8680" w:type="dxa"/>
            <w:vAlign w:val="bottom"/>
            <w:tcBorders>
              <w:top w:val="single" w:sz="8" w:color="CCEEFF"/>
            </w:tcBorders>
          </w:tcPr>
          <w:p>
            <w:pPr>
              <w:spacing w:after="0" w:line="184" w:lineRule="exact"/>
              <w:rPr>
                <w:sz w:val="20"/>
                <w:szCs w:val="20"/>
                <w:color w:val="auto"/>
              </w:rPr>
            </w:pPr>
            <w:r>
              <w:rPr>
                <w:rFonts w:ascii="Arial" w:cs="Arial" w:eastAsia="Arial" w:hAnsi="Arial"/>
                <w:sz w:val="17"/>
                <w:szCs w:val="17"/>
                <w:color w:val="auto"/>
              </w:rPr>
              <w:t>Warrants outstanding at December 31, 2021</w:t>
            </w:r>
          </w:p>
        </w:tc>
        <w:tc>
          <w:tcPr>
            <w:tcW w:w="112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1,358</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color w:val="auto"/>
              </w:rPr>
              <w:t>4.00</w:t>
            </w:r>
          </w:p>
        </w:tc>
        <w:tc>
          <w:tcPr>
            <w:tcW w:w="100" w:type="dxa"/>
            <w:vAlign w:val="bottom"/>
            <w:tcBorders>
              <w:top w:val="single" w:sz="8" w:color="CCEEFF"/>
            </w:tcBorders>
          </w:tcPr>
          <w:p>
            <w:pPr>
              <w:spacing w:after="0"/>
              <w:rPr>
                <w:sz w:val="16"/>
                <w:szCs w:val="16"/>
                <w:color w:val="auto"/>
              </w:rPr>
            </w:pPr>
          </w:p>
        </w:tc>
      </w:tr>
      <w:tr>
        <w:trPr>
          <w:trHeight w:val="198"/>
        </w:trPr>
        <w:tc>
          <w:tcPr>
            <w:tcW w:w="8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427.00</w:t>
            </w:r>
          </w:p>
        </w:tc>
      </w:tr>
      <w:tr>
        <w:trPr>
          <w:trHeight w:val="216"/>
        </w:trPr>
        <w:tc>
          <w:tcPr>
            <w:tcW w:w="868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(8,295)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0.20</w:t>
            </w:r>
          </w:p>
        </w:tc>
      </w:tr>
      <w:tr>
        <w:trPr>
          <w:trHeight w:val="22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Warrants outstanding at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right="560" w:firstLine="298"/>
        <w:spacing w:after="0" w:line="327" w:lineRule="auto"/>
        <w:rPr>
          <w:sz w:val="20"/>
          <w:szCs w:val="20"/>
          <w:color w:val="auto"/>
        </w:rPr>
      </w:pPr>
      <w:r>
        <w:rPr>
          <w:rFonts w:ascii="Arial" w:cs="Arial" w:eastAsia="Arial" w:hAnsi="Arial"/>
          <w:sz w:val="15"/>
          <w:szCs w:val="15"/>
          <w:color w:val="auto"/>
        </w:rPr>
        <w:t>The Company received proceeds from the exercise of warrants of less than $1 thousand and $4 thousand for the three months ended September 30, 2022 and September 30, 2021, respectively, and $2 thousand and $9 thousand for the nine months ended September 30, 2022 and 2021,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type w:val="continuous"/>
        </w:sectPr>
      </w:pPr>
    </w:p>
    <w:bookmarkStart w:id="57" w:name="page58"/>
    <w:bookmarkEnd w:id="57"/>
    <w:p>
      <w:pPr>
        <w:ind w:left="1"/>
        <w:spacing w:after="0"/>
        <w:rPr>
          <w:sz w:val="20"/>
          <w:szCs w:val="20"/>
          <w:color w:val="auto"/>
        </w:rPr>
      </w:pPr>
      <w:r>
        <w:rPr>
          <w:rFonts w:ascii="Arial" w:cs="Arial" w:eastAsia="Arial" w:hAnsi="Arial"/>
          <w:sz w:val="17"/>
          <w:szCs w:val="17"/>
          <w:b w:val="1"/>
          <w:bCs w:val="1"/>
          <w:color w:val="auto"/>
        </w:rPr>
        <w:t>Note 16 — Income Taxes</w:t>
      </w:r>
    </w:p>
    <w:p>
      <w:pPr>
        <w:spacing w:after="0" w:line="205" w:lineRule="exact"/>
        <w:rPr>
          <w:sz w:val="20"/>
          <w:szCs w:val="20"/>
          <w:color w:val="auto"/>
        </w:rPr>
      </w:pPr>
    </w:p>
    <w:p>
      <w:pPr>
        <w:ind w:left="1" w:right="60" w:firstLine="298"/>
        <w:spacing w:after="0" w:line="260" w:lineRule="auto"/>
        <w:rPr>
          <w:sz w:val="20"/>
          <w:szCs w:val="20"/>
          <w:color w:val="auto"/>
        </w:rPr>
      </w:pPr>
      <w:r>
        <w:rPr>
          <w:rFonts w:ascii="Arial" w:cs="Arial" w:eastAsia="Arial" w:hAnsi="Arial"/>
          <w:sz w:val="17"/>
          <w:szCs w:val="17"/>
          <w:color w:val="auto"/>
        </w:rPr>
        <w:t>The Company’s effective income tax rate was 0.0% for both the three months ended September 30, 2022 and 2021. The income tax benefit was $0 for both the three months ended September 30, 2022 and 2021.</w:t>
      </w:r>
    </w:p>
    <w:p>
      <w:pPr>
        <w:spacing w:after="0" w:line="172" w:lineRule="exact"/>
        <w:rPr>
          <w:sz w:val="20"/>
          <w:szCs w:val="20"/>
          <w:color w:val="auto"/>
        </w:rPr>
      </w:pPr>
    </w:p>
    <w:p>
      <w:pPr>
        <w:ind w:left="301"/>
        <w:spacing w:after="0"/>
        <w:rPr>
          <w:sz w:val="20"/>
          <w:szCs w:val="20"/>
          <w:color w:val="auto"/>
        </w:rPr>
      </w:pPr>
      <w:r>
        <w:rPr>
          <w:rFonts w:ascii="Arial" w:cs="Arial" w:eastAsia="Arial" w:hAnsi="Arial"/>
          <w:sz w:val="15"/>
          <w:szCs w:val="15"/>
          <w:color w:val="auto"/>
        </w:rPr>
        <w:t>The Company’s effective income tax rate was 0.2% and 0.0% for the nine months ended September 30, 2022 and 2021, respectively. The income tax benefit was</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4"/>
          <w:szCs w:val="14"/>
          <w:color w:val="auto"/>
        </w:rPr>
        <w:t>$262 thousand and $0 for the nine months ended September 30, 2022 and 2021, respectively. The difference between the Company’s effective tax rates for the 2022 and</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5"/>
          <w:szCs w:val="15"/>
          <w:color w:val="auto"/>
        </w:rPr>
        <w:t>2021 periods and the U.S. statutory tax rate of 21% was primarily due to a valuation allowance recorded against the Company’s deferred tax assets. The change in the</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5"/>
          <w:szCs w:val="15"/>
          <w:color w:val="auto"/>
        </w:rPr>
        <w:t>income tax benefit for the nine months ended September 30, 2022 compared to the nine months ended September 30, 2021 was primarily due to a discrete income tax</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5"/>
          <w:szCs w:val="15"/>
          <w:color w:val="auto"/>
        </w:rPr>
        <w:t>benefit of $200 thousand recorded during the first quarter of 2022, which is attributable to a non-recurring partial release of the Company’s U.S. valuation allowance as a</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5"/>
          <w:szCs w:val="15"/>
          <w:color w:val="auto"/>
        </w:rPr>
        <w:t>result of the Lab Society acquisition. Additionally, as a result of the goodwill impairment charge recorded during the second quarter of 2022, the Company recognized a</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7"/>
          <w:szCs w:val="17"/>
          <w:color w:val="auto"/>
        </w:rPr>
        <w:t>small benefit of $62 thousand related to the reversal of its opening deferred tax liability on indefinite-lived assets.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17 — Net Loss Per Share</w:t>
      </w:r>
    </w:p>
    <w:p>
      <w:pPr>
        <w:spacing w:after="0" w:line="205" w:lineRule="exact"/>
        <w:rPr>
          <w:sz w:val="20"/>
          <w:szCs w:val="20"/>
          <w:color w:val="auto"/>
        </w:rPr>
      </w:pPr>
    </w:p>
    <w:p>
      <w:pPr>
        <w:ind w:left="1" w:right="560" w:firstLine="298"/>
        <w:spacing w:after="0" w:line="260" w:lineRule="auto"/>
        <w:rPr>
          <w:sz w:val="20"/>
          <w:szCs w:val="20"/>
          <w:color w:val="auto"/>
        </w:rPr>
      </w:pPr>
      <w:r>
        <w:rPr>
          <w:rFonts w:ascii="Arial" w:cs="Arial" w:eastAsia="Arial" w:hAnsi="Arial"/>
          <w:sz w:val="17"/>
          <w:szCs w:val="17"/>
          <w:color w:val="auto"/>
        </w:rPr>
        <w:t>Net loss per share calculations for all periods have been adjusted to reflect the Company’s reverse stock splits. Net loss per share was calculated based on the weighted-average number of its Common Stock then outstanding.</w:t>
      </w:r>
    </w:p>
    <w:p>
      <w:pPr>
        <w:spacing w:after="0" w:line="172" w:lineRule="exact"/>
        <w:rPr>
          <w:sz w:val="20"/>
          <w:szCs w:val="20"/>
          <w:color w:val="auto"/>
        </w:rPr>
      </w:pPr>
    </w:p>
    <w:p>
      <w:pPr>
        <w:ind w:left="1" w:firstLine="298"/>
        <w:spacing w:after="0" w:line="293" w:lineRule="auto"/>
        <w:rPr>
          <w:sz w:val="20"/>
          <w:szCs w:val="20"/>
          <w:color w:val="auto"/>
        </w:rPr>
      </w:pPr>
      <w:r>
        <w:rPr>
          <w:rFonts w:ascii="Arial" w:cs="Arial" w:eastAsia="Arial" w:hAnsi="Arial"/>
          <w:sz w:val="15"/>
          <w:szCs w:val="15"/>
          <w:color w:val="auto"/>
        </w:rPr>
        <w:t>Basic net loss per share is calculated using the weighted-average number of Common Stock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50"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components of basic and diluted net loss per share were as follows:</w:t>
      </w:r>
    </w:p>
    <w:p>
      <w:pPr>
        <w:sectPr>
          <w:pgSz w:w="11900" w:h="16838" w:orient="portrait"/>
          <w:cols w:equalWidth="0" w:num="1">
            <w:col w:w="11241"/>
          </w:cols>
          <w:pgMar w:left="319" w:top="8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71729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17290" cy="15875"/>
                    </a:xfrm>
                    <a:prstGeom prst="rect">
                      <a:avLst/>
                    </a:prstGeom>
                    <a:noFill/>
                  </pic:spPr>
                </pic:pic>
              </a:graphicData>
            </a:graphic>
          </wp:anchor>
        </w:drawing>
      </w:r>
    </w:p>
    <w:p>
      <w:pPr>
        <w:spacing w:after="0" w:line="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Numerator:</w:t>
      </w:r>
    </w:p>
    <w:p>
      <w:pPr>
        <w:spacing w:after="0" w:line="18" w:lineRule="exact"/>
        <w:rPr>
          <w:sz w:val="20"/>
          <w:szCs w:val="20"/>
          <w:color w:val="auto"/>
        </w:rPr>
      </w:pPr>
    </w:p>
    <w:p>
      <w:pPr>
        <w:ind w:left="161" w:right="1240"/>
        <w:spacing w:after="0" w:line="367" w:lineRule="auto"/>
        <w:rPr>
          <w:sz w:val="20"/>
          <w:szCs w:val="20"/>
          <w:color w:val="auto"/>
        </w:rPr>
      </w:pPr>
      <w:r>
        <w:rPr>
          <w:rFonts w:ascii="Arial" w:cs="Arial" w:eastAsia="Arial" w:hAnsi="Arial"/>
          <w:sz w:val="15"/>
          <w:szCs w:val="15"/>
          <w:color w:val="auto"/>
        </w:rPr>
        <w:t>Net income (loss) attributable to Agrify Corporation Accrued dividend attributable to Preferred A Stockholders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246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88"/>
              </w:rPr>
              <w:t>Three Months ended</w:t>
            </w:r>
          </w:p>
        </w:tc>
        <w:tc>
          <w:tcPr>
            <w:tcW w:w="24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7"/>
              </w:rPr>
              <w:t>Nine Months ended</w:t>
            </w:r>
          </w:p>
        </w:tc>
      </w:tr>
      <w:tr>
        <w:trPr>
          <w:trHeight w:val="220"/>
        </w:trPr>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7"/>
                <w:szCs w:val="17"/>
                <w:b w:val="1"/>
                <w:bCs w:val="1"/>
                <w:color w:val="auto"/>
                <w:w w:val="86"/>
              </w:rPr>
              <w:t>September 30,</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7"/>
                <w:szCs w:val="17"/>
                <w:b w:val="1"/>
                <w:bCs w:val="1"/>
                <w:color w:val="auto"/>
                <w:w w:val="87"/>
              </w:rPr>
              <w:t>September 30,</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79"/>
              </w:rPr>
              <w:t>2021</w:t>
            </w:r>
          </w:p>
        </w:tc>
        <w:tc>
          <w:tcPr>
            <w:tcW w:w="60" w:type="dxa"/>
            <w:vAlign w:val="bottom"/>
          </w:tcPr>
          <w:p>
            <w:pPr>
              <w:spacing w:after="0"/>
              <w:rPr>
                <w:sz w:val="18"/>
                <w:szCs w:val="18"/>
                <w:color w:val="auto"/>
              </w:rPr>
            </w:pPr>
          </w:p>
        </w:tc>
      </w:tr>
      <w:tr>
        <w:trPr>
          <w:trHeight w:val="457"/>
        </w:trPr>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(57,413)</w:t>
            </w:r>
          </w:p>
        </w:tc>
        <w:tc>
          <w:tcPr>
            <w:tcW w:w="4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(9,758)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(130,235)</w:t>
            </w:r>
          </w:p>
        </w:tc>
        <w:tc>
          <w:tcPr>
            <w:tcW w:w="52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(19,204)</w:t>
            </w:r>
          </w:p>
        </w:tc>
      </w:tr>
      <w:tr>
        <w:trPr>
          <w:trHeight w:val="248"/>
        </w:trPr>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-321310</wp:posOffset>
            </wp:positionV>
            <wp:extent cx="7143750" cy="165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16510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261" w:space="720"/>
            <w:col w:w="5260"/>
          </w:cols>
          <w:pgMar w:left="319" w:top="818" w:right="339" w:bottom="1440" w:gutter="0" w:footer="0" w:header="0"/>
          <w:type w:val="continuous"/>
        </w:sectPr>
      </w:pPr>
    </w:p>
    <w:tbl>
      <w:tblPr>
        <w:tblLayout w:type="fixed"/>
        <w:tblInd w:w="1" w:type="dxa"/>
        <w:tblCellMar>
          <w:top w:w="0" w:type="dxa"/>
          <w:left w:w="0" w:type="dxa"/>
          <w:bottom w:w="0" w:type="dxa"/>
          <w:right w:w="0" w:type="dxa"/>
        </w:tblCellMar>
      </w:tblPr>
      <w:tr>
        <w:trPr>
          <w:trHeight w:val="20"/>
        </w:trPr>
        <w:tc>
          <w:tcPr>
            <w:tcW w:w="584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rPr>
              <w:t>Net income (loss) available for common shareholders</w:t>
            </w: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14"/>
        </w:trPr>
        <w:tc>
          <w:tcPr>
            <w:tcW w:w="584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(57,413</w:t>
            </w:r>
          </w:p>
        </w:tc>
        <w:tc>
          <w:tcPr>
            <w:tcW w:w="140" w:type="dxa"/>
            <w:vAlign w:val="bottom"/>
            <w:vMerge w:val="continue"/>
            <w:shd w:val="clear" w:color="auto" w:fill="CCEEFF"/>
          </w:tcPr>
          <w:p>
            <w:pPr>
              <w:spacing w:after="0"/>
              <w:rPr>
                <w:sz w:val="18"/>
                <w:szCs w:val="18"/>
                <w:color w:val="auto"/>
              </w:rPr>
            </w:pPr>
          </w:p>
        </w:tc>
        <w:tc>
          <w:tcPr>
            <w:tcW w:w="42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(9,758</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(130,235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(19,265</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Weighted-average common shares outstanding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104,172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129,832</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90,344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140"/>
              <w:spacing w:after="0"/>
              <w:rPr>
                <w:sz w:val="20"/>
                <w:szCs w:val="20"/>
                <w:color w:val="auto"/>
              </w:rPr>
            </w:pPr>
            <w:r>
              <w:rPr>
                <w:rFonts w:ascii="Arial" w:cs="Arial" w:eastAsia="Arial" w:hAnsi="Arial"/>
                <w:sz w:val="17"/>
                <w:szCs w:val="17"/>
                <w:color w:val="auto"/>
                <w:w w:val="89"/>
              </w:rPr>
              <w:t>Net income (loss per share attributable to Common Stockholders – basic and diluted</w:t>
            </w: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vMerge w:val="restart"/>
          </w:tcPr>
          <w:p>
            <w:pPr>
              <w:jc w:val="right"/>
              <w:ind w:right="103"/>
              <w:spacing w:after="0"/>
              <w:rPr>
                <w:sz w:val="20"/>
                <w:szCs w:val="20"/>
                <w:color w:val="auto"/>
              </w:rPr>
            </w:pPr>
            <w:r>
              <w:rPr>
                <w:rFonts w:ascii="Arial" w:cs="Arial" w:eastAsia="Arial" w:hAnsi="Arial"/>
                <w:sz w:val="15"/>
                <w:szCs w:val="15"/>
                <w:color w:val="auto"/>
                <w:w w:val="79"/>
              </w:rPr>
              <w:t>)</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00"/>
        </w:trPr>
        <w:tc>
          <w:tcPr>
            <w:tcW w:w="5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(429.98</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(93.67</w:t>
            </w:r>
          </w:p>
        </w:tc>
        <w:tc>
          <w:tcPr>
            <w:tcW w:w="220" w:type="dxa"/>
            <w:vAlign w:val="bottom"/>
            <w:vMerge w:val="continue"/>
          </w:tcPr>
          <w:p>
            <w:pPr>
              <w:spacing w:after="0"/>
              <w:rPr>
                <w:sz w:val="17"/>
                <w:szCs w:val="17"/>
                <w:color w:val="auto"/>
              </w:rPr>
            </w:pP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(1,003.10</w:t>
            </w:r>
          </w:p>
        </w:tc>
        <w:tc>
          <w:tcPr>
            <w:tcW w:w="24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(212.57</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301" w:right="100" w:hanging="301"/>
        <w:spacing w:after="0" w:line="301" w:lineRule="auto"/>
        <w:tabs>
          <w:tab w:leader="none" w:pos="301" w:val="left"/>
        </w:tabs>
        <w:numPr>
          <w:ilvl w:val="0"/>
          <w:numId w:val="27"/>
        </w:numPr>
        <w:rPr>
          <w:rFonts w:ascii="Arial" w:cs="Arial" w:eastAsia="Arial" w:hAnsi="Arial"/>
          <w:sz w:val="15"/>
          <w:szCs w:val="15"/>
          <w:color w:val="auto"/>
        </w:rPr>
      </w:pPr>
      <w:r>
        <w:rPr>
          <w:rFonts w:ascii="Arial" w:cs="Arial" w:eastAsia="Arial" w:hAnsi="Arial"/>
          <w:sz w:val="15"/>
          <w:szCs w:val="15"/>
          <w:color w:val="auto"/>
        </w:rPr>
        <w:t>Periods presented have been adjusted to reflect the 1-for-1.581804 reverse stock split on January 12, 2021,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type w:val="continuous"/>
        </w:sectPr>
      </w:pPr>
    </w:p>
    <w:bookmarkStart w:id="58" w:name="page59"/>
    <w:bookmarkEnd w:id="58"/>
    <w:p>
      <w:pPr>
        <w:ind w:right="100" w:firstLine="298"/>
        <w:spacing w:after="0" w:line="247" w:lineRule="auto"/>
        <w:rPr>
          <w:sz w:val="20"/>
          <w:szCs w:val="20"/>
          <w:color w:val="auto"/>
        </w:rPr>
      </w:pPr>
      <w:r>
        <w:rPr>
          <w:rFonts w:ascii="Arial" w:cs="Arial" w:eastAsia="Arial" w:hAnsi="Arial"/>
          <w:sz w:val="17"/>
          <w:szCs w:val="17"/>
          <w:color w:val="auto"/>
        </w:rPr>
        <w:t>The Company’s potential dilutive securities, which include stock options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September 30,</w:t>
            </w:r>
          </w:p>
        </w:tc>
      </w:tr>
      <w:tr>
        <w:trPr>
          <w:trHeight w:val="220"/>
        </w:trPr>
        <w:tc>
          <w:tcPr>
            <w:tcW w:w="86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8"/>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Shares subject to outstanding Common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14,286</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7"/>
                <w:szCs w:val="17"/>
                <w:color w:val="auto"/>
              </w:rPr>
              <w:t>Shares subject to unvested restricted stock units</w:t>
            </w:r>
          </w:p>
        </w:tc>
        <w:tc>
          <w:tcPr>
            <w:tcW w:w="1120" w:type="dxa"/>
            <w:vAlign w:val="bottom"/>
          </w:tcPr>
          <w:p>
            <w:pPr>
              <w:jc w:val="right"/>
              <w:spacing w:after="0"/>
              <w:rPr>
                <w:sz w:val="20"/>
                <w:szCs w:val="20"/>
                <w:color w:val="auto"/>
              </w:rPr>
            </w:pPr>
            <w:r>
              <w:rPr>
                <w:rFonts w:ascii="Arial" w:cs="Arial" w:eastAsia="Arial" w:hAnsi="Arial"/>
                <w:sz w:val="17"/>
                <w:szCs w:val="17"/>
                <w:color w:val="auto"/>
              </w:rPr>
              <w:t>8,965</w:t>
            </w:r>
          </w:p>
        </w:tc>
        <w:tc>
          <w:tcPr>
            <w:tcW w:w="220" w:type="dxa"/>
            <w:vAlign w:val="bottom"/>
          </w:tcPr>
          <w:p>
            <w:pPr>
              <w:spacing w:after="0"/>
              <w:rPr>
                <w:sz w:val="17"/>
                <w:szCs w:val="17"/>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Shares subject to outstanding 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121,539</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13,592</w:t>
            </w:r>
          </w:p>
        </w:tc>
        <w:tc>
          <w:tcPr>
            <w:tcW w:w="100" w:type="dxa"/>
            <w:vAlign w:val="bottom"/>
            <w:tcBorders>
              <w:bottom w:val="single" w:sz="8" w:color="CCEEFF"/>
            </w:tcBorders>
            <w:gridSpan w:val="2"/>
            <w:shd w:val="clear" w:color="auto" w:fill="CCEEFF"/>
          </w:tcPr>
          <w:p>
            <w:pPr>
              <w:spacing w:after="0"/>
              <w:rPr>
                <w:sz w:val="18"/>
                <w:szCs w:val="18"/>
                <w:color w:val="auto"/>
              </w:rPr>
            </w:pPr>
          </w:p>
        </w:tc>
      </w:tr>
      <w:tr>
        <w:trPr>
          <w:trHeight w:val="228"/>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144,790</w:t>
            </w:r>
          </w:p>
        </w:tc>
        <w:tc>
          <w:tcPr>
            <w:tcW w:w="2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189,144</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Commitments and Contingencies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Legal </w:t>
      </w:r>
      <w:r>
        <w:rPr>
          <w:rFonts w:ascii="Arial" w:cs="Arial" w:eastAsia="Arial" w:hAnsi="Arial"/>
          <w:sz w:val="17"/>
          <w:szCs w:val="17"/>
          <w:b w:val="1"/>
          <w:bCs w:val="1"/>
          <w:color w:val="auto"/>
        </w:rPr>
        <w:t>Matters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Cooper and Weinstein Matter</w:t>
      </w:r>
    </w:p>
    <w:p>
      <w:pPr>
        <w:spacing w:after="0" w:line="201" w:lineRule="exact"/>
        <w:rPr>
          <w:sz w:val="20"/>
          <w:szCs w:val="20"/>
          <w:color w:val="auto"/>
        </w:rPr>
      </w:pPr>
    </w:p>
    <w:p>
      <w:pPr>
        <w:ind w:firstLine="298"/>
        <w:spacing w:after="0" w:line="284" w:lineRule="auto"/>
        <w:rPr>
          <w:sz w:val="20"/>
          <w:szCs w:val="20"/>
          <w:color w:val="auto"/>
        </w:rPr>
      </w:pPr>
      <w:r>
        <w:rPr>
          <w:rFonts w:ascii="Arial" w:cs="Arial" w:eastAsia="Arial" w:hAnsi="Arial"/>
          <w:sz w:val="15"/>
          <w:szCs w:val="15"/>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 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59" w:lineRule="exact"/>
        <w:rPr>
          <w:sz w:val="20"/>
          <w:szCs w:val="20"/>
          <w:color w:val="auto"/>
        </w:rPr>
      </w:pPr>
    </w:p>
    <w:p>
      <w:pPr>
        <w:ind w:right="120" w:firstLine="298"/>
        <w:spacing w:after="0" w:line="307" w:lineRule="auto"/>
        <w:rPr>
          <w:sz w:val="20"/>
          <w:szCs w:val="20"/>
          <w:color w:val="auto"/>
        </w:rPr>
      </w:pPr>
      <w:r>
        <w:rPr>
          <w:rFonts w:ascii="Arial" w:cs="Arial" w:eastAsia="Arial" w:hAnsi="Arial"/>
          <w:sz w:val="14"/>
          <w:szCs w:val="14"/>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146" w:lineRule="exact"/>
        <w:rPr>
          <w:sz w:val="20"/>
          <w:szCs w:val="20"/>
          <w:color w:val="auto"/>
        </w:rPr>
      </w:pPr>
    </w:p>
    <w:p>
      <w:pPr>
        <w:ind w:right="20" w:firstLine="298"/>
        <w:spacing w:after="0" w:line="286" w:lineRule="auto"/>
        <w:rPr>
          <w:sz w:val="20"/>
          <w:szCs w:val="20"/>
          <w:color w:val="auto"/>
        </w:rPr>
      </w:pPr>
      <w:r>
        <w:rPr>
          <w:rFonts w:ascii="Arial" w:cs="Arial" w:eastAsia="Arial" w:hAnsi="Arial"/>
          <w:sz w:val="15"/>
          <w:szCs w:val="15"/>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During the third quarter of 2022, the Company and Messrs. Cooper and Weinstein settled all claims and potential claims between themselves and any affiliated entities by the Company to Messrs. Cooper and Weinstein, and a related entity for approximately $800 thousand.</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United States Customs Seizure Matter</w:t>
      </w:r>
    </w:p>
    <w:p>
      <w:pPr>
        <w:spacing w:after="0" w:line="201" w:lineRule="exact"/>
        <w:rPr>
          <w:sz w:val="20"/>
          <w:szCs w:val="20"/>
          <w:color w:val="auto"/>
        </w:rPr>
      </w:pPr>
    </w:p>
    <w:p>
      <w:pPr>
        <w:ind w:right="160" w:firstLine="298"/>
        <w:spacing w:after="0" w:line="293" w:lineRule="auto"/>
        <w:rPr>
          <w:sz w:val="20"/>
          <w:szCs w:val="20"/>
          <w:color w:val="auto"/>
        </w:rPr>
      </w:pPr>
      <w:r>
        <w:rPr>
          <w:rFonts w:ascii="Arial" w:cs="Arial" w:eastAsia="Arial" w:hAnsi="Arial"/>
          <w:sz w:val="15"/>
          <w:szCs w:val="15"/>
          <w:color w:val="auto"/>
        </w:rPr>
        <w:t>On June 28, 2022, the Company was notified by the United States Customs and Border Protection (“CBP”) that they seized 123 cartons of horticulture grow lights appraised at approximately $623 thousand at the Port of Savannah, Georgia based on CBP’s interpretation of certain importation laws which prohibit the importation of certain goods that are subject to health and safety legal restrictions, including a prohibition on the importation of drug paraphernalia, in accordance with 21 U.S.C. § 863(a). The Company is currently disputing the seizure. The Company does not believe these claims have any merit and intends to vigorously defend its position.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Commitments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Supply Agreement with Mack Molding Co.</w:t>
      </w:r>
    </w:p>
    <w:p>
      <w:pPr>
        <w:spacing w:after="0" w:line="201"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Distribution Agreements with Related Party</w:t>
      </w:r>
    </w:p>
    <w:p>
      <w:pPr>
        <w:spacing w:after="0" w:line="201" w:lineRule="exact"/>
        <w:rPr>
          <w:sz w:val="20"/>
          <w:szCs w:val="20"/>
          <w:color w:val="auto"/>
        </w:rPr>
      </w:pPr>
    </w:p>
    <w:p>
      <w:pPr>
        <w:ind w:right="40" w:firstLine="298"/>
        <w:spacing w:after="0" w:line="288" w:lineRule="auto"/>
        <w:rPr>
          <w:sz w:val="20"/>
          <w:szCs w:val="20"/>
          <w:color w:val="auto"/>
        </w:rPr>
      </w:pPr>
      <w:r>
        <w:rPr>
          <w:rFonts w:ascii="Arial" w:cs="Arial" w:eastAsia="Arial" w:hAnsi="Arial"/>
          <w:sz w:val="15"/>
          <w:szCs w:val="15"/>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Committed Purchase Agreement with Related Party – Greenstone</w:t>
      </w:r>
    </w:p>
    <w:p>
      <w:pPr>
        <w:spacing w:after="0" w:line="201" w:lineRule="exact"/>
        <w:rPr>
          <w:sz w:val="20"/>
          <w:szCs w:val="20"/>
          <w:color w:val="auto"/>
        </w:rPr>
      </w:pPr>
    </w:p>
    <w:p>
      <w:pPr>
        <w:ind w:right="20" w:firstLine="298"/>
        <w:spacing w:after="0" w:line="286" w:lineRule="auto"/>
        <w:rPr>
          <w:sz w:val="20"/>
          <w:szCs w:val="20"/>
          <w:color w:val="auto"/>
        </w:rPr>
      </w:pPr>
      <w:r>
        <w:rPr>
          <w:rFonts w:ascii="Arial" w:cs="Arial" w:eastAsia="Arial" w:hAnsi="Arial"/>
          <w:sz w:val="15"/>
          <w:szCs w:val="15"/>
          <w:color w:val="auto"/>
        </w:rPr>
        <w:t>On December 29, 2021, Greenstone purchased 239 VFUs from the Company of which 60 VFUs were already in Greenstone’s possession under a lease agreement. Under the lease agreement, Greenstone owed the Company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the Greenstone storage facility on December 30, 2021 and December 31, 2021. Greenstone is a related party to the Company. Additional information regarding recent developments with Greenstone may be found in Note 6 – Loan Receivable, included elsewhere in the notes to the consolidated financial statements.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Committed Purchase Agreement with Related Party – Ora Pharm</w:t>
      </w:r>
    </w:p>
    <w:p>
      <w:pPr>
        <w:spacing w:after="0" w:line="201" w:lineRule="exact"/>
        <w:rPr>
          <w:sz w:val="20"/>
          <w:szCs w:val="20"/>
          <w:color w:val="auto"/>
        </w:rPr>
      </w:pPr>
    </w:p>
    <w:p>
      <w:pPr>
        <w:ind w:right="160" w:firstLine="298"/>
        <w:spacing w:after="0" w:line="249" w:lineRule="auto"/>
        <w:rPr>
          <w:sz w:val="20"/>
          <w:szCs w:val="20"/>
          <w:color w:val="auto"/>
        </w:rPr>
      </w:pPr>
      <w:r>
        <w:rPr>
          <w:rFonts w:ascii="Arial" w:cs="Arial" w:eastAsia="Arial" w:hAnsi="Arial"/>
          <w:sz w:val="17"/>
          <w:szCs w:val="17"/>
          <w:color w:val="auto"/>
        </w:rPr>
        <w:t>In June 2022, the Company entered into an agreement with Ora Pharm (“Ora”) pursuant to which Ora will purchase approximately $1.6 million in equipment from the Company, and Ora may purchase software services from the Company in the future. Mr. Wilcox is the Chairman of Ora. Mr. Wilcox has not had an interest in any transaction since the beginning of the Company’s last fiscal year, or any currently proposed transaction. There are no family relationships among any of the Company’s directors or executive officers and Mr. Wilcox.</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205" w:lineRule="exact"/>
        <w:rPr>
          <w:sz w:val="20"/>
          <w:szCs w:val="20"/>
          <w:color w:val="auto"/>
        </w:rPr>
      </w:pPr>
    </w:p>
    <w:p>
      <w:pPr>
        <w:ind w:right="60" w:firstLine="298"/>
        <w:spacing w:after="0" w:line="252" w:lineRule="auto"/>
        <w:rPr>
          <w:sz w:val="20"/>
          <w:szCs w:val="20"/>
          <w:color w:val="auto"/>
        </w:rPr>
      </w:pPr>
      <w:r>
        <w:rPr>
          <w:rFonts w:ascii="Arial" w:cs="Arial" w:eastAsia="Arial" w:hAnsi="Arial"/>
          <w:sz w:val="17"/>
          <w:szCs w:val="17"/>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8" w:lineRule="exact"/>
        <w:rPr>
          <w:sz w:val="20"/>
          <w:szCs w:val="20"/>
          <w:color w:val="auto"/>
        </w:rPr>
      </w:pPr>
    </w:p>
    <w:p>
      <w:pPr>
        <w:ind w:right="40" w:firstLine="298"/>
        <w:spacing w:after="0" w:line="249" w:lineRule="auto"/>
        <w:rPr>
          <w:sz w:val="20"/>
          <w:szCs w:val="20"/>
          <w:color w:val="auto"/>
        </w:rPr>
      </w:pPr>
      <w:r>
        <w:rPr>
          <w:rFonts w:ascii="Arial" w:cs="Arial" w:eastAsia="Arial" w:hAnsi="Arial"/>
          <w:sz w:val="17"/>
          <w:szCs w:val="17"/>
          <w:color w:val="auto"/>
        </w:rPr>
        <w:t>Refer to Note 10 – Debt, included elsewhere in the notes to the consolidated financial statements for details of the Company’s future minimum debt payments. Refer to Note 11 – Leases, included elsewhere in the notes to the consolidated financial statements for details of the Company’s future minimum lease payments under operating and financing lease liabilities. Refer to Note 16 – Income Taxes, included elsewhere in the notes to the consolidated financial statements for information regarding income tax contingencies.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60" w:name="page61"/>
    <w:bookmarkEnd w:id="60"/>
    <w:p>
      <w:pPr>
        <w:ind w:left="1"/>
        <w:spacing w:after="0"/>
        <w:rPr>
          <w:sz w:val="20"/>
          <w:szCs w:val="20"/>
          <w:color w:val="auto"/>
        </w:rPr>
      </w:pPr>
      <w:r>
        <w:rPr>
          <w:rFonts w:ascii="Arial" w:cs="Arial" w:eastAsia="Arial" w:hAnsi="Arial"/>
          <w:sz w:val="17"/>
          <w:szCs w:val="17"/>
          <w:b w:val="1"/>
          <w:bCs w:val="1"/>
          <w:color w:val="auto"/>
        </w:rPr>
        <w:t>Note 19 — Related Parties</w:t>
      </w:r>
    </w:p>
    <w:p>
      <w:pPr>
        <w:spacing w:after="0" w:line="205" w:lineRule="exact"/>
        <w:rPr>
          <w:sz w:val="20"/>
          <w:szCs w:val="20"/>
          <w:color w:val="auto"/>
        </w:rPr>
      </w:pPr>
    </w:p>
    <w:p>
      <w:pPr>
        <w:ind w:left="1" w:right="180" w:firstLine="298"/>
        <w:spacing w:after="0" w:line="260" w:lineRule="auto"/>
        <w:rPr>
          <w:sz w:val="20"/>
          <w:szCs w:val="20"/>
          <w:color w:val="auto"/>
        </w:rPr>
      </w:pPr>
      <w:r>
        <w:rPr>
          <w:rFonts w:ascii="Arial" w:cs="Arial" w:eastAsia="Arial" w:hAnsi="Arial"/>
          <w:sz w:val="17"/>
          <w:szCs w:val="17"/>
          <w:color w:val="auto"/>
        </w:rPr>
        <w:t>Some of the officers and directors of the Company are involved in other business activities and may, in the future, become involved in other business opportunities that become available.</w:t>
      </w:r>
    </w:p>
    <w:p>
      <w:pPr>
        <w:spacing w:after="0" w:line="172" w:lineRule="exact"/>
        <w:rPr>
          <w:sz w:val="20"/>
          <w:szCs w:val="20"/>
          <w:color w:val="auto"/>
        </w:rPr>
      </w:pPr>
    </w:p>
    <w:p>
      <w:pPr>
        <w:ind w:left="301"/>
        <w:spacing w:after="0"/>
        <w:rPr>
          <w:sz w:val="20"/>
          <w:szCs w:val="20"/>
          <w:color w:val="auto"/>
        </w:rPr>
      </w:pPr>
      <w:r>
        <w:rPr>
          <w:rFonts w:ascii="Arial" w:cs="Arial" w:eastAsia="Arial" w:hAnsi="Arial"/>
          <w:sz w:val="17"/>
          <w:szCs w:val="17"/>
          <w:color w:val="auto"/>
        </w:rPr>
        <w:t>The following table describes the net purchasing (sales) activity with entities identified as related parties to the Company:</w:t>
      </w:r>
    </w:p>
    <w:p>
      <w:pPr>
        <w:spacing w:after="0" w:line="197"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89"/>
              </w:rPr>
              <w:t>Three Months Ended</w:t>
            </w: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9"/>
              </w:rPr>
              <w:t>Nine Months Ended</w:t>
            </w:r>
          </w:p>
        </w:tc>
      </w:tr>
      <w:tr>
        <w:trPr>
          <w:trHeight w:val="22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7"/>
                <w:szCs w:val="17"/>
                <w:b w:val="1"/>
                <w:bCs w:val="1"/>
                <w:color w:val="auto"/>
                <w:w w:val="86"/>
              </w:rPr>
              <w:t>September 30,</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7"/>
                <w:szCs w:val="17"/>
                <w:b w:val="1"/>
                <w:bCs w:val="1"/>
                <w:color w:val="auto"/>
                <w:w w:val="87"/>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Borders>
              <w:bottom w:val="single" w:sz="8" w:color="CCEEFF"/>
            </w:tcBorders>
          </w:tcPr>
          <w:p>
            <w:pPr>
              <w:spacing w:after="0"/>
              <w:rPr>
                <w:sz w:val="18"/>
                <w:szCs w:val="18"/>
                <w:color w:val="auto"/>
              </w:rPr>
            </w:pP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Bluezone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7"/>
                <w:szCs w:val="17"/>
                <w:color w:val="auto"/>
              </w:rPr>
            </w:pPr>
          </w:p>
        </w:tc>
      </w:tr>
      <w:tr>
        <w:trPr>
          <w:trHeight w:val="236"/>
        </w:trPr>
        <w:tc>
          <w:tcPr>
            <w:tcW w:w="5860" w:type="dxa"/>
            <w:vAlign w:val="bottom"/>
          </w:tcPr>
          <w:p>
            <w:pPr>
              <w:spacing w:after="0" w:line="236" w:lineRule="exact"/>
              <w:rPr>
                <w:sz w:val="20"/>
                <w:szCs w:val="20"/>
                <w:color w:val="auto"/>
              </w:rPr>
            </w:pPr>
            <w:r>
              <w:rPr>
                <w:rFonts w:ascii="Arial" w:cs="Arial" w:eastAsia="Arial" w:hAnsi="Arial"/>
                <w:sz w:val="17"/>
                <w:szCs w:val="17"/>
                <w:color w:val="auto"/>
              </w:rPr>
              <w:t xml:space="preserve">4D Bios </w:t>
            </w:r>
            <w:r>
              <w:rPr>
                <w:rFonts w:ascii="Arial" w:cs="Arial" w:eastAsia="Arial" w:hAnsi="Arial"/>
                <w:sz w:val="27"/>
                <w:szCs w:val="27"/>
                <w:color w:val="auto"/>
                <w:vertAlign w:val="superscript"/>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right"/>
              <w:ind w:right="52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864</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1,311</w:t>
            </w: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Enzo</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r>
      <w:tr>
        <w:trPr>
          <w:trHeight w:val="198"/>
        </w:trPr>
        <w:tc>
          <w:tcPr>
            <w:tcW w:w="5860" w:type="dxa"/>
            <w:vAlign w:val="bottom"/>
          </w:tcPr>
          <w:p>
            <w:pPr>
              <w:spacing w:after="0"/>
              <w:rPr>
                <w:sz w:val="20"/>
                <w:szCs w:val="20"/>
                <w:color w:val="auto"/>
              </w:rPr>
            </w:pPr>
            <w:r>
              <w:rPr>
                <w:rFonts w:ascii="Arial" w:cs="Arial" w:eastAsia="Arial" w:hAnsi="Arial"/>
                <w:sz w:val="17"/>
                <w:szCs w:val="17"/>
                <w:color w:val="auto"/>
              </w:rPr>
              <w:t>Cannae Policy Group</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52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Topline Performance Group</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8"/>
        </w:trPr>
        <w:tc>
          <w:tcPr>
            <w:tcW w:w="5860" w:type="dxa"/>
            <w:vAlign w:val="bottom"/>
          </w:tcPr>
          <w:p>
            <w:pPr>
              <w:spacing w:after="0"/>
              <w:rPr>
                <w:sz w:val="20"/>
                <w:szCs w:val="20"/>
                <w:color w:val="auto"/>
              </w:rPr>
            </w:pPr>
            <w:r>
              <w:rPr>
                <w:rFonts w:ascii="Arial" w:cs="Arial" w:eastAsia="Arial" w:hAnsi="Arial"/>
                <w:sz w:val="17"/>
                <w:szCs w:val="17"/>
                <w:color w:val="auto"/>
              </w:rPr>
              <w:t>NEIA</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ind w:right="523"/>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(3,217)</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(1,763)</w:t>
            </w: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(19,572)</w:t>
            </w: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Greenstone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w:t>
            </w: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(1,998)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392</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(1,998)</w:t>
            </w:r>
          </w:p>
        </w:tc>
      </w:tr>
      <w:tr>
        <w:trPr>
          <w:trHeight w:val="198"/>
        </w:trPr>
        <w:tc>
          <w:tcPr>
            <w:tcW w:w="5860" w:type="dxa"/>
            <w:vAlign w:val="bottom"/>
          </w:tcPr>
          <w:p>
            <w:pPr>
              <w:spacing w:after="0"/>
              <w:rPr>
                <w:sz w:val="20"/>
                <w:szCs w:val="20"/>
                <w:color w:val="auto"/>
              </w:rPr>
            </w:pPr>
            <w:r>
              <w:rPr>
                <w:rFonts w:ascii="Arial" w:cs="Arial" w:eastAsia="Arial" w:hAnsi="Arial"/>
                <w:sz w:val="17"/>
                <w:szCs w:val="17"/>
                <w:color w:val="auto"/>
              </w:rPr>
              <w:t>Valiant Americas, LLC</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1,315</w:t>
            </w:r>
          </w:p>
        </w:tc>
        <w:tc>
          <w:tcPr>
            <w:tcW w:w="3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606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2,323</w:t>
            </w: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Living Greens Farm</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r>
    </w:tbl>
    <w:p>
      <w:pPr>
        <w:spacing w:after="0" w:line="186" w:lineRule="exact"/>
        <w:rPr>
          <w:sz w:val="20"/>
          <w:szCs w:val="20"/>
          <w:color w:val="auto"/>
        </w:rPr>
      </w:pPr>
    </w:p>
    <w:p>
      <w:pPr>
        <w:ind w:left="301" w:right="2260" w:hanging="301"/>
        <w:spacing w:after="0" w:line="549" w:lineRule="auto"/>
        <w:tabs>
          <w:tab w:leader="none" w:pos="301" w:val="left"/>
        </w:tabs>
        <w:numPr>
          <w:ilvl w:val="0"/>
          <w:numId w:val="28"/>
        </w:numPr>
        <w:rPr>
          <w:rFonts w:ascii="Arial" w:cs="Arial" w:eastAsia="Arial" w:hAnsi="Arial"/>
          <w:sz w:val="15"/>
          <w:szCs w:val="15"/>
          <w:color w:val="auto"/>
        </w:rPr>
      </w:pPr>
      <w:r>
        <w:rPr>
          <w:rFonts w:ascii="Arial" w:cs="Arial" w:eastAsia="Arial" w:hAnsi="Arial"/>
          <w:sz w:val="15"/>
          <w:szCs w:val="15"/>
          <w:color w:val="auto"/>
        </w:rPr>
        <w:t>Purchases from 4D for the nine months ended September 30, 2021 include $384 thousand for a down payment on inventory orders. The following table summarizes net related party receivable (payable) as of September 30, 2022 and December 31, 2021:</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87"/>
              </w:rPr>
              <w:t>September 30,</w:t>
            </w: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0"/>
              </w:rPr>
              <w:t>December 31,</w:t>
            </w:r>
          </w:p>
        </w:tc>
      </w:tr>
      <w:tr>
        <w:trPr>
          <w:trHeight w:val="220"/>
        </w:trPr>
        <w:tc>
          <w:tcPr>
            <w:tcW w:w="8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98"/>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Cannae Policy Group</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Cannaquip</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188"/>
        </w:trPr>
        <w:tc>
          <w:tcPr>
            <w:tcW w:w="868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w w:val="97"/>
              </w:rPr>
              <w:t>Greenstone (net of allowance for doubtful accounts of $7,079 and $0 at September 30, 2022 and December 31, 2021,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6"/>
        </w:trPr>
        <w:tc>
          <w:tcPr>
            <w:tcW w:w="8680" w:type="dxa"/>
            <w:vAlign w:val="bottom"/>
            <w:gridSpan w:val="2"/>
            <w:shd w:val="clear" w:color="auto" w:fill="CCEEFF"/>
          </w:tcPr>
          <w:p>
            <w:pPr>
              <w:ind w:left="140"/>
              <w:spacing w:after="0" w:line="246" w:lineRule="exact"/>
              <w:rPr>
                <w:sz w:val="20"/>
                <w:szCs w:val="20"/>
                <w:color w:val="auto"/>
              </w:rPr>
            </w:pPr>
            <w:r>
              <w:rPr>
                <w:rFonts w:ascii="Arial" w:cs="Arial" w:eastAsia="Arial" w:hAnsi="Arial"/>
                <w:sz w:val="17"/>
                <w:szCs w:val="17"/>
                <w:color w:val="auto"/>
              </w:rPr>
              <w:t xml:space="preserve">respectively) </w:t>
            </w:r>
            <w:r>
              <w:rPr>
                <w:rFonts w:ascii="Arial" w:cs="Arial" w:eastAsia="Arial" w:hAnsi="Arial"/>
                <w:sz w:val="27"/>
                <w:szCs w:val="27"/>
                <w:color w:val="auto"/>
                <w:vertAlign w:val="superscript"/>
              </w:rPr>
              <w:t>(1)</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11,177</w:t>
            </w:r>
          </w:p>
        </w:tc>
      </w:tr>
      <w:tr>
        <w:trPr>
          <w:trHeight w:val="236"/>
        </w:trPr>
        <w:tc>
          <w:tcPr>
            <w:tcW w:w="868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Living Greens Farm </w:t>
            </w:r>
            <w:r>
              <w:rPr>
                <w:rFonts w:ascii="Arial" w:cs="Arial" w:eastAsia="Arial" w:hAnsi="Arial"/>
                <w:sz w:val="27"/>
                <w:szCs w:val="27"/>
                <w:color w:val="auto"/>
                <w:vertAlign w:val="superscript"/>
              </w:rPr>
              <w:t>(2)</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NEIA</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3,500</w:t>
            </w:r>
          </w:p>
        </w:tc>
      </w:tr>
      <w:tr>
        <w:trPr>
          <w:trHeight w:val="198"/>
        </w:trPr>
        <w:tc>
          <w:tcPr>
            <w:tcW w:w="8680" w:type="dxa"/>
            <w:vAlign w:val="bottom"/>
            <w:gridSpan w:val="2"/>
          </w:tcPr>
          <w:p>
            <w:pPr>
              <w:spacing w:after="0"/>
              <w:rPr>
                <w:sz w:val="20"/>
                <w:szCs w:val="20"/>
                <w:color w:val="auto"/>
              </w:rPr>
            </w:pPr>
            <w:r>
              <w:rPr>
                <w:rFonts w:ascii="Arial" w:cs="Arial" w:eastAsia="Arial" w:hAnsi="Arial"/>
                <w:sz w:val="17"/>
                <w:szCs w:val="17"/>
                <w:color w:val="auto"/>
              </w:rPr>
              <w:t>Valiant Americas, LLC</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(599)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(922)</w:t>
            </w:r>
          </w:p>
        </w:tc>
      </w:tr>
      <w:tr>
        <w:trPr>
          <w:trHeight w:val="198"/>
        </w:trPr>
        <w:tc>
          <w:tcPr>
            <w:tcW w:w="8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Topline Performance Group</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6" w:lineRule="exact"/>
        <w:rPr>
          <w:sz w:val="20"/>
          <w:szCs w:val="20"/>
          <w:color w:val="auto"/>
        </w:rPr>
      </w:pPr>
    </w:p>
    <w:p>
      <w:pPr>
        <w:ind w:left="301" w:hanging="301"/>
        <w:spacing w:after="0" w:line="327" w:lineRule="auto"/>
        <w:tabs>
          <w:tab w:leader="none" w:pos="301"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Greenstone allowance for doubtful accounts balance consisted of capital advances, accrued interest and VFUs sales. Additional information regarding recent developments with Greenstone may be found in Note 6 – Loan Receivable, included elsewhere in the notes to the consolidated financial statements.</w:t>
      </w:r>
    </w:p>
    <w:p>
      <w:pPr>
        <w:spacing w:after="0" w:line="125" w:lineRule="exact"/>
        <w:rPr>
          <w:rFonts w:ascii="Arial" w:cs="Arial" w:eastAsia="Arial" w:hAnsi="Arial"/>
          <w:sz w:val="15"/>
          <w:szCs w:val="15"/>
          <w:color w:val="auto"/>
        </w:rPr>
      </w:pPr>
    </w:p>
    <w:p>
      <w:pPr>
        <w:ind w:left="301" w:hanging="301"/>
        <w:spacing w:after="0"/>
        <w:tabs>
          <w:tab w:leader="none" w:pos="3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balance was fully reserved at September 30, 2022 due to an ongoing dispute with the customer.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Note 20 —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Bud &amp; Mary’s Litigation</w:t>
      </w:r>
    </w:p>
    <w:p>
      <w:pPr>
        <w:spacing w:after="0" w:line="205" w:lineRule="exact"/>
        <w:rPr>
          <w:sz w:val="20"/>
          <w:szCs w:val="20"/>
          <w:color w:val="auto"/>
        </w:rPr>
      </w:pPr>
    </w:p>
    <w:p>
      <w:pPr>
        <w:ind w:right="20" w:firstLine="298"/>
        <w:spacing w:after="0" w:line="288" w:lineRule="auto"/>
        <w:rPr>
          <w:sz w:val="20"/>
          <w:szCs w:val="20"/>
          <w:color w:val="auto"/>
        </w:rPr>
      </w:pPr>
      <w:r>
        <w:rPr>
          <w:rFonts w:ascii="Arial" w:cs="Arial" w:eastAsia="Arial" w:hAnsi="Arial"/>
          <w:sz w:val="15"/>
          <w:szCs w:val="15"/>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56" w:lineRule="exact"/>
        <w:rPr>
          <w:sz w:val="20"/>
          <w:szCs w:val="20"/>
          <w:color w:val="auto"/>
        </w:rPr>
      </w:pPr>
    </w:p>
    <w:p>
      <w:pPr>
        <w:ind w:right="40" w:firstLine="298"/>
        <w:spacing w:after="0" w:line="284" w:lineRule="auto"/>
        <w:rPr>
          <w:sz w:val="20"/>
          <w:szCs w:val="20"/>
          <w:color w:val="auto"/>
        </w:rPr>
      </w:pPr>
      <w:r>
        <w:rPr>
          <w:rFonts w:ascii="Arial" w:cs="Arial" w:eastAsia="Arial" w:hAnsi="Arial"/>
          <w:sz w:val="15"/>
          <w:szCs w:val="15"/>
          <w:color w:val="auto"/>
        </w:rPr>
        <w:t>During the third quarter of 2022, the Company deemed it necessary to fully reserve for the outstanding $14.7 million note receivable balance outstanding due to the current litigation and the uncertainty of the customer’s ability to repay the outstanding balance. The $14.7 million represents the amount of the contingent loss that the Company has determined to be reasonably possible and estimable. The actual cost of resolving this matter may be higher or lower than the amount the Company has reserved.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of Issuance of Shares Upon Exercise of Warrants</w:t>
      </w:r>
    </w:p>
    <w:p>
      <w:pPr>
        <w:spacing w:after="0" w:line="205" w:lineRule="exact"/>
        <w:rPr>
          <w:sz w:val="20"/>
          <w:szCs w:val="20"/>
          <w:color w:val="auto"/>
        </w:rPr>
      </w:pPr>
    </w:p>
    <w:p>
      <w:pPr>
        <w:ind w:right="100" w:firstLine="298"/>
        <w:spacing w:after="0" w:line="249" w:lineRule="auto"/>
        <w:rPr>
          <w:sz w:val="20"/>
          <w:szCs w:val="20"/>
          <w:color w:val="auto"/>
        </w:rPr>
      </w:pPr>
      <w:r>
        <w:rPr>
          <w:rFonts w:ascii="Arial" w:cs="Arial" w:eastAsia="Arial" w:hAnsi="Arial"/>
          <w:sz w:val="17"/>
          <w:szCs w:val="17"/>
          <w:color w:val="auto"/>
        </w:rPr>
        <w:t>On October 14, 2022, the Company received approval for the issuance of up to 105,544 shares of Common Stock upon the exercise of the SPA Warrant and Note Exchange Warrant in connection with the issuance of a senior secured note and the exchange of previously issued warrants in August 2022, and the reduction of the exercise price of certain of those warrants under certain circumstances, was approved. Additional information regarding the Warrant Liabilities may be found in Note 10 – Debt, included elsewhere in the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 The Marketing Offering</w:t>
      </w:r>
    </w:p>
    <w:p>
      <w:pPr>
        <w:spacing w:after="0" w:line="205"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In October 2022, the Company entered into the ATM Program with the Agent. The ATM Program allows the Company to sell shares of Common Stock pursuant to specific parameters defined by the Company as well as those defined by the SEC and the ATM Program agreement. Subsequent to the quarter ended September 30, 2022, as of November 7, 2022, the Company sold 306,628 shares of Common Stock, under the ATM at an average price of $50.80 per share, resulting in gross proceeds to the Company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net proceeds generated from the ATM Program for working capital and general corporate purposes, including repayment of indebtedness, funding its transformation initiatives and product category expansion efforts and capital expenditures.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Deficiency Notices</w:t>
      </w:r>
    </w:p>
    <w:p>
      <w:pPr>
        <w:spacing w:after="0" w:line="205" w:lineRule="exact"/>
        <w:rPr>
          <w:sz w:val="20"/>
          <w:szCs w:val="20"/>
          <w:color w:val="auto"/>
        </w:rPr>
      </w:pPr>
    </w:p>
    <w:p>
      <w:pPr>
        <w:ind w:right="80" w:firstLine="298"/>
        <w:spacing w:after="0" w:line="283" w:lineRule="auto"/>
        <w:rPr>
          <w:sz w:val="20"/>
          <w:szCs w:val="20"/>
          <w:color w:val="auto"/>
        </w:rPr>
      </w:pPr>
      <w:r>
        <w:rPr>
          <w:rFonts w:ascii="Arial" w:cs="Arial" w:eastAsia="Arial" w:hAnsi="Arial"/>
          <w:sz w:val="15"/>
          <w:szCs w:val="15"/>
          <w:color w:val="auto"/>
        </w:rPr>
        <w:t>On October 4, 2022,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62" w:name="page63"/>
    <w:bookmarkEnd w:id="62"/>
    <w:p>
      <w:pPr>
        <w:ind w:firstLine="298"/>
        <w:spacing w:after="0" w:line="252" w:lineRule="auto"/>
        <w:rPr>
          <w:sz w:val="20"/>
          <w:szCs w:val="20"/>
          <w:color w:val="auto"/>
        </w:rPr>
      </w:pPr>
      <w:r>
        <w:rPr>
          <w:rFonts w:ascii="Arial" w:cs="Arial" w:eastAsia="Arial" w:hAnsi="Arial"/>
          <w:sz w:val="17"/>
          <w:szCs w:val="17"/>
          <w:color w:val="auto"/>
        </w:rPr>
        <w:t>On April 18, 2023, the Company received a notice from Nasdaq stating that because the Company had not yet filed its Annual Report on Form 10-K for the fiscal year ended December 31, 2022, the Company is no longer in compliance with Nasdaq Listing Rule 5250(c)(1). Nasdaq Listing Rule 5250(c)(1) requires listed companies to timely file all required periodic financial reports with the Securities and Exchange Commission.</w:t>
      </w:r>
    </w:p>
    <w:p>
      <w:pPr>
        <w:spacing w:after="0" w:line="178" w:lineRule="exact"/>
        <w:rPr>
          <w:sz w:val="20"/>
          <w:szCs w:val="20"/>
          <w:color w:val="auto"/>
        </w:rPr>
      </w:pPr>
    </w:p>
    <w:p>
      <w:pPr>
        <w:ind w:right="180" w:firstLine="298"/>
        <w:spacing w:after="0" w:line="247" w:lineRule="auto"/>
        <w:rPr>
          <w:sz w:val="20"/>
          <w:szCs w:val="20"/>
          <w:color w:val="auto"/>
        </w:rPr>
      </w:pPr>
      <w:r>
        <w:rPr>
          <w:rFonts w:ascii="Arial" w:cs="Arial" w:eastAsia="Arial" w:hAnsi="Arial"/>
          <w:sz w:val="17"/>
          <w:szCs w:val="17"/>
          <w:color w:val="auto"/>
        </w:rPr>
        <w:t>As disclosed by the Company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Given the scope of the process for preparing the Amended 10-Qs, the Company was unable to complete and file the Form 10-K by the required due date of March 31, 2023. The Notice states that the Company has 60 calendar days from April 18, 2023, or until June 20, 2023, to regain compliance by filing the Form 10-K or to submit to Nasdaq a plan to regain compliance with the Nasdaq Listing Rules.</w:t>
      </w:r>
    </w:p>
    <w:p>
      <w:pPr>
        <w:spacing w:after="0" w:line="182" w:lineRule="exact"/>
        <w:rPr>
          <w:sz w:val="20"/>
          <w:szCs w:val="20"/>
          <w:color w:val="auto"/>
        </w:rPr>
      </w:pPr>
    </w:p>
    <w:p>
      <w:pPr>
        <w:jc w:val="both"/>
        <w:ind w:right="60" w:firstLine="298"/>
        <w:spacing w:after="0" w:line="293" w:lineRule="auto"/>
        <w:rPr>
          <w:sz w:val="20"/>
          <w:szCs w:val="20"/>
          <w:color w:val="auto"/>
        </w:rPr>
      </w:pPr>
      <w:r>
        <w:rPr>
          <w:rFonts w:ascii="Arial" w:cs="Arial" w:eastAsia="Arial" w:hAnsi="Arial"/>
          <w:sz w:val="15"/>
          <w:szCs w:val="15"/>
          <w:color w:val="auto"/>
        </w:rPr>
        <w:t>On May 17, 2023, the Company received a second notice from Nasdaq that the Company remains noncompliant with the Nasdaq Listing Rule 5250(c)(1) as a result of its failure to file its Quarterly Report on Form 10-Q for the quarter ended March 31, 2023 with the SEC by the required due date. This notice requires the Company to submit a plan to regain compliance with the continued listing requirements by June 20, 2023. If Nasdaq accepts the Company’s plan, then Nasdaq may, in its discretion, grant the Company up to 180 days from the prescribed due date for filing the Form 10-K, or until October 16, 2023, to regain compliance.</w:t>
      </w:r>
    </w:p>
    <w:p>
      <w:pPr>
        <w:spacing w:after="0" w:line="150"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On August 16, 2023, the Company received a third notice from Nasdaq that the Company remains noncompliant with the Nasdaq Listing Rule 5250(c)(1) as a result of its failure to file its Quarterly Report on Form 10-Q for the fiscal quarter ended June 30, 2023 with the SEC by the required filing date. This notice noted that Nasdaq has previously granted the Company an exception until September 30, 2023, to file its Form 10-K and First Quarter Form 10-Q. This notice also requires the Company to update its original plan to regain compliance with the filing requirement, including the Company’s plans to file the Second Quarter Form 10-Q, and indicate the progress the Company has made towards implementing the plan submitted in connection with the Initial Delinquent Filing.</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Agrify-Valiant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October 27, 2022, the Company provided notice to Valiant-America, LLC that the Company intended to begin the winding up of Agrify-Valiant.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Appointment of Raymond Chang as principal financial and accounting officer and Resignation of Timothy Oakes and Chief Financial Officer</w:t>
      </w:r>
    </w:p>
    <w:p>
      <w:pPr>
        <w:spacing w:after="0" w:line="228" w:lineRule="exact"/>
        <w:rPr>
          <w:sz w:val="20"/>
          <w:szCs w:val="20"/>
          <w:color w:val="auto"/>
        </w:rPr>
      </w:pPr>
    </w:p>
    <w:p>
      <w:pPr>
        <w:ind w:right="40" w:firstLine="298"/>
        <w:spacing w:after="0" w:line="249" w:lineRule="auto"/>
        <w:rPr>
          <w:sz w:val="20"/>
          <w:szCs w:val="20"/>
          <w:color w:val="auto"/>
        </w:rPr>
      </w:pPr>
      <w:r>
        <w:rPr>
          <w:rFonts w:ascii="Arial" w:cs="Arial" w:eastAsia="Arial" w:hAnsi="Arial"/>
          <w:sz w:val="17"/>
          <w:szCs w:val="17"/>
          <w:color w:val="auto"/>
        </w:rPr>
        <w:t>On January 6, 2023, Timothy Oakes, the Chief Financial Officer of Agrify Corporation (the “Company”), resigned effective February 28, 2023. In connection with Mr. Oakes’ resignation, the Company has engaged WilliamsMarston LLC to assist with accounting and internal control matters and is continuing its process to identify a replacement Chief Financial Officer. Further, Raymond Chang, the Company’s Chief Executive Officer, will serve as the Company’s principal financial and accounting officer.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Bowdoin Litigation</w:t>
      </w:r>
    </w:p>
    <w:p>
      <w:pPr>
        <w:spacing w:after="0" w:line="205"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to Articles of Incorporation</w:t>
      </w:r>
    </w:p>
    <w:p>
      <w:pPr>
        <w:spacing w:after="0" w:line="205"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100,000,000 to 200,000,000, and correspondingly increased the total authorized shares of stock from 103,000,000 to 203,000,000. The Charter Amendment was approved by the Company’s stockholders at the Special Meeting on February 28, 2023 and became effective upon filing.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Exchange Agreement</w:t>
      </w:r>
    </w:p>
    <w:p>
      <w:pPr>
        <w:spacing w:after="0" w:line="205" w:lineRule="exact"/>
        <w:rPr>
          <w:sz w:val="20"/>
          <w:szCs w:val="20"/>
          <w:color w:val="auto"/>
        </w:rPr>
      </w:pPr>
    </w:p>
    <w:p>
      <w:pPr>
        <w:ind w:right="200" w:firstLine="298"/>
        <w:spacing w:after="0" w:line="288" w:lineRule="auto"/>
        <w:rPr>
          <w:sz w:val="20"/>
          <w:szCs w:val="20"/>
          <w:color w:val="auto"/>
        </w:rPr>
      </w:pPr>
      <w:r>
        <w:rPr>
          <w:rFonts w:ascii="Arial" w:cs="Arial" w:eastAsia="Arial" w:hAnsi="Arial"/>
          <w:sz w:val="15"/>
          <w:szCs w:val="15"/>
          <w:color w:val="auto"/>
        </w:rPr>
        <w:t>On March 8, 2023, the Company entered into a new Securities Exchange Agreement (the “Exchange Agreement”) with an accredited lender. Pursuant to the Exchange Agreement, at closing the Company will prepay approximately $10.3 million in principal amount under the Exchange Note and exchange $10.0 in principal amount of the remaining balance of the Exchange Note for a new senior secured convertible note (the “Convertible Note”) with an original principal amount of $10.0 million. The Convertible Note will be a senior secured obligation of the Company and will rank senior to all indebtedness of the Company. The Convertible Note will mature on August 19, 2025 and will contain a 9.0% annualized interest rate, with interest to be paid monthly, in cash, beginning April 1, 2023.</w:t>
      </w:r>
    </w:p>
    <w:p>
      <w:pPr>
        <w:spacing w:after="0" w:line="156" w:lineRule="exact"/>
        <w:rPr>
          <w:sz w:val="20"/>
          <w:szCs w:val="20"/>
          <w:color w:val="auto"/>
        </w:rPr>
      </w:pPr>
    </w:p>
    <w:p>
      <w:pPr>
        <w:ind w:right="380" w:firstLine="298"/>
        <w:spacing w:after="0" w:line="331" w:lineRule="auto"/>
        <w:rPr>
          <w:sz w:val="20"/>
          <w:szCs w:val="20"/>
          <w:color w:val="auto"/>
        </w:rPr>
      </w:pPr>
      <w:r>
        <w:rPr>
          <w:rFonts w:ascii="Arial" w:cs="Arial" w:eastAsia="Arial" w:hAnsi="Arial"/>
          <w:sz w:val="14"/>
          <w:szCs w:val="14"/>
          <w:color w:val="auto"/>
        </w:rPr>
        <w:t>Concurrently with the closing under the Exchange Agreement, the Company and the Lender will enter into an Amendment to the Exchange Note (the “Note Amendment”). Pursuant to the Note Amendment, the Exchange Note will be amended to, among other changes, remove covenants that require the Company not to exceed maximum levels of allowable cash spend while the Exchange Note is outstanding and require the Company to maintain minimum amounts of cash on hand.</w:t>
      </w:r>
    </w:p>
    <w:p>
      <w:pPr>
        <w:spacing w:after="0" w:line="128" w:lineRule="exact"/>
        <w:rPr>
          <w:sz w:val="20"/>
          <w:szCs w:val="20"/>
          <w:color w:val="auto"/>
        </w:rPr>
      </w:pPr>
    </w:p>
    <w:p>
      <w:pPr>
        <w:ind w:firstLine="298"/>
        <w:spacing w:after="0" w:line="252" w:lineRule="auto"/>
        <w:rPr>
          <w:sz w:val="20"/>
          <w:szCs w:val="20"/>
          <w:color w:val="auto"/>
        </w:rPr>
      </w:pPr>
      <w:r>
        <w:rPr>
          <w:rFonts w:ascii="Arial" w:cs="Arial" w:eastAsia="Arial" w:hAnsi="Arial"/>
          <w:sz w:val="17"/>
          <w:szCs w:val="17"/>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8,903,927 shares of common stock of the Company, subject to a Beneficial Ownership Limitation of 4.99% of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Unsecured Promissory Note</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July 12, 2023, the Board of Directors of the Company approved the issuance of an unsecured promissory note in favor of GIC Acquisition, LLC (the “Investor”),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 entity that is owned and managed by Raymond Chang, the Company’s Chairman and Chief Executive Officer. Pursuant to the Note, the Investor will lend up to</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$500,000 to the Company. The Note bears interest at a rate of 10% per annum, will mature in full on August 6, 2023, and may be prepaid without any fee or penalty.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Note ranks junior to all existing secured indebtedness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205" w:lineRule="exact"/>
        <w:rPr>
          <w:sz w:val="20"/>
          <w:szCs w:val="20"/>
          <w:color w:val="auto"/>
        </w:rPr>
      </w:pPr>
    </w:p>
    <w:p>
      <w:pPr>
        <w:ind w:right="280" w:firstLine="298"/>
        <w:spacing w:after="0" w:line="260" w:lineRule="auto"/>
        <w:rPr>
          <w:sz w:val="20"/>
          <w:szCs w:val="20"/>
          <w:color w:val="auto"/>
        </w:rPr>
      </w:pPr>
      <w:r>
        <w:rPr>
          <w:rFonts w:ascii="Arial" w:cs="Arial" w:eastAsia="Arial" w:hAnsi="Arial"/>
          <w:sz w:val="17"/>
          <w:szCs w:val="17"/>
          <w:color w:val="auto"/>
        </w:rPr>
        <w:t>As of March 31, 2023, the Company extended its lease by three years until March 31, 2026, for the premises located at 2468 Industrial Row Dr., Troy, Michigan 48084.</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May 23, 2023, the Company extended its lease by three years until July 31, 2026, for the premises located at 2625 S. Santa Fe Dr., Bldg. 1, Units 1H and 1IJ.</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5" w:lineRule="exact"/>
        <w:rPr>
          <w:sz w:val="20"/>
          <w:szCs w:val="20"/>
          <w:color w:val="auto"/>
        </w:rPr>
      </w:pPr>
    </w:p>
    <w:p>
      <w:pPr>
        <w:ind w:right="20" w:firstLine="298"/>
        <w:spacing w:after="0" w:line="247" w:lineRule="auto"/>
        <w:rPr>
          <w:sz w:val="20"/>
          <w:szCs w:val="20"/>
          <w:color w:val="auto"/>
        </w:rPr>
      </w:pPr>
      <w:r>
        <w:rPr>
          <w:rFonts w:ascii="Arial" w:cs="Arial" w:eastAsia="Arial" w:hAnsi="Arial"/>
          <w:sz w:val="17"/>
          <w:szCs w:val="17"/>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5" w:lineRule="exact"/>
        <w:rPr>
          <w:sz w:val="20"/>
          <w:szCs w:val="20"/>
          <w:color w:val="auto"/>
        </w:rPr>
      </w:pPr>
    </w:p>
    <w:p>
      <w:pPr>
        <w:ind w:right="60" w:firstLine="298"/>
        <w:spacing w:after="0" w:line="283" w:lineRule="auto"/>
        <w:rPr>
          <w:sz w:val="20"/>
          <w:szCs w:val="20"/>
          <w:color w:val="auto"/>
        </w:rPr>
      </w:pPr>
      <w:r>
        <w:rPr>
          <w:rFonts w:ascii="Arial" w:cs="Arial" w:eastAsia="Arial" w:hAnsi="Arial"/>
          <w:sz w:val="15"/>
          <w:szCs w:val="15"/>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59" w:lineRule="exact"/>
        <w:rPr>
          <w:sz w:val="20"/>
          <w:szCs w:val="20"/>
          <w:color w:val="auto"/>
        </w:rPr>
      </w:pPr>
    </w:p>
    <w:p>
      <w:pPr>
        <w:ind w:right="80" w:firstLine="298"/>
        <w:spacing w:after="0" w:line="260" w:lineRule="auto"/>
        <w:rPr>
          <w:sz w:val="20"/>
          <w:szCs w:val="20"/>
          <w:color w:val="auto"/>
        </w:rPr>
      </w:pPr>
      <w:r>
        <w:rPr>
          <w:rFonts w:ascii="Arial" w:cs="Arial" w:eastAsia="Arial" w:hAnsi="Arial"/>
          <w:sz w:val="17"/>
          <w:szCs w:val="17"/>
          <w:i w:val="1"/>
          <w:iCs w:val="1"/>
          <w:color w:val="auto"/>
        </w:rPr>
        <w:t>Except as otherwise indicated herein or as the context otherwise requires, references in this quarterly report to “we,” “us,” “our,” “Company,” and “Agrify” refer to Agrify Corporation, a Nevada corporation.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5" w:lineRule="exact"/>
        <w:rPr>
          <w:sz w:val="20"/>
          <w:szCs w:val="20"/>
          <w:color w:val="auto"/>
        </w:rPr>
      </w:pPr>
    </w:p>
    <w:p>
      <w:pPr>
        <w:ind w:right="80" w:firstLine="298"/>
        <w:spacing w:after="0" w:line="247" w:lineRule="auto"/>
        <w:rPr>
          <w:sz w:val="20"/>
          <w:szCs w:val="20"/>
          <w:color w:val="auto"/>
        </w:rPr>
      </w:pPr>
      <w:r>
        <w:rPr>
          <w:rFonts w:ascii="Arial" w:cs="Arial" w:eastAsia="Arial" w:hAnsi="Arial"/>
          <w:sz w:val="17"/>
          <w:szCs w:val="17"/>
          <w:color w:val="auto"/>
        </w:rPr>
        <w:t>We are one of the most innovative providers of advanced cultivation and extraction solutions for the cannabis industry, bringing data, science, and technology to the forefront of the market. Our proprietary micro-environment-controlled Agrify Vertical Farming Units (or “VFUs”) enable cultivators to produce the highest quality products with what we believe to be an unmatched consistency, yield, and Return on Investment at scale. Our comprehensive extraction product line, which includes hydrocarbon, ethanol, solventless, post-processing, and lab equipment, empowers producers to maximize the quantity and quality of extract required for premium concentrates.</w:t>
      </w:r>
    </w:p>
    <w:p>
      <w:pPr>
        <w:spacing w:after="0" w:line="185"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We believe we are the only company with an automated and fully integrated grow solution in the industry. Our cultivation and extraction solutions seamlessly combine our integrated hardware and software offerings with a broad range of associated services including consulting, engineering, and construction and are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5" w:lineRule="exact"/>
        <w:rPr>
          <w:sz w:val="20"/>
          <w:szCs w:val="20"/>
          <w:color w:val="auto"/>
        </w:rPr>
      </w:pPr>
    </w:p>
    <w:p>
      <w:pPr>
        <w:ind w:right="20" w:firstLine="298"/>
        <w:spacing w:after="0" w:line="260" w:lineRule="auto"/>
        <w:rPr>
          <w:sz w:val="20"/>
          <w:szCs w:val="20"/>
          <w:color w:val="auto"/>
        </w:rPr>
      </w:pPr>
      <w:r>
        <w:rPr>
          <w:rFonts w:ascii="Arial" w:cs="Arial" w:eastAsia="Arial" w:hAnsi="Arial"/>
          <w:sz w:val="17"/>
          <w:szCs w:val="17"/>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72" w:lineRule="exact"/>
        <w:rPr>
          <w:sz w:val="20"/>
          <w:szCs w:val="20"/>
          <w:color w:val="auto"/>
        </w:rPr>
      </w:pPr>
    </w:p>
    <w:p>
      <w:pPr>
        <w:ind w:right="560" w:firstLine="298"/>
        <w:spacing w:after="0" w:line="260" w:lineRule="auto"/>
        <w:rPr>
          <w:sz w:val="20"/>
          <w:szCs w:val="20"/>
          <w:color w:val="auto"/>
        </w:rPr>
      </w:pPr>
      <w:r>
        <w:rPr>
          <w:rFonts w:ascii="Arial" w:cs="Arial" w:eastAsia="Arial" w:hAnsi="Arial"/>
          <w:sz w:val="17"/>
          <w:szCs w:val="17"/>
          <w:color w:val="auto"/>
        </w:rPr>
        <w:t>Our corporate headquarters are located in Troy, Michigan. We also lease properties located within various geographic regions in which we conduct business, including Colorado, Georgia, Massachusetts, and Michigan.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Reverse Stock Split</w:t>
      </w:r>
    </w:p>
    <w:p>
      <w:pPr>
        <w:spacing w:after="0" w:line="201" w:lineRule="exact"/>
        <w:rPr>
          <w:sz w:val="20"/>
          <w:szCs w:val="20"/>
          <w:color w:val="auto"/>
        </w:rPr>
      </w:pPr>
    </w:p>
    <w:p>
      <w:pPr>
        <w:ind w:right="80" w:firstLine="298"/>
        <w:spacing w:after="0" w:line="260" w:lineRule="auto"/>
        <w:rPr>
          <w:sz w:val="20"/>
          <w:szCs w:val="20"/>
          <w:color w:val="auto"/>
        </w:rPr>
      </w:pPr>
      <w:r>
        <w:rPr>
          <w:rFonts w:ascii="Arial" w:cs="Arial" w:eastAsia="Arial" w:hAnsi="Arial"/>
          <w:sz w:val="17"/>
          <w:szCs w:val="17"/>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18" w:right="359" w:bottom="1440" w:gutter="0" w:footer="0" w:header="0"/>
        </w:sectPr>
      </w:pPr>
    </w:p>
    <w:bookmarkStart w:id="65" w:name="page66"/>
    <w:bookmarkEnd w:id="65"/>
    <w:p>
      <w:pPr>
        <w:ind w:right="200" w:firstLine="298"/>
        <w:spacing w:after="0" w:line="260" w:lineRule="auto"/>
        <w:rPr>
          <w:sz w:val="20"/>
          <w:szCs w:val="20"/>
          <w:color w:val="auto"/>
        </w:rPr>
      </w:pPr>
      <w:r>
        <w:rPr>
          <w:rFonts w:ascii="Arial" w:cs="Arial" w:eastAsia="Arial" w:hAnsi="Arial"/>
          <w:sz w:val="17"/>
          <w:szCs w:val="17"/>
          <w:color w:val="auto"/>
        </w:rPr>
        <w:t>On October 18, 2022, we effected a 1-for-10 reverse stock split on our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260" w:firstLine="298"/>
        <w:spacing w:after="0" w:line="260" w:lineRule="auto"/>
        <w:rPr>
          <w:sz w:val="20"/>
          <w:szCs w:val="20"/>
          <w:color w:val="auto"/>
        </w:rPr>
      </w:pPr>
      <w:r>
        <w:rPr>
          <w:rFonts w:ascii="Arial" w:cs="Arial" w:eastAsia="Arial" w:hAnsi="Arial"/>
          <w:sz w:val="17"/>
          <w:szCs w:val="17"/>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72" w:lineRule="exact"/>
        <w:rPr>
          <w:sz w:val="20"/>
          <w:szCs w:val="20"/>
          <w:color w:val="auto"/>
        </w:rPr>
      </w:pPr>
    </w:p>
    <w:p>
      <w:pPr>
        <w:ind w:right="140" w:firstLine="298"/>
        <w:spacing w:after="0" w:line="284" w:lineRule="auto"/>
        <w:rPr>
          <w:sz w:val="20"/>
          <w:szCs w:val="20"/>
          <w:color w:val="auto"/>
        </w:rPr>
      </w:pPr>
      <w:r>
        <w:rPr>
          <w:rFonts w:ascii="Arial" w:cs="Arial" w:eastAsia="Arial" w:hAnsi="Arial"/>
          <w:sz w:val="15"/>
          <w:szCs w:val="15"/>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Business Developments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w:t>
      </w:r>
    </w:p>
    <w:p>
      <w:pPr>
        <w:spacing w:after="0" w:line="201" w:lineRule="exact"/>
        <w:rPr>
          <w:sz w:val="20"/>
          <w:szCs w:val="20"/>
          <w:color w:val="auto"/>
        </w:rPr>
      </w:pPr>
    </w:p>
    <w:p>
      <w:pPr>
        <w:ind w:right="60" w:firstLine="298"/>
        <w:spacing w:after="0" w:line="288" w:lineRule="auto"/>
        <w:rPr>
          <w:sz w:val="20"/>
          <w:szCs w:val="20"/>
          <w:color w:val="auto"/>
        </w:rPr>
      </w:pPr>
      <w:r>
        <w:rPr>
          <w:rFonts w:ascii="Arial" w:cs="Arial" w:eastAsia="Arial" w:hAnsi="Arial"/>
          <w:sz w:val="15"/>
          <w:szCs w:val="15"/>
          <w:color w:val="auto"/>
        </w:rPr>
        <w:t>On January 25, 2022, we entered into a Securities Purchase Agreement (the “Securities Agreement”) with an institutional investor and other accredited investors for the sale by us of (i) 12,252 shares (the “SA Shares”) of the our Common Stock, (ii) pre-funded warrants (the “Pre-Funded Warrants”) to purchase up to an aggregate of 7,853 shares of Common Stock and (iii) warrants to purchase up to an aggregate of 15,069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56" w:lineRule="exact"/>
        <w:rPr>
          <w:sz w:val="20"/>
          <w:szCs w:val="20"/>
          <w:color w:val="auto"/>
        </w:rPr>
      </w:pPr>
    </w:p>
    <w:p>
      <w:pPr>
        <w:ind w:right="20" w:firstLine="298"/>
        <w:spacing w:after="0" w:line="293" w:lineRule="auto"/>
        <w:rPr>
          <w:sz w:val="20"/>
          <w:szCs w:val="20"/>
          <w:color w:val="auto"/>
        </w:rPr>
      </w:pPr>
      <w:r>
        <w:rPr>
          <w:rFonts w:ascii="Arial" w:cs="Arial" w:eastAsia="Arial" w:hAnsi="Arial"/>
          <w:sz w:val="15"/>
          <w:szCs w:val="15"/>
          <w:color w:val="auto"/>
        </w:rPr>
        <w:t>Subject to certain ownership limitations, the SA Warrants are exercisable six months from issuance. Each Pre-Funded Warrant is exercisable into one share of Common Stock at a price per share of $0.20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50" w:lineRule="exact"/>
        <w:rPr>
          <w:sz w:val="20"/>
          <w:szCs w:val="20"/>
          <w:color w:val="auto"/>
        </w:rPr>
      </w:pPr>
    </w:p>
    <w:p>
      <w:pPr>
        <w:jc w:val="both"/>
        <w:ind w:right="100" w:firstLine="298"/>
        <w:spacing w:after="0" w:line="252" w:lineRule="auto"/>
        <w:rPr>
          <w:sz w:val="20"/>
          <w:szCs w:val="20"/>
          <w:color w:val="auto"/>
        </w:rPr>
      </w:pPr>
      <w:r>
        <w:rPr>
          <w:rFonts w:ascii="Arial" w:cs="Arial" w:eastAsia="Arial" w:hAnsi="Arial"/>
          <w:sz w:val="17"/>
          <w:szCs w:val="17"/>
          <w:color w:val="auto"/>
        </w:rPr>
        <w:t>Raymond Chang, our Chairman and Chief Executive Officer, and Stuart Wilcox, who is currently our Chief Operating Officer, and at the time was a member of our Board of Directors, participated in the private placement on essentially the same terms as other investors, except for having a combined purchase price of $1,380.00 per share.</w:t>
      </w:r>
    </w:p>
    <w:p>
      <w:pPr>
        <w:spacing w:after="0" w:line="178" w:lineRule="exact"/>
        <w:rPr>
          <w:sz w:val="20"/>
          <w:szCs w:val="20"/>
          <w:color w:val="auto"/>
        </w:rPr>
      </w:pPr>
    </w:p>
    <w:p>
      <w:pPr>
        <w:ind w:firstLine="298"/>
        <w:spacing w:after="0" w:line="260" w:lineRule="auto"/>
        <w:rPr>
          <w:sz w:val="20"/>
          <w:szCs w:val="20"/>
          <w:color w:val="auto"/>
        </w:rPr>
      </w:pPr>
      <w:r>
        <w:rPr>
          <w:rFonts w:ascii="Arial" w:cs="Arial" w:eastAsia="Arial" w:hAnsi="Arial"/>
          <w:sz w:val="17"/>
          <w:szCs w:val="17"/>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Lab Society</w:t>
      </w:r>
    </w:p>
    <w:p>
      <w:pPr>
        <w:spacing w:after="0" w:line="201" w:lineRule="exact"/>
        <w:rPr>
          <w:sz w:val="20"/>
          <w:szCs w:val="20"/>
          <w:color w:val="auto"/>
        </w:rPr>
      </w:pPr>
    </w:p>
    <w:p>
      <w:pPr>
        <w:ind w:right="160" w:firstLine="298"/>
        <w:spacing w:after="0" w:line="247" w:lineRule="auto"/>
        <w:rPr>
          <w:sz w:val="20"/>
          <w:szCs w:val="20"/>
          <w:color w:val="auto"/>
        </w:rPr>
      </w:pPr>
      <w:r>
        <w:rPr>
          <w:rFonts w:ascii="Arial" w:cs="Arial" w:eastAsia="Arial" w:hAnsi="Arial"/>
          <w:sz w:val="17"/>
          <w:szCs w:val="17"/>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5" w:lineRule="exact"/>
        <w:rPr>
          <w:sz w:val="20"/>
          <w:szCs w:val="20"/>
          <w:color w:val="auto"/>
        </w:rPr>
      </w:pPr>
    </w:p>
    <w:p>
      <w:pPr>
        <w:ind w:right="220" w:firstLine="298"/>
        <w:spacing w:after="0" w:line="367" w:lineRule="auto"/>
        <w:rPr>
          <w:sz w:val="20"/>
          <w:szCs w:val="20"/>
          <w:color w:val="auto"/>
        </w:rPr>
      </w:pPr>
      <w:r>
        <w:rPr>
          <w:rFonts w:ascii="Arial" w:cs="Arial" w:eastAsia="Arial" w:hAnsi="Arial"/>
          <w:sz w:val="14"/>
          <w:szCs w:val="14"/>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66" w:name="page67"/>
    <w:bookmarkEnd w:id="66"/>
    <w:p>
      <w:pPr>
        <w:ind w:right="20" w:firstLine="298"/>
        <w:spacing w:after="0" w:line="288" w:lineRule="auto"/>
        <w:rPr>
          <w:sz w:val="20"/>
          <w:szCs w:val="20"/>
          <w:color w:val="auto"/>
        </w:rPr>
      </w:pPr>
      <w:r>
        <w:rPr>
          <w:rFonts w:ascii="Arial" w:cs="Arial" w:eastAsia="Arial" w:hAnsi="Arial"/>
          <w:sz w:val="15"/>
          <w:szCs w:val="15"/>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will be released following the twelve-month anniversary of the Closing Date in accordance with and subject to the conditions of the Merger Agreement. Additional information regarding our contingent consideration arrangements may be found in Note 5 – Fair Value Measures, included elsewhere in the notes to the consolidated financial statements.</w:t>
      </w:r>
    </w:p>
    <w:p>
      <w:pPr>
        <w:spacing w:after="0" w:line="156" w:lineRule="exact"/>
        <w:rPr>
          <w:sz w:val="20"/>
          <w:szCs w:val="20"/>
          <w:color w:val="auto"/>
        </w:rPr>
      </w:pPr>
    </w:p>
    <w:p>
      <w:pPr>
        <w:ind w:right="80" w:firstLine="298"/>
        <w:spacing w:after="0" w:line="301" w:lineRule="auto"/>
        <w:rPr>
          <w:sz w:val="20"/>
          <w:szCs w:val="20"/>
          <w:color w:val="auto"/>
        </w:rPr>
      </w:pPr>
      <w:r>
        <w:rPr>
          <w:rFonts w:ascii="Arial" w:cs="Arial" w:eastAsia="Arial" w:hAnsi="Arial"/>
          <w:sz w:val="15"/>
          <w:szCs w:val="15"/>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45" w:lineRule="exact"/>
        <w:rPr>
          <w:sz w:val="20"/>
          <w:szCs w:val="20"/>
          <w:color w:val="auto"/>
        </w:rPr>
      </w:pPr>
    </w:p>
    <w:p>
      <w:pPr>
        <w:ind w:right="180" w:firstLine="298"/>
        <w:spacing w:after="0" w:line="288" w:lineRule="auto"/>
        <w:rPr>
          <w:sz w:val="20"/>
          <w:szCs w:val="20"/>
          <w:color w:val="auto"/>
        </w:rPr>
      </w:pPr>
      <w:r>
        <w:rPr>
          <w:rFonts w:ascii="Arial" w:cs="Arial" w:eastAsia="Arial" w:hAnsi="Arial"/>
          <w:sz w:val="15"/>
          <w:szCs w:val="15"/>
          <w:color w:val="auto"/>
        </w:rPr>
        <w:t>Based upon the combined first and second-quarter actual revenue performance, Lab Society’s revenue trend is significantly below the originally estimated revenue trends incorporated into our original fair value estimates at the time of the acquisition. We have concluded Lab Society will not achieve any contingent earn-out consideration in connection with its first earn-out period. Accordingly, we reversed the current accrued contingent consideration liability associated with Lab Society’s first earn-out period as of September 30, 2022. The reversal of this liability of approximately $1.0 million, as required by ASC Topic 805 Business Combination (“ASC805”), was recorded as a reduction in operating expenses during the second quarter of 2022.</w:t>
      </w:r>
    </w:p>
    <w:p>
      <w:pPr>
        <w:spacing w:after="0" w:line="156" w:lineRule="exact"/>
        <w:rPr>
          <w:sz w:val="20"/>
          <w:szCs w:val="20"/>
          <w:color w:val="auto"/>
        </w:rPr>
      </w:pPr>
    </w:p>
    <w:p>
      <w:pPr>
        <w:ind w:firstLine="298"/>
        <w:spacing w:after="0" w:line="281" w:lineRule="auto"/>
        <w:rPr>
          <w:sz w:val="20"/>
          <w:szCs w:val="20"/>
          <w:color w:val="auto"/>
        </w:rPr>
      </w:pPr>
      <w:r>
        <w:rPr>
          <w:rFonts w:ascii="Arial" w:cs="Arial" w:eastAsia="Arial" w:hAnsi="Arial"/>
          <w:sz w:val="15"/>
          <w:szCs w:val="15"/>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ind w:left="300"/>
        <w:spacing w:after="0"/>
        <w:rPr>
          <w:sz w:val="20"/>
          <w:szCs w:val="20"/>
          <w:color w:val="auto"/>
        </w:rPr>
      </w:pPr>
      <w:r>
        <w:rPr>
          <w:rFonts w:ascii="Arial" w:cs="Arial" w:eastAsia="Arial" w:hAnsi="Arial"/>
          <w:sz w:val="17"/>
          <w:szCs w:val="17"/>
          <w:color w:val="auto"/>
        </w:rPr>
        <w:t> </w:t>
      </w:r>
    </w:p>
    <w:p>
      <w:pPr>
        <w:spacing w:after="0" w:line="3" w:lineRule="exact"/>
        <w:rPr>
          <w:sz w:val="20"/>
          <w:szCs w:val="20"/>
          <w:color w:val="auto"/>
        </w:rPr>
      </w:pPr>
    </w:p>
    <w:p>
      <w:pPr>
        <w:ind w:right="20" w:firstLine="298"/>
        <w:spacing w:after="0" w:line="244" w:lineRule="auto"/>
        <w:rPr>
          <w:sz w:val="20"/>
          <w:szCs w:val="20"/>
          <w:color w:val="auto"/>
        </w:rPr>
      </w:pPr>
      <w:r>
        <w:rPr>
          <w:rFonts w:ascii="Arial" w:cs="Arial" w:eastAsia="Arial" w:hAnsi="Arial"/>
          <w:sz w:val="17"/>
          <w:szCs w:val="17"/>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6"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 Based on its interim testing, we noted that the entire carrying value of its goodwill and intangible assets should be impaired. Additional information regarding our interim testing on goodwill and intangible assets may be found in Note 8 – Goodwill and Intangible Assets, Net, included elsewhere in the notes to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 Agreement</w:t>
      </w:r>
    </w:p>
    <w:p>
      <w:pPr>
        <w:spacing w:after="0" w:line="201" w:lineRule="exact"/>
        <w:rPr>
          <w:sz w:val="20"/>
          <w:szCs w:val="20"/>
          <w:color w:val="auto"/>
        </w:rPr>
      </w:pPr>
    </w:p>
    <w:p>
      <w:pPr>
        <w:ind w:right="40" w:firstLine="298"/>
        <w:spacing w:after="0" w:line="249" w:lineRule="auto"/>
        <w:rPr>
          <w:sz w:val="20"/>
          <w:szCs w:val="20"/>
          <w:color w:val="auto"/>
        </w:rPr>
      </w:pPr>
      <w:r>
        <w:rPr>
          <w:rFonts w:ascii="Arial" w:cs="Arial" w:eastAsia="Arial" w:hAnsi="Arial"/>
          <w:sz w:val="17"/>
          <w:szCs w:val="17"/>
          <w:color w:val="auto"/>
        </w:rPr>
        <w:t>On March 14, 2022, we entered into a Securities Purchase Agreement (the “Securities Purchase Agreement”) with an accredited investor (the “Investor”),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34,406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Exchange Agreement</w:t>
      </w:r>
    </w:p>
    <w:p>
      <w:pPr>
        <w:spacing w:after="0" w:line="201" w:lineRule="exact"/>
        <w:rPr>
          <w:sz w:val="20"/>
          <w:szCs w:val="20"/>
          <w:color w:val="auto"/>
        </w:rPr>
      </w:pPr>
    </w:p>
    <w:p>
      <w:pPr>
        <w:ind w:right="40" w:firstLine="298"/>
        <w:spacing w:after="0" w:line="284" w:lineRule="auto"/>
        <w:rPr>
          <w:sz w:val="20"/>
          <w:szCs w:val="20"/>
          <w:color w:val="auto"/>
        </w:rPr>
      </w:pPr>
      <w:r>
        <w:rPr>
          <w:rFonts w:ascii="Arial" w:cs="Arial" w:eastAsia="Arial" w:hAnsi="Arial"/>
          <w:sz w:val="15"/>
          <w:szCs w:val="15"/>
          <w:color w:val="auto"/>
        </w:rPr>
        <w:t>On August 18, 2022, we reached an agreement with its Investor to amend its existing SPA Note and entered into a Securities Exchange Agreement (the “Exchange Agreement”). Pursuant to the Exchange Agreement, we partially paid $35.2 million under the SPA Note and exchanged the remaining balance of the SPA Note for a new senior secured note (the “Exchange Note”) with an aggregate original principal amount of $35.0 million and a new warrant to purchase 71,138 shares of Common Stock (the “Note Exchange Warrant”). Additionally, we exchanged the SPA Warrant for a new warrant for the same number of underlying shares but with a reduced exercise price (the “Modified Warrant” and, collectively with the Note Exchange Warrant, the “Warrant Liabilities”). Additional information regarding our Warrant Liabilities may be found in Note 1 – Overview, Basis of Presentation and Significant Accounting Policies and Note 5 – Fair Value Measures, included elsewhere in the notes to the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7" w:name="page68"/>
    <w:bookmarkEnd w:id="67"/>
    <w:p>
      <w:pPr>
        <w:ind w:right="160" w:firstLine="298"/>
        <w:spacing w:after="0" w:line="293" w:lineRule="auto"/>
        <w:rPr>
          <w:sz w:val="20"/>
          <w:szCs w:val="20"/>
          <w:color w:val="auto"/>
        </w:rPr>
      </w:pPr>
      <w:r>
        <w:rPr>
          <w:rFonts w:ascii="Arial" w:cs="Arial" w:eastAsia="Arial" w:hAnsi="Arial"/>
          <w:sz w:val="15"/>
          <w:szCs w:val="15"/>
          <w:color w:val="auto"/>
        </w:rPr>
        <w:t>The Exchange Note is a senior secured obligation of us and ranks senior to all indebtedness of us.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us in connection with any equity financing, which will reduce the outstanding principal amount under the Exchange Note.</w:t>
      </w:r>
    </w:p>
    <w:p>
      <w:pPr>
        <w:spacing w:after="0" w:line="150"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At any time, we may prepay all of the Exchange Note by redemption at a price equal to 102.5% of the then-outstanding principal amount under the Note plus accrued but unpaid interest. The Investor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50" w:lineRule="exact"/>
        <w:rPr>
          <w:sz w:val="20"/>
          <w:szCs w:val="20"/>
          <w:color w:val="auto"/>
        </w:rPr>
      </w:pPr>
    </w:p>
    <w:p>
      <w:pPr>
        <w:ind w:right="100" w:firstLine="298"/>
        <w:spacing w:after="0" w:line="284" w:lineRule="auto"/>
        <w:rPr>
          <w:sz w:val="20"/>
          <w:szCs w:val="20"/>
          <w:color w:val="auto"/>
        </w:rPr>
      </w:pPr>
      <w:r>
        <w:rPr>
          <w:rFonts w:ascii="Arial" w:cs="Arial" w:eastAsia="Arial" w:hAnsi="Arial"/>
          <w:sz w:val="15"/>
          <w:szCs w:val="15"/>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 As of September 30, 2022, we are in compliance with the financial debt covenants associated with our Exchange Note.</w:t>
      </w:r>
    </w:p>
    <w:p>
      <w:pPr>
        <w:spacing w:after="0" w:line="159" w:lineRule="exact"/>
        <w:rPr>
          <w:sz w:val="20"/>
          <w:szCs w:val="20"/>
          <w:color w:val="auto"/>
        </w:rPr>
      </w:pPr>
    </w:p>
    <w:p>
      <w:pPr>
        <w:jc w:val="both"/>
        <w:ind w:right="120" w:firstLine="298"/>
        <w:spacing w:after="0" w:line="252" w:lineRule="auto"/>
        <w:rPr>
          <w:sz w:val="20"/>
          <w:szCs w:val="20"/>
          <w:color w:val="auto"/>
        </w:rPr>
      </w:pPr>
      <w:r>
        <w:rPr>
          <w:rFonts w:ascii="Arial" w:cs="Arial" w:eastAsia="Arial" w:hAnsi="Arial"/>
          <w:sz w:val="17"/>
          <w:szCs w:val="17"/>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78" w:lineRule="exact"/>
        <w:rPr>
          <w:sz w:val="20"/>
          <w:szCs w:val="20"/>
          <w:color w:val="auto"/>
        </w:rPr>
      </w:pPr>
    </w:p>
    <w:p>
      <w:pPr>
        <w:ind w:right="40" w:firstLine="298"/>
        <w:spacing w:after="0" w:line="293" w:lineRule="auto"/>
        <w:rPr>
          <w:sz w:val="20"/>
          <w:szCs w:val="20"/>
          <w:color w:val="auto"/>
        </w:rPr>
      </w:pPr>
      <w:r>
        <w:rPr>
          <w:rFonts w:ascii="Arial" w:cs="Arial" w:eastAsia="Arial" w:hAnsi="Arial"/>
          <w:sz w:val="15"/>
          <w:szCs w:val="15"/>
          <w:color w:val="auto"/>
        </w:rPr>
        <w:t>The Modified Warrant has an exercise price of $430.00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Investor’s election.</w:t>
      </w:r>
    </w:p>
    <w:p>
      <w:pPr>
        <w:spacing w:after="0" w:line="150" w:lineRule="exact"/>
        <w:rPr>
          <w:sz w:val="20"/>
          <w:szCs w:val="20"/>
          <w:color w:val="auto"/>
        </w:rPr>
      </w:pPr>
    </w:p>
    <w:p>
      <w:pPr>
        <w:ind w:right="20" w:firstLine="298"/>
        <w:spacing w:after="0" w:line="284" w:lineRule="auto"/>
        <w:rPr>
          <w:sz w:val="20"/>
          <w:szCs w:val="20"/>
          <w:color w:val="auto"/>
        </w:rPr>
      </w:pPr>
      <w:r>
        <w:rPr>
          <w:rFonts w:ascii="Arial" w:cs="Arial" w:eastAsia="Arial" w:hAnsi="Arial"/>
          <w:sz w:val="15"/>
          <w:szCs w:val="15"/>
          <w:color w:val="auto"/>
        </w:rPr>
        <w:t>The Note Exchange Warrant has an exercise price of $246.00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Investor’s election. Until we complete a qualified equity financing of at least $15.0 million, which requirement was satisfied with sales under the ATM Program, the Note Exchange Warrant’s exercise price would have been reduced to the extent we issue securities for a lower purchase price. The Note Exchange Warrant also prohibited us, until following the completion of such qualified equity financing, from issuing warrants with more favorable or preferential terms and/or provisions.</w:t>
      </w:r>
    </w:p>
    <w:p>
      <w:pPr>
        <w:spacing w:after="0" w:line="159" w:lineRule="exact"/>
        <w:rPr>
          <w:sz w:val="20"/>
          <w:szCs w:val="20"/>
          <w:color w:val="auto"/>
        </w:rPr>
      </w:pPr>
    </w:p>
    <w:p>
      <w:pPr>
        <w:ind w:right="180" w:firstLine="298"/>
        <w:spacing w:after="0" w:line="288" w:lineRule="auto"/>
        <w:rPr>
          <w:sz w:val="20"/>
          <w:szCs w:val="20"/>
          <w:color w:val="auto"/>
        </w:rPr>
      </w:pPr>
      <w:r>
        <w:rPr>
          <w:rFonts w:ascii="Arial" w:cs="Arial" w:eastAsia="Arial" w:hAnsi="Arial"/>
          <w:sz w:val="15"/>
          <w:szCs w:val="15"/>
          <w:color w:val="auto"/>
        </w:rPr>
        <w:t>The Warrant Liabilities will each provide that in no event will the number of shares of Common Stock issued upon exercise of such warrant result in the Investor’s beneficial ownership exceeding 4.99% of our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 Additionally, the Warrant Liabilities could not be exercised for more than an aggregate of 26,542 shares of Common Stock unless and until shareholder approval is obtained, which approval was obtained on October 14, 2022.</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Impact of coronavirus pandemic (“COVID-19”)</w:t>
      </w:r>
    </w:p>
    <w:p>
      <w:pPr>
        <w:spacing w:after="0" w:line="201" w:lineRule="exact"/>
        <w:rPr>
          <w:sz w:val="20"/>
          <w:szCs w:val="20"/>
          <w:color w:val="auto"/>
        </w:rPr>
      </w:pPr>
    </w:p>
    <w:p>
      <w:pPr>
        <w:ind w:right="20" w:firstLine="298"/>
        <w:spacing w:after="0" w:line="293" w:lineRule="auto"/>
        <w:rPr>
          <w:sz w:val="20"/>
          <w:szCs w:val="20"/>
          <w:color w:val="auto"/>
        </w:rPr>
      </w:pPr>
      <w:r>
        <w:rPr>
          <w:rFonts w:ascii="Arial" w:cs="Arial" w:eastAsia="Arial" w:hAnsi="Arial"/>
          <w:sz w:val="15"/>
          <w:szCs w:val="15"/>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50" w:lineRule="exact"/>
        <w:rPr>
          <w:sz w:val="20"/>
          <w:szCs w:val="20"/>
          <w:color w:val="auto"/>
        </w:rPr>
      </w:pPr>
    </w:p>
    <w:p>
      <w:pPr>
        <w:ind w:right="40" w:firstLine="298"/>
        <w:spacing w:after="0" w:line="293" w:lineRule="auto"/>
        <w:rPr>
          <w:sz w:val="20"/>
          <w:szCs w:val="20"/>
          <w:color w:val="auto"/>
        </w:rPr>
      </w:pPr>
      <w:r>
        <w:rPr>
          <w:rFonts w:ascii="Arial" w:cs="Arial" w:eastAsia="Arial" w:hAnsi="Arial"/>
          <w:sz w:val="15"/>
          <w:szCs w:val="15"/>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50" w:lineRule="exact"/>
        <w:rPr>
          <w:sz w:val="20"/>
          <w:szCs w:val="20"/>
          <w:color w:val="auto"/>
        </w:rPr>
      </w:pPr>
    </w:p>
    <w:p>
      <w:pPr>
        <w:ind w:right="180" w:firstLine="298"/>
        <w:spacing w:after="0" w:line="247"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Deficiency Notice</w:t>
      </w:r>
    </w:p>
    <w:p>
      <w:pPr>
        <w:spacing w:after="0" w:line="201"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On October 4, 2022, we received a deficiency letter (the “Notice”) from the Listing Qualifications Department (the “Staff”) of The Nasdaq Stock Market, LLC (“Nasdaq”) notifying us that, for the last 30 consecutive business days, the bid price for our Common Stock had closed below $1.00 per share, which is the minimum closing price required to maintain continued listing on The Nasdaq Capital Market under Nasdaq Listing Rule 5550(a)(2) (the “Minimum Bid Requirement”).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us that the closing bid price of our Common Stock was more than $1.00 for 10 consecutive trading days, and that we therefore regained compliance with the Minimum Bid Requirement.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05" w:lineRule="exact"/>
        <w:rPr>
          <w:sz w:val="20"/>
          <w:szCs w:val="20"/>
          <w:color w:val="auto"/>
        </w:rPr>
      </w:pPr>
    </w:p>
    <w:p>
      <w:pPr>
        <w:ind w:right="20" w:firstLine="298"/>
        <w:spacing w:after="0" w:line="247"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the useful life of fixed assets and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Significant Judgments and Estimates</w:t>
      </w:r>
    </w:p>
    <w:p>
      <w:pPr>
        <w:spacing w:after="0" w:line="201" w:lineRule="exact"/>
        <w:rPr>
          <w:sz w:val="20"/>
          <w:szCs w:val="20"/>
          <w:color w:val="auto"/>
        </w:rPr>
      </w:pPr>
    </w:p>
    <w:p>
      <w:pPr>
        <w:ind w:right="60" w:firstLine="298"/>
        <w:spacing w:after="0" w:line="286" w:lineRule="auto"/>
        <w:rPr>
          <w:sz w:val="20"/>
          <w:szCs w:val="20"/>
          <w:color w:val="auto"/>
        </w:rPr>
      </w:pPr>
      <w:r>
        <w:rPr>
          <w:rFonts w:ascii="Arial" w:cs="Arial" w:eastAsia="Arial" w:hAnsi="Arial"/>
          <w:sz w:val="15"/>
          <w:szCs w:val="15"/>
          <w:color w:val="auto"/>
        </w:rPr>
        <w:t>Our management’s discussion and analysis of our financial position and results of operations is based on our financial statements, which have been prepared in accordance with accounting principles generally accepted in the United States of America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Overview</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generate revenue from the following sources: (1) equipment sales, (2) providing services and (3) construction contracts.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accordance with ASC 606 “Revenue Recognition”, we recognize revenue from contracts with customers using a five-step model, which is described below:</w:t>
      </w:r>
    </w:p>
    <w:p>
      <w:pPr>
        <w:spacing w:after="0" w:line="224" w:lineRule="exact"/>
        <w:rPr>
          <w:sz w:val="20"/>
          <w:szCs w:val="20"/>
          <w:color w:val="auto"/>
        </w:rPr>
      </w:pPr>
    </w:p>
    <w:p>
      <w:pPr>
        <w:ind w:left="600" w:hanging="30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identify the customer contract;</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identify performance obligations that are distinct;</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allocate the transaction price to the distinct performance obligations; and</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recognize revenue as the performance obligations are satisfied.</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Identify the customer contract</w:t>
      </w:r>
    </w:p>
    <w:p>
      <w:pPr>
        <w:spacing w:after="0" w:line="201" w:lineRule="exact"/>
        <w:rPr>
          <w:sz w:val="20"/>
          <w:szCs w:val="20"/>
          <w:color w:val="auto"/>
        </w:rPr>
      </w:pPr>
    </w:p>
    <w:p>
      <w:pPr>
        <w:jc w:val="both"/>
        <w:ind w:firstLine="298"/>
        <w:spacing w:after="0" w:line="252" w:lineRule="auto"/>
        <w:rPr>
          <w:sz w:val="20"/>
          <w:szCs w:val="20"/>
          <w:color w:val="auto"/>
        </w:rPr>
      </w:pPr>
      <w:r>
        <w:rPr>
          <w:rFonts w:ascii="Arial" w:cs="Arial" w:eastAsia="Arial" w:hAnsi="Arial"/>
          <w:sz w:val="17"/>
          <w:szCs w:val="17"/>
          <w:color w:val="auto"/>
        </w:rPr>
        <w:t>A customer contract is generally identified when there is approval and commitment from both us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Identify performance obligations that are distinct</w:t>
      </w:r>
    </w:p>
    <w:p>
      <w:pPr>
        <w:spacing w:after="0" w:line="201" w:lineRule="exact"/>
        <w:rPr>
          <w:sz w:val="20"/>
          <w:szCs w:val="20"/>
          <w:color w:val="auto"/>
        </w:rPr>
      </w:pPr>
    </w:p>
    <w:p>
      <w:pPr>
        <w:ind w:right="120" w:firstLine="298"/>
        <w:spacing w:after="0" w:line="301" w:lineRule="auto"/>
        <w:rPr>
          <w:sz w:val="20"/>
          <w:szCs w:val="20"/>
          <w:color w:val="auto"/>
        </w:rPr>
      </w:pPr>
      <w:r>
        <w:rPr>
          <w:rFonts w:ascii="Arial" w:cs="Arial" w:eastAsia="Arial" w:hAnsi="Arial"/>
          <w:sz w:val="15"/>
          <w:szCs w:val="15"/>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Determine the transaction price</w:t>
      </w:r>
    </w:p>
    <w:p>
      <w:pPr>
        <w:spacing w:after="0" w:line="201" w:lineRule="exact"/>
        <w:rPr>
          <w:sz w:val="20"/>
          <w:szCs w:val="20"/>
          <w:color w:val="auto"/>
        </w:rPr>
      </w:pPr>
    </w:p>
    <w:p>
      <w:pPr>
        <w:ind w:right="160" w:firstLine="298"/>
        <w:spacing w:after="0" w:line="260" w:lineRule="auto"/>
        <w:rPr>
          <w:sz w:val="20"/>
          <w:szCs w:val="20"/>
          <w:color w:val="auto"/>
        </w:rPr>
      </w:pPr>
      <w:r>
        <w:rPr>
          <w:rFonts w:ascii="Arial" w:cs="Arial" w:eastAsia="Arial" w:hAnsi="Arial"/>
          <w:sz w:val="17"/>
          <w:szCs w:val="17"/>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Allocate the transaction price to distinct performance obligations</w:t>
      </w:r>
    </w:p>
    <w:p>
      <w:pPr>
        <w:spacing w:after="0" w:line="201" w:lineRule="exact"/>
        <w:rPr>
          <w:sz w:val="20"/>
          <w:szCs w:val="20"/>
          <w:color w:val="auto"/>
        </w:rPr>
      </w:pPr>
    </w:p>
    <w:p>
      <w:pPr>
        <w:ind w:right="60" w:firstLine="298"/>
        <w:spacing w:after="0" w:line="249" w:lineRule="auto"/>
        <w:rPr>
          <w:sz w:val="20"/>
          <w:szCs w:val="20"/>
          <w:color w:val="auto"/>
        </w:rPr>
      </w:pPr>
      <w:r>
        <w:rPr>
          <w:rFonts w:ascii="Arial" w:cs="Arial" w:eastAsia="Arial" w:hAnsi="Arial"/>
          <w:sz w:val="17"/>
          <w:szCs w:val="17"/>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Recognize revenue as the performance obligations are satisfied</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Revenue is recognized when, or as, performance obligations are satisfied by transferring control of a promised product or service to a customer.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70" w:name="page71"/>
    <w:bookmarkEnd w:id="70"/>
    <w:p>
      <w:pPr>
        <w:ind w:left="300"/>
        <w:spacing w:after="0"/>
        <w:rPr>
          <w:sz w:val="20"/>
          <w:szCs w:val="20"/>
          <w:color w:val="auto"/>
        </w:rPr>
      </w:pPr>
      <w:r>
        <w:rPr>
          <w:rFonts w:ascii="Arial" w:cs="Arial" w:eastAsia="Arial" w:hAnsi="Arial"/>
          <w:sz w:val="17"/>
          <w:szCs w:val="17"/>
          <w:b w:val="1"/>
          <w:bCs w:val="1"/>
          <w:i w:val="1"/>
          <w:iCs w:val="1"/>
          <w:color w:val="auto"/>
        </w:rPr>
        <w:t>Significant Judgments</w:t>
      </w:r>
    </w:p>
    <w:p>
      <w:pPr>
        <w:spacing w:after="0" w:line="201"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56" w:lineRule="exact"/>
        <w:rPr>
          <w:sz w:val="20"/>
          <w:szCs w:val="20"/>
          <w:color w:val="auto"/>
        </w:rPr>
      </w:pPr>
    </w:p>
    <w:p>
      <w:pPr>
        <w:ind w:firstLine="298"/>
        <w:spacing w:after="0" w:line="284" w:lineRule="auto"/>
        <w:rPr>
          <w:sz w:val="20"/>
          <w:szCs w:val="20"/>
          <w:color w:val="auto"/>
        </w:rPr>
      </w:pPr>
      <w:r>
        <w:rPr>
          <w:rFonts w:ascii="Arial" w:cs="Arial" w:eastAsia="Arial" w:hAnsi="Arial"/>
          <w:sz w:val="15"/>
          <w:szCs w:val="15"/>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considering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59" w:lineRule="exact"/>
        <w:rPr>
          <w:sz w:val="20"/>
          <w:szCs w:val="20"/>
          <w:color w:val="auto"/>
        </w:rPr>
      </w:pPr>
    </w:p>
    <w:p>
      <w:pPr>
        <w:ind w:right="460" w:firstLine="298"/>
        <w:spacing w:after="0" w:line="260" w:lineRule="auto"/>
        <w:rPr>
          <w:sz w:val="20"/>
          <w:szCs w:val="20"/>
          <w:color w:val="auto"/>
        </w:rPr>
      </w:pPr>
      <w:r>
        <w:rPr>
          <w:rFonts w:ascii="Arial" w:cs="Arial" w:eastAsia="Arial" w:hAnsi="Arial"/>
          <w:sz w:val="17"/>
          <w:szCs w:val="17"/>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determine the SSP for services in time and materials contracts by observable prices in standalone services arrangements.</w:t>
      </w:r>
    </w:p>
    <w:p>
      <w:pPr>
        <w:spacing w:after="0" w:line="201" w:lineRule="exact"/>
        <w:rPr>
          <w:sz w:val="20"/>
          <w:szCs w:val="20"/>
          <w:color w:val="auto"/>
        </w:rPr>
      </w:pPr>
    </w:p>
    <w:p>
      <w:pPr>
        <w:ind w:right="140" w:firstLine="298"/>
        <w:spacing w:after="0" w:line="252" w:lineRule="auto"/>
        <w:rPr>
          <w:sz w:val="20"/>
          <w:szCs w:val="20"/>
          <w:color w:val="auto"/>
        </w:rPr>
      </w:pPr>
      <w:r>
        <w:rPr>
          <w:rFonts w:ascii="Arial" w:cs="Arial" w:eastAsia="Arial" w:hAnsi="Arial"/>
          <w:sz w:val="17"/>
          <w:szCs w:val="17"/>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8" w:lineRule="exact"/>
        <w:rPr>
          <w:sz w:val="20"/>
          <w:szCs w:val="20"/>
          <w:color w:val="auto"/>
        </w:rPr>
      </w:pPr>
    </w:p>
    <w:p>
      <w:pPr>
        <w:ind w:right="20" w:firstLine="298"/>
        <w:spacing w:after="0" w:line="310" w:lineRule="auto"/>
        <w:rPr>
          <w:sz w:val="20"/>
          <w:szCs w:val="20"/>
          <w:color w:val="auto"/>
        </w:rPr>
      </w:pPr>
      <w:r>
        <w:rPr>
          <w:rFonts w:ascii="Arial" w:cs="Arial" w:eastAsia="Arial" w:hAnsi="Arial"/>
          <w:sz w:val="14"/>
          <w:szCs w:val="14"/>
          <w:color w:val="auto"/>
        </w:rPr>
        <w:t>If a contract has payment terms that differ from the timing of revenue recognition, we will assess whether the transaction price for those contracts includes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agreed-upon interest rate and will present the financing components separately as financial income. For the three and nine months ended September 30, 2022 and 2021, we did not have any such financial income.</w:t>
      </w:r>
    </w:p>
    <w:p>
      <w:pPr>
        <w:spacing w:after="0" w:line="141" w:lineRule="exact"/>
        <w:rPr>
          <w:sz w:val="20"/>
          <w:szCs w:val="20"/>
          <w:color w:val="auto"/>
        </w:rPr>
      </w:pPr>
    </w:p>
    <w:p>
      <w:pPr>
        <w:jc w:val="both"/>
        <w:ind w:right="100" w:firstLine="298"/>
        <w:spacing w:after="0" w:line="301" w:lineRule="auto"/>
        <w:rPr>
          <w:sz w:val="20"/>
          <w:szCs w:val="20"/>
          <w:color w:val="auto"/>
        </w:rPr>
      </w:pPr>
      <w:r>
        <w:rPr>
          <w:rFonts w:ascii="Arial" w:cs="Arial" w:eastAsia="Arial" w:hAnsi="Arial"/>
          <w:sz w:val="15"/>
          <w:szCs w:val="15"/>
          <w:color w:val="auto"/>
        </w:rPr>
        <w:t>Payment terms with customers typically require payment 30 days from the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45" w:lineRule="exact"/>
        <w:rPr>
          <w:sz w:val="20"/>
          <w:szCs w:val="20"/>
          <w:color w:val="auto"/>
        </w:rPr>
      </w:pPr>
    </w:p>
    <w:p>
      <w:pPr>
        <w:ind w:right="140" w:firstLine="298"/>
        <w:spacing w:after="0" w:line="293" w:lineRule="auto"/>
        <w:rPr>
          <w:sz w:val="20"/>
          <w:szCs w:val="20"/>
          <w:color w:val="auto"/>
        </w:rPr>
      </w:pPr>
      <w:r>
        <w:rPr>
          <w:rFonts w:ascii="Arial" w:cs="Arial" w:eastAsia="Arial" w:hAnsi="Arial"/>
          <w:sz w:val="15"/>
          <w:szCs w:val="15"/>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50" w:lineRule="exact"/>
        <w:rPr>
          <w:sz w:val="20"/>
          <w:szCs w:val="20"/>
          <w:color w:val="auto"/>
        </w:rPr>
      </w:pPr>
    </w:p>
    <w:p>
      <w:pPr>
        <w:ind w:right="240" w:firstLine="298"/>
        <w:spacing w:after="0" w:line="247" w:lineRule="auto"/>
        <w:rPr>
          <w:sz w:val="20"/>
          <w:szCs w:val="20"/>
          <w:color w:val="auto"/>
        </w:rPr>
      </w:pPr>
      <w:r>
        <w:rPr>
          <w:rFonts w:ascii="Arial" w:cs="Arial" w:eastAsia="Arial" w:hAnsi="Arial"/>
          <w:sz w:val="17"/>
          <w:szCs w:val="17"/>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20"/>
          </w:cols>
          <w:pgMar w:left="320" w:top="822" w:right="359" w:bottom="1440" w:gutter="0" w:footer="0" w:header="0"/>
        </w:sectPr>
      </w:pPr>
    </w:p>
    <w:bookmarkStart w:id="71" w:name="page72"/>
    <w:bookmarkEnd w:id="71"/>
    <w:p>
      <w:pPr>
        <w:ind w:firstLine="298"/>
        <w:spacing w:after="0" w:line="249" w:lineRule="auto"/>
        <w:rPr>
          <w:sz w:val="20"/>
          <w:szCs w:val="20"/>
          <w:color w:val="auto"/>
        </w:rPr>
      </w:pPr>
      <w:r>
        <w:rPr>
          <w:rFonts w:ascii="Arial" w:cs="Arial" w:eastAsia="Arial" w:hAnsi="Arial"/>
          <w:sz w:val="17"/>
          <w:szCs w:val="17"/>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1" w:lineRule="exact"/>
        <w:rPr>
          <w:sz w:val="20"/>
          <w:szCs w:val="20"/>
          <w:color w:val="auto"/>
        </w:rPr>
      </w:pPr>
    </w:p>
    <w:p>
      <w:pPr>
        <w:ind w:right="120" w:firstLine="298"/>
        <w:spacing w:after="0" w:line="249" w:lineRule="auto"/>
        <w:rPr>
          <w:sz w:val="20"/>
          <w:szCs w:val="20"/>
          <w:color w:val="auto"/>
        </w:rPr>
      </w:pPr>
      <w:r>
        <w:rPr>
          <w:rFonts w:ascii="Arial" w:cs="Arial" w:eastAsia="Arial" w:hAnsi="Arial"/>
          <w:sz w:val="17"/>
          <w:szCs w:val="17"/>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Business Combinations</w:t>
      </w:r>
    </w:p>
    <w:p>
      <w:pPr>
        <w:spacing w:after="0" w:line="205" w:lineRule="exact"/>
        <w:rPr>
          <w:sz w:val="20"/>
          <w:szCs w:val="20"/>
          <w:color w:val="auto"/>
        </w:rPr>
      </w:pPr>
    </w:p>
    <w:p>
      <w:pPr>
        <w:ind w:right="180" w:firstLine="298"/>
        <w:spacing w:after="0" w:line="293" w:lineRule="auto"/>
        <w:rPr>
          <w:sz w:val="20"/>
          <w:szCs w:val="20"/>
          <w:color w:val="auto"/>
        </w:rPr>
      </w:pPr>
      <w:r>
        <w:rPr>
          <w:rFonts w:ascii="Arial" w:cs="Arial" w:eastAsia="Arial" w:hAnsi="Arial"/>
          <w:sz w:val="15"/>
          <w:szCs w:val="15"/>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50" w:lineRule="exact"/>
        <w:rPr>
          <w:sz w:val="20"/>
          <w:szCs w:val="20"/>
          <w:color w:val="auto"/>
        </w:rPr>
      </w:pPr>
    </w:p>
    <w:p>
      <w:pPr>
        <w:ind w:right="180" w:firstLine="298"/>
        <w:spacing w:after="0" w:line="260" w:lineRule="auto"/>
        <w:rPr>
          <w:sz w:val="20"/>
          <w:szCs w:val="20"/>
          <w:color w:val="auto"/>
        </w:rPr>
      </w:pPr>
      <w:r>
        <w:rPr>
          <w:rFonts w:ascii="Arial" w:cs="Arial" w:eastAsia="Arial" w:hAnsi="Arial"/>
          <w:sz w:val="17"/>
          <w:szCs w:val="17"/>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Examples of critical estimates in valuing certain of the intangible assets we have acquired or may acquire in the future include but are not limited to:</w:t>
      </w:r>
    </w:p>
    <w:p>
      <w:pPr>
        <w:spacing w:after="0" w:line="224" w:lineRule="exact"/>
        <w:rPr>
          <w:sz w:val="20"/>
          <w:szCs w:val="20"/>
          <w:color w:val="auto"/>
        </w:rPr>
      </w:pPr>
    </w:p>
    <w:p>
      <w:pPr>
        <w:ind w:left="600" w:right="900" w:hanging="303"/>
        <w:spacing w:after="0" w:line="260"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future expected cash flows from software license sales, support agreements, consulting contracts, other customer contracts, and acquired developed technologies;</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expected costs to develop in-process research and development into commercially viable products and estimated cash flows from the projects when completed;</w:t>
      </w:r>
    </w:p>
    <w:p>
      <w:pPr>
        <w:spacing w:after="0" w:line="224" w:lineRule="exact"/>
        <w:rPr>
          <w:rFonts w:ascii="Arial" w:cs="Arial" w:eastAsia="Arial" w:hAnsi="Arial"/>
          <w:sz w:val="15"/>
          <w:szCs w:val="15"/>
          <w:color w:val="auto"/>
        </w:rPr>
      </w:pPr>
    </w:p>
    <w:p>
      <w:pPr>
        <w:ind w:left="600" w:right="460" w:hanging="303"/>
        <w:spacing w:after="0" w:line="260"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acquired company’s brand and competitive position, as well as assumptions about the period of time the acquired brand will continue to be used in the combined company’s product portfolio;</w:t>
      </w:r>
    </w:p>
    <w:p>
      <w:pPr>
        <w:spacing w:after="0" w:line="171" w:lineRule="exact"/>
        <w:rPr>
          <w:rFonts w:ascii="Arial" w:cs="Arial" w:eastAsia="Arial" w:hAnsi="Arial"/>
          <w:sz w:val="17"/>
          <w:szCs w:val="17"/>
          <w:color w:val="auto"/>
        </w:rPr>
      </w:pPr>
    </w:p>
    <w:p>
      <w:pPr>
        <w:ind w:left="600" w:hanging="303"/>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 of capital and discount rates; and</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estimating the useful lives of acquired assets as well as the pattern or manner in which the assets will amortize.</w:t>
      </w:r>
    </w:p>
    <w:p>
      <w:pPr>
        <w:spacing w:after="0" w:line="201"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05" w:lineRule="exact"/>
        <w:rPr>
          <w:sz w:val="20"/>
          <w:szCs w:val="20"/>
          <w:color w:val="auto"/>
        </w:rPr>
      </w:pPr>
    </w:p>
    <w:p>
      <w:pPr>
        <w:ind w:right="380" w:firstLine="298"/>
        <w:spacing w:after="0" w:line="319" w:lineRule="auto"/>
        <w:rPr>
          <w:sz w:val="20"/>
          <w:szCs w:val="20"/>
          <w:color w:val="auto"/>
        </w:rPr>
      </w:pPr>
      <w:r>
        <w:rPr>
          <w:rFonts w:ascii="Arial" w:cs="Arial" w:eastAsia="Arial" w:hAnsi="Arial"/>
          <w:sz w:val="14"/>
          <w:szCs w:val="14"/>
          <w:color w:val="auto"/>
        </w:rPr>
        <w:t>Amortization of acquired intangible assets is the result of the acquisition of TriGrow Systems, LLC (“TriGrow”), which occurred in 2020, the acquisition of Precision Extraction NewCo, LLC (“Precision”) and Cascade Sciences, LLC (“Cascade”) which occurred in 2021, the acquisition of PurePressure, LLC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36" w:lineRule="exact"/>
        <w:rPr>
          <w:sz w:val="20"/>
          <w:szCs w:val="20"/>
          <w:color w:val="auto"/>
        </w:rPr>
      </w:pPr>
    </w:p>
    <w:p>
      <w:pPr>
        <w:ind w:right="40" w:firstLine="298"/>
        <w:spacing w:after="0" w:line="286" w:lineRule="auto"/>
        <w:rPr>
          <w:sz w:val="20"/>
          <w:szCs w:val="20"/>
          <w:color w:val="auto"/>
        </w:rPr>
      </w:pPr>
      <w:r>
        <w:rPr>
          <w:rFonts w:ascii="Arial" w:cs="Arial" w:eastAsia="Arial" w:hAnsi="Arial"/>
          <w:sz w:val="15"/>
          <w:szCs w:val="15"/>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We have determined it is a single reporting unit for the purpose of conducting the goodwill impairment assessment.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decline in our stock price.</w:t>
      </w:r>
    </w:p>
    <w:p>
      <w:pPr>
        <w:spacing w:after="0" w:line="156"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 Based on its interim testing, we noted that the entire carrying value of its goodwill and intangible assets should be impaired. Additional information regarding our interim testing on goodwill and intangible assets may be found in Note 8 – Goodwill and Intangible Assets, Net, included elsewhere in the notes to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Capitalization of Internal Software Development Costs</w:t>
      </w:r>
    </w:p>
    <w:p>
      <w:pPr>
        <w:spacing w:after="0" w:line="205" w:lineRule="exact"/>
        <w:rPr>
          <w:sz w:val="20"/>
          <w:szCs w:val="20"/>
          <w:color w:val="auto"/>
        </w:rPr>
      </w:pPr>
    </w:p>
    <w:p>
      <w:pPr>
        <w:ind w:right="40" w:firstLine="298"/>
        <w:spacing w:after="0" w:line="247" w:lineRule="auto"/>
        <w:rPr>
          <w:sz w:val="20"/>
          <w:szCs w:val="20"/>
          <w:color w:val="auto"/>
        </w:rPr>
      </w:pPr>
      <w:r>
        <w:rPr>
          <w:rFonts w:ascii="Arial" w:cs="Arial" w:eastAsia="Arial" w:hAnsi="Arial"/>
          <w:sz w:val="17"/>
          <w:szCs w:val="17"/>
          <w:color w:val="auto"/>
        </w:rPr>
        <w:t>We capitalize on certain software engineering efforts related to the continued development of Agrify Insights™ cultivation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05" w:lineRule="exact"/>
        <w:rPr>
          <w:sz w:val="20"/>
          <w:szCs w:val="20"/>
          <w:color w:val="auto"/>
        </w:rPr>
      </w:pPr>
    </w:p>
    <w:p>
      <w:pPr>
        <w:ind w:right="100" w:firstLine="298"/>
        <w:spacing w:after="0" w:line="293" w:lineRule="auto"/>
        <w:rPr>
          <w:sz w:val="20"/>
          <w:szCs w:val="20"/>
          <w:color w:val="auto"/>
        </w:rPr>
      </w:pPr>
      <w:r>
        <w:rPr>
          <w:rFonts w:ascii="Arial" w:cs="Arial" w:eastAsia="Arial" w:hAnsi="Arial"/>
          <w:sz w:val="15"/>
          <w:szCs w:val="15"/>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50" w:lineRule="exact"/>
        <w:rPr>
          <w:sz w:val="20"/>
          <w:szCs w:val="20"/>
          <w:color w:val="auto"/>
        </w:rPr>
      </w:pPr>
    </w:p>
    <w:p>
      <w:pPr>
        <w:ind w:firstLine="298"/>
        <w:spacing w:after="0" w:line="282" w:lineRule="auto"/>
        <w:rPr>
          <w:sz w:val="20"/>
          <w:szCs w:val="20"/>
          <w:color w:val="auto"/>
        </w:rPr>
      </w:pPr>
      <w:r>
        <w:rPr>
          <w:rFonts w:ascii="Arial" w:cs="Arial" w:eastAsia="Arial" w:hAnsi="Arial"/>
          <w:sz w:val="15"/>
          <w:szCs w:val="15"/>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359" w:lineRule="exact"/>
        <w:rPr>
          <w:sz w:val="20"/>
          <w:szCs w:val="20"/>
          <w:color w:val="auto"/>
        </w:rPr>
      </w:pPr>
    </w:p>
    <w:p>
      <w:pPr>
        <w:ind w:right="120" w:firstLine="298"/>
        <w:spacing w:after="0" w:line="249" w:lineRule="auto"/>
        <w:rPr>
          <w:sz w:val="20"/>
          <w:szCs w:val="20"/>
          <w:color w:val="auto"/>
        </w:rPr>
      </w:pPr>
      <w:r>
        <w:rPr>
          <w:rFonts w:ascii="Arial" w:cs="Arial" w:eastAsia="Arial" w:hAnsi="Arial"/>
          <w:sz w:val="17"/>
          <w:szCs w:val="17"/>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205" w:lineRule="exact"/>
        <w:rPr>
          <w:sz w:val="20"/>
          <w:szCs w:val="20"/>
          <w:color w:val="auto"/>
        </w:rPr>
      </w:pPr>
    </w:p>
    <w:p>
      <w:pPr>
        <w:ind w:right="40" w:firstLine="298"/>
        <w:spacing w:after="0" w:line="301" w:lineRule="auto"/>
        <w:rPr>
          <w:sz w:val="20"/>
          <w:szCs w:val="20"/>
          <w:color w:val="auto"/>
        </w:rPr>
      </w:pPr>
      <w:r>
        <w:rPr>
          <w:rFonts w:ascii="Arial" w:cs="Arial" w:eastAsia="Arial" w:hAnsi="Arial"/>
          <w:sz w:val="15"/>
          <w:szCs w:val="15"/>
          <w:color w:val="auto"/>
        </w:rPr>
        <w:t>We follow the provisions of ASC Topic 718, “Compensation-Stock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45" w:lineRule="exact"/>
        <w:rPr>
          <w:sz w:val="20"/>
          <w:szCs w:val="20"/>
          <w:color w:val="auto"/>
        </w:rPr>
      </w:pPr>
    </w:p>
    <w:p>
      <w:pPr>
        <w:ind w:right="80" w:firstLine="298"/>
        <w:spacing w:after="0" w:line="252" w:lineRule="auto"/>
        <w:rPr>
          <w:sz w:val="20"/>
          <w:szCs w:val="20"/>
          <w:color w:val="auto"/>
        </w:rPr>
      </w:pPr>
      <w:r>
        <w:rPr>
          <w:rFonts w:ascii="Arial" w:cs="Arial" w:eastAsia="Arial" w:hAnsi="Arial"/>
          <w:sz w:val="17"/>
          <w:szCs w:val="17"/>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8" w:lineRule="exact"/>
        <w:rPr>
          <w:sz w:val="20"/>
          <w:szCs w:val="20"/>
          <w:color w:val="auto"/>
        </w:rPr>
      </w:pPr>
    </w:p>
    <w:p>
      <w:pPr>
        <w:ind w:right="80" w:firstLine="298"/>
        <w:spacing w:after="0" w:line="283" w:lineRule="auto"/>
        <w:rPr>
          <w:sz w:val="20"/>
          <w:szCs w:val="20"/>
          <w:color w:val="auto"/>
        </w:rPr>
      </w:pPr>
      <w:r>
        <w:rPr>
          <w:rFonts w:ascii="Arial" w:cs="Arial" w:eastAsia="Arial" w:hAnsi="Arial"/>
          <w:sz w:val="15"/>
          <w:szCs w:val="15"/>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59" w:lineRule="exact"/>
        <w:rPr>
          <w:sz w:val="20"/>
          <w:szCs w:val="20"/>
          <w:color w:val="auto"/>
        </w:rPr>
      </w:pPr>
    </w:p>
    <w:p>
      <w:pPr>
        <w:ind w:right="220" w:firstLine="298"/>
        <w:spacing w:after="0" w:line="247"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5" w:lineRule="exact"/>
        <w:rPr>
          <w:sz w:val="20"/>
          <w:szCs w:val="20"/>
          <w:color w:val="auto"/>
        </w:rPr>
      </w:pPr>
    </w:p>
    <w:p>
      <w:pPr>
        <w:ind w:right="180" w:firstLine="298"/>
        <w:spacing w:after="0" w:line="252" w:lineRule="auto"/>
        <w:rPr>
          <w:sz w:val="20"/>
          <w:szCs w:val="20"/>
          <w:color w:val="auto"/>
        </w:rPr>
      </w:pPr>
      <w:r>
        <w:rPr>
          <w:rFonts w:ascii="Arial" w:cs="Arial" w:eastAsia="Arial" w:hAnsi="Arial"/>
          <w:sz w:val="17"/>
          <w:szCs w:val="17"/>
          <w:color w:val="auto"/>
        </w:rPr>
        <w:t>We have incurred recurring losses to date. 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178" w:lineRule="exact"/>
        <w:rPr>
          <w:sz w:val="20"/>
          <w:szCs w:val="20"/>
          <w:color w:val="auto"/>
        </w:rPr>
      </w:pPr>
    </w:p>
    <w:p>
      <w:pPr>
        <w:ind w:firstLine="298"/>
        <w:spacing w:after="0" w:line="260" w:lineRule="auto"/>
        <w:rPr>
          <w:sz w:val="20"/>
          <w:szCs w:val="20"/>
          <w:color w:val="auto"/>
        </w:rPr>
      </w:pPr>
      <w:r>
        <w:rPr>
          <w:rFonts w:ascii="Arial" w:cs="Arial" w:eastAsia="Arial" w:hAnsi="Arial"/>
          <w:sz w:val="17"/>
          <w:szCs w:val="17"/>
          <w:color w:val="auto"/>
        </w:rPr>
        <w:t>We expect we will require additional capital to meet our long-term operating requirements. We expect to raise additional capital through, among other things, the sale of equity or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9"/>
        </w:trPr>
        <w:tc>
          <w:tcPr>
            <w:tcW w:w="5840" w:type="dxa"/>
            <w:vAlign w:val="bottom"/>
            <w:gridSpan w:val="2"/>
          </w:tcPr>
          <w:p>
            <w:pPr>
              <w:spacing w:after="0"/>
              <w:rPr>
                <w:sz w:val="20"/>
                <w:szCs w:val="20"/>
                <w:color w:val="auto"/>
              </w:rPr>
            </w:pPr>
            <w:r>
              <w:rPr>
                <w:rFonts w:ascii="Arial" w:cs="Arial" w:eastAsia="Arial" w:hAnsi="Arial"/>
                <w:sz w:val="17"/>
                <w:szCs w:val="17"/>
                <w:b w:val="1"/>
                <w:bCs w:val="1"/>
                <w:i w:val="1"/>
                <w:iCs w:val="1"/>
                <w:color w:val="auto"/>
                <w:w w:val="90"/>
              </w:rPr>
              <w:t>Comparison of the Three and Nine Months Ended September 30, 2022 and 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9920" w:type="dxa"/>
            <w:vAlign w:val="bottom"/>
            <w:gridSpan w:val="12"/>
          </w:tcPr>
          <w:p>
            <w:pPr>
              <w:ind w:left="280"/>
              <w:spacing w:after="0"/>
              <w:rPr>
                <w:sz w:val="20"/>
                <w:szCs w:val="20"/>
                <w:color w:val="auto"/>
              </w:rPr>
            </w:pPr>
            <w:r>
              <w:rPr>
                <w:rFonts w:ascii="Arial" w:cs="Arial" w:eastAsia="Arial" w:hAnsi="Arial"/>
                <w:sz w:val="17"/>
                <w:szCs w:val="17"/>
                <w:color w:val="auto"/>
                <w:w w:val="90"/>
              </w:rPr>
              <w:t>The following table summarizes our results of operations for the three and nine months ended September 30, 2022 and September 30, 2021: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6"/>
          </w:tcPr>
          <w:p>
            <w:pPr>
              <w:jc w:val="right"/>
              <w:ind w:right="663"/>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4"/>
                <w:szCs w:val="24"/>
                <w:color w:val="auto"/>
              </w:rPr>
            </w:pPr>
          </w:p>
        </w:tc>
        <w:tc>
          <w:tcPr>
            <w:tcW w:w="2480" w:type="dxa"/>
            <w:vAlign w:val="bottom"/>
            <w:gridSpan w:val="6"/>
          </w:tcPr>
          <w:p>
            <w:pPr>
              <w:jc w:val="right"/>
              <w:ind w:right="583"/>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17"/>
              <w:spacing w:after="0" w:line="194"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17"/>
              <w:spacing w:after="0" w:line="194" w:lineRule="exact"/>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63"/>
              <w:spacing w:after="0"/>
              <w:rPr>
                <w:sz w:val="20"/>
                <w:szCs w:val="20"/>
                <w:color w:val="auto"/>
              </w:rPr>
            </w:pPr>
            <w:r>
              <w:rPr>
                <w:rFonts w:ascii="Arial" w:cs="Arial" w:eastAsia="Arial" w:hAnsi="Arial"/>
                <w:sz w:val="17"/>
                <w:szCs w:val="17"/>
                <w:b w:val="1"/>
                <w:bCs w:val="1"/>
                <w:color w:val="auto"/>
                <w:w w:val="85"/>
              </w:rPr>
              <w:t>(As Restated)</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17"/>
              <w:spacing w:after="0"/>
              <w:rPr>
                <w:sz w:val="20"/>
                <w:szCs w:val="20"/>
                <w:color w:val="auto"/>
              </w:rPr>
            </w:pPr>
            <w:r>
              <w:rPr>
                <w:rFonts w:ascii="Arial" w:cs="Arial" w:eastAsia="Arial" w:hAnsi="Arial"/>
                <w:sz w:val="17"/>
                <w:szCs w:val="17"/>
                <w:b w:val="1"/>
                <w:bCs w:val="1"/>
                <w:color w:val="auto"/>
                <w:w w:val="84"/>
              </w:rPr>
              <w:t>2021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3"/>
              <w:spacing w:after="0"/>
              <w:rPr>
                <w:sz w:val="20"/>
                <w:szCs w:val="20"/>
                <w:color w:val="auto"/>
              </w:rPr>
            </w:pPr>
            <w:r>
              <w:rPr>
                <w:rFonts w:ascii="Arial" w:cs="Arial" w:eastAsia="Arial" w:hAnsi="Arial"/>
                <w:sz w:val="17"/>
                <w:szCs w:val="17"/>
                <w:b w:val="1"/>
                <w:bCs w:val="1"/>
                <w:color w:val="auto"/>
                <w:w w:val="85"/>
              </w:rPr>
              <w:t>(As Restated)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317"/>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Cost of goods sold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11,135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16,131</w:t>
            </w:r>
          </w:p>
        </w:tc>
        <w:tc>
          <w:tcPr>
            <w:tcW w:w="8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50,703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34,977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Gross profit (loss)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24,126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7,705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53,263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16,562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2,160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890</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2,288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827</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2,483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Change in contingent consideration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3"/>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3"/>
              <w:spacing w:after="0"/>
              <w:rPr>
                <w:sz w:val="20"/>
                <w:szCs w:val="20"/>
                <w:color w:val="auto"/>
              </w:rPr>
            </w:pPr>
            <w:r>
              <w:rPr>
                <w:rFonts w:ascii="Arial" w:cs="Arial" w:eastAsia="Arial" w:hAnsi="Arial"/>
                <w:sz w:val="17"/>
                <w:szCs w:val="17"/>
                <w:color w:val="auto"/>
              </w:rPr>
              <w:t>(1,509)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goodwill and intangible assets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69,904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Total operating expenses</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27,431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9,422</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134,509</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21,333</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Loss from operations</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(31,547</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(9,802</w:t>
            </w:r>
          </w:p>
        </w:tc>
        <w:tc>
          <w:tcPr>
            <w:tcW w:w="2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(132,843</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20" w:type="dxa"/>
            <w:vAlign w:val="bottom"/>
          </w:tcPr>
          <w:p>
            <w:pPr>
              <w:spacing w:after="0" w:line="183" w:lineRule="exact"/>
              <w:rPr>
                <w:sz w:val="20"/>
                <w:szCs w:val="20"/>
                <w:color w:val="auto"/>
              </w:rPr>
            </w:pPr>
            <w:r>
              <w:rPr>
                <w:rFonts w:ascii="Arial" w:cs="Arial" w:eastAsia="Arial" w:hAnsi="Arial"/>
                <w:sz w:val="17"/>
                <w:szCs w:val="17"/>
                <w:color w:val="auto"/>
              </w:rPr>
              <w:t>Interest income (expense),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(4,654)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45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7"/>
                <w:szCs w:val="17"/>
                <w:color w:val="auto"/>
              </w:rPr>
              <w:t>(7,404)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Change in fair value of warrant liabilities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16,268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47,234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Gain on extinguishment of notes payable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(38,985)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(38,985)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2,685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tcBorders>
              <w:top w:val="single" w:sz="8" w:color="CCEEFF"/>
              <w:bottom w:val="single" w:sz="8" w:color="CCEEFF"/>
            </w:tcBorders>
          </w:tcPr>
          <w:p>
            <w:pPr>
              <w:ind w:left="120"/>
              <w:spacing w:after="0" w:line="184" w:lineRule="exact"/>
              <w:rPr>
                <w:sz w:val="20"/>
                <w:szCs w:val="20"/>
                <w:color w:val="auto"/>
              </w:rPr>
            </w:pPr>
            <w:r>
              <w:rPr>
                <w:rFonts w:ascii="Arial" w:cs="Arial" w:eastAsia="Arial" w:hAnsi="Arial"/>
                <w:sz w:val="17"/>
                <w:szCs w:val="17"/>
                <w:color w:val="auto"/>
              </w:rPr>
              <w:t>Other income, net</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(25,865</w:t>
            </w:r>
          </w:p>
        </w:tc>
        <w:tc>
          <w:tcPr>
            <w:tcW w:w="140" w:type="dxa"/>
            <w:vAlign w:val="bottom"/>
            <w:tcBorders>
              <w:top w:val="single" w:sz="8" w:color="CCEEFF"/>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30</w:t>
            </w:r>
          </w:p>
        </w:tc>
        <w:tc>
          <w:tcPr>
            <w:tcW w:w="2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2,351</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2,675</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(loss) before income taxes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Income tax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(57,412)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(130,230)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Income (loss) attributable to non-controlling interest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83"/>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3"/>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Net income (loss) attributable to Agrify Corporation</w:t>
            </w: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20" w:type="dxa"/>
            <w:vAlign w:val="bottom"/>
            <w:vMerge w:val="continue"/>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(57,413</w:t>
            </w:r>
          </w:p>
        </w:tc>
        <w:tc>
          <w:tcPr>
            <w:tcW w:w="140" w:type="dxa"/>
            <w:vAlign w:val="bottom"/>
            <w:vMerge w:val="continue"/>
            <w:shd w:val="clear" w:color="auto" w:fill="CCEEFF"/>
          </w:tcPr>
          <w:p>
            <w:pPr>
              <w:spacing w:after="0"/>
              <w:rPr>
                <w:sz w:val="19"/>
                <w:szCs w:val="19"/>
                <w:color w:val="auto"/>
              </w:rPr>
            </w:pPr>
          </w:p>
        </w:tc>
        <w:tc>
          <w:tcPr>
            <w:tcW w:w="46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(9,758</w:t>
            </w:r>
          </w:p>
        </w:tc>
        <w:tc>
          <w:tcPr>
            <w:tcW w:w="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(130,235</w:t>
            </w:r>
          </w:p>
        </w:tc>
        <w:tc>
          <w:tcPr>
            <w:tcW w:w="140" w:type="dxa"/>
            <w:vAlign w:val="bottom"/>
            <w:vMerge w:val="continue"/>
            <w:shd w:val="clear" w:color="auto" w:fill="CCEEFF"/>
          </w:tcPr>
          <w:p>
            <w:pPr>
              <w:spacing w:after="0"/>
              <w:rPr>
                <w:sz w:val="19"/>
                <w:szCs w:val="19"/>
                <w:color w:val="auto"/>
              </w:rPr>
            </w:pPr>
          </w:p>
        </w:tc>
        <w:tc>
          <w:tcPr>
            <w:tcW w:w="480" w:type="dxa"/>
            <w:vAlign w:val="bottom"/>
            <w:gridSpan w:val="2"/>
            <w:shd w:val="clear" w:color="auto" w:fill="CCEEFF"/>
          </w:tcPr>
          <w:p>
            <w:pPr>
              <w:jc w:val="right"/>
              <w:ind w:right="24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(19,204</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w w:val="91"/>
              </w:rPr>
              <w:t>Net income (loss) per share attributable to Common Stockholders – basic and diluted</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8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(429.98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(93.67</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(1,003.10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Weighted-average common shares outstanding –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133,526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104,172</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vMerge w:val="restart"/>
          </w:tcPr>
          <w:p>
            <w:pPr>
              <w:ind w:left="5520"/>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0" w:type="dxa"/>
            <w:vAlign w:val="bottom"/>
            <w:vMerge w:val="continue"/>
          </w:tcPr>
          <w:p>
            <w:pPr>
              <w:spacing w:after="0"/>
              <w:rPr>
                <w:sz w:val="24"/>
                <w:szCs w:val="24"/>
                <w:color w:val="auto"/>
              </w:rPr>
            </w:pPr>
          </w:p>
        </w:tc>
        <w:tc>
          <w:tcPr>
            <w:tcW w:w="58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1" w:lineRule="exact"/>
        <w:rPr>
          <w:sz w:val="20"/>
          <w:szCs w:val="20"/>
          <w:color w:val="auto"/>
        </w:rPr>
      </w:pPr>
    </w:p>
    <w:p>
      <w:pPr>
        <w:ind w:right="100" w:firstLine="298"/>
        <w:spacing w:after="0" w:line="252" w:lineRule="auto"/>
        <w:rPr>
          <w:sz w:val="20"/>
          <w:szCs w:val="20"/>
          <w:color w:val="auto"/>
        </w:rPr>
      </w:pPr>
      <w:r>
        <w:rPr>
          <w:rFonts w:ascii="Arial" w:cs="Arial" w:eastAsia="Arial" w:hAnsi="Arial"/>
          <w:sz w:val="17"/>
          <w:szCs w:val="17"/>
          <w:color w:val="auto"/>
        </w:rPr>
        <w:t>Our goal is to provide our customers with a variety of products to address their entire indoor agriculture needs. Our core product offering includes our VFUs and Agrify Integrated Grow Racks with our Agrify Insights™ cultivation software, which are supplemented with environmental control products, grow lights, facility build-out services and extraction equipment.</w:t>
      </w:r>
    </w:p>
    <w:p>
      <w:pPr>
        <w:spacing w:after="0" w:line="178" w:lineRule="exact"/>
        <w:rPr>
          <w:sz w:val="20"/>
          <w:szCs w:val="20"/>
          <w:color w:val="auto"/>
        </w:rPr>
      </w:pPr>
    </w:p>
    <w:p>
      <w:pPr>
        <w:ind w:firstLine="298"/>
        <w:spacing w:after="0" w:line="301" w:lineRule="auto"/>
        <w:rPr>
          <w:sz w:val="20"/>
          <w:szCs w:val="20"/>
          <w:color w:val="auto"/>
        </w:rPr>
      </w:pPr>
      <w:r>
        <w:rPr>
          <w:rFonts w:ascii="Arial" w:cs="Arial" w:eastAsia="Arial" w:hAnsi="Arial"/>
          <w:sz w:val="15"/>
          <w:szCs w:val="15"/>
          <w:color w:val="auto"/>
        </w:rPr>
        <w:t>We continue to monitor and address the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45" w:lineRule="exact"/>
        <w:rPr>
          <w:sz w:val="20"/>
          <w:szCs w:val="20"/>
          <w:color w:val="auto"/>
        </w:rPr>
      </w:pPr>
    </w:p>
    <w:p>
      <w:pPr>
        <w:ind w:right="20" w:firstLine="298"/>
        <w:spacing w:after="0" w:line="288" w:lineRule="auto"/>
        <w:rPr>
          <w:sz w:val="20"/>
          <w:szCs w:val="20"/>
          <w:color w:val="auto"/>
        </w:rPr>
      </w:pPr>
      <w:r>
        <w:rPr>
          <w:rFonts w:ascii="Arial" w:cs="Arial" w:eastAsia="Arial" w:hAnsi="Arial"/>
          <w:sz w:val="15"/>
          <w:szCs w:val="15"/>
          <w:color w:val="auto"/>
        </w:rPr>
        <w:t>We generate revenue from sales of cultivation solutions, including ancillary products and services, Agrify Insights™ cultivation software,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cultivation software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breakdown of our revenue for the three and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7"/>
                <w:szCs w:val="17"/>
                <w:b w:val="1"/>
                <w:bCs w:val="1"/>
                <w:color w:val="auto"/>
                <w:w w:val="92"/>
              </w:rPr>
              <w:t>Three Months Ended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ind w:left="100"/>
              <w:spacing w:after="0"/>
              <w:rPr>
                <w:sz w:val="20"/>
                <w:szCs w:val="20"/>
                <w:color w:val="auto"/>
              </w:rPr>
            </w:pPr>
            <w:r>
              <w:rPr>
                <w:rFonts w:ascii="Arial" w:cs="Arial" w:eastAsia="Arial" w:hAnsi="Arial"/>
                <w:sz w:val="17"/>
                <w:szCs w:val="17"/>
                <w:b w:val="1"/>
                <w:bCs w:val="1"/>
                <w:color w:val="auto"/>
              </w:rPr>
              <w:t>Nine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ind w:left="30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3"/>
              <w:spacing w:after="0"/>
              <w:rPr>
                <w:sz w:val="20"/>
                <w:szCs w:val="20"/>
                <w:color w:val="auto"/>
              </w:rPr>
            </w:pPr>
            <w:r>
              <w:rPr>
                <w:rFonts w:ascii="Arial" w:cs="Arial" w:eastAsia="Arial" w:hAnsi="Arial"/>
                <w:sz w:val="17"/>
                <w:szCs w:val="17"/>
                <w:b w:val="1"/>
                <w:bCs w:val="1"/>
                <w:color w:val="auto"/>
                <w:w w:val="89"/>
              </w:rPr>
              <w:t>Change</w:t>
            </w:r>
          </w:p>
        </w:tc>
        <w:tc>
          <w:tcPr>
            <w:tcW w:w="1200" w:type="dxa"/>
            <w:vAlign w:val="bottom"/>
            <w:gridSpan w:val="2"/>
          </w:tcPr>
          <w:p>
            <w:pPr>
              <w:jc w:val="right"/>
              <w:ind w:right="297"/>
              <w:spacing w:after="0"/>
              <w:rPr>
                <w:sz w:val="20"/>
                <w:szCs w:val="20"/>
                <w:color w:val="auto"/>
              </w:rPr>
            </w:pPr>
            <w:r>
              <w:rPr>
                <w:rFonts w:ascii="Arial" w:cs="Arial" w:eastAsia="Arial" w:hAnsi="Arial"/>
                <w:sz w:val="17"/>
                <w:szCs w:val="17"/>
                <w:b w:val="1"/>
                <w:bCs w:val="1"/>
                <w:color w:val="auto"/>
                <w:w w:val="97"/>
              </w:rPr>
              <w:t>% Change</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89"/>
              </w:rPr>
              <w:t>Change</w:t>
            </w:r>
          </w:p>
        </w:tc>
        <w:tc>
          <w:tcPr>
            <w:tcW w:w="1080" w:type="dxa"/>
            <w:vAlign w:val="bottom"/>
            <w:gridSpan w:val="2"/>
          </w:tcPr>
          <w:p>
            <w:pPr>
              <w:jc w:val="right"/>
              <w:ind w:right="183"/>
              <w:spacing w:after="0"/>
              <w:rPr>
                <w:sz w:val="20"/>
                <w:szCs w:val="20"/>
                <w:color w:val="auto"/>
              </w:rPr>
            </w:pPr>
            <w:r>
              <w:rPr>
                <w:rFonts w:ascii="Arial" w:cs="Arial" w:eastAsia="Arial" w:hAnsi="Arial"/>
                <w:sz w:val="17"/>
                <w:szCs w:val="17"/>
                <w:b w:val="1"/>
                <w:bCs w:val="1"/>
                <w:color w:val="auto"/>
                <w:w w:val="97"/>
              </w:rPr>
              <w:t>% Change</w:t>
            </w:r>
          </w:p>
        </w:tc>
        <w:tc>
          <w:tcPr>
            <w:tcW w:w="0" w:type="dxa"/>
            <w:vAlign w:val="bottom"/>
          </w:tcPr>
          <w:p>
            <w:pPr>
              <w:spacing w:after="0"/>
              <w:rPr>
                <w:sz w:val="1"/>
                <w:szCs w:val="1"/>
                <w:color w:val="auto"/>
              </w:rPr>
            </w:pPr>
          </w:p>
        </w:tc>
      </w:tr>
      <w:tr>
        <w:trPr>
          <w:trHeight w:val="186"/>
        </w:trPr>
        <w:tc>
          <w:tcPr>
            <w:tcW w:w="21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w w:val="93"/>
              </w:rPr>
              <w:t>Cultivation solutions, including</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ancillary products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services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(2,752)</w:t>
            </w:r>
          </w:p>
        </w:tc>
        <w:tc>
          <w:tcPr>
            <w:tcW w:w="12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6"/>
        </w:trPr>
        <w:tc>
          <w:tcPr>
            <w:tcW w:w="2280" w:type="dxa"/>
            <w:vAlign w:val="bottom"/>
            <w:gridSpan w:val="2"/>
          </w:tcPr>
          <w:p>
            <w:pPr>
              <w:spacing w:after="0" w:line="186" w:lineRule="exact"/>
              <w:rPr>
                <w:sz w:val="20"/>
                <w:szCs w:val="20"/>
                <w:color w:val="auto"/>
              </w:rPr>
            </w:pPr>
            <w:r>
              <w:rPr>
                <w:rFonts w:ascii="Arial" w:cs="Arial" w:eastAsia="Arial" w:hAnsi="Arial"/>
                <w:sz w:val="17"/>
                <w:szCs w:val="17"/>
                <w:color w:val="auto"/>
              </w:rPr>
              <w:t>Agrify Insights™ cultivation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gridSpan w:val="2"/>
          </w:tcPr>
          <w:p>
            <w:pPr>
              <w:ind w:left="140"/>
              <w:spacing w:after="0"/>
              <w:rPr>
                <w:sz w:val="20"/>
                <w:szCs w:val="20"/>
                <w:color w:val="auto"/>
              </w:rPr>
            </w:pPr>
            <w:r>
              <w:rPr>
                <w:rFonts w:ascii="Arial" w:cs="Arial" w:eastAsia="Arial" w:hAnsi="Arial"/>
                <w:sz w:val="17"/>
                <w:szCs w:val="17"/>
                <w:color w:val="auto"/>
              </w:rPr>
              <w:t>software</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7"/>
                <w:szCs w:val="17"/>
                <w:color w:val="auto"/>
              </w:rPr>
              <w:t>1</w:t>
            </w:r>
          </w:p>
        </w:tc>
        <w:tc>
          <w:tcPr>
            <w:tcW w:w="1200" w:type="dxa"/>
            <w:vAlign w:val="bottom"/>
            <w:gridSpan w:val="2"/>
          </w:tcPr>
          <w:p>
            <w:pPr>
              <w:jc w:val="right"/>
              <w:ind w:right="77"/>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00"/>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Facility build-outs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12,995</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(11,661)</w:t>
            </w:r>
          </w:p>
        </w:tc>
        <w:tc>
          <w:tcPr>
            <w:tcW w:w="12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(90)%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23,551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Extraction solutions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5,680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7"/>
                <w:szCs w:val="17"/>
                <w:color w:val="auto"/>
              </w:rPr>
              <w:t>5,680</w:t>
            </w:r>
          </w:p>
        </w:tc>
        <w:tc>
          <w:tcPr>
            <w:tcW w:w="1200" w:type="dxa"/>
            <w:vAlign w:val="bottom"/>
            <w:gridSpan w:val="2"/>
          </w:tcPr>
          <w:p>
            <w:pPr>
              <w:jc w:val="right"/>
              <w:ind w:right="77"/>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28,065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28,065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228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900" w:type="dxa"/>
            <w:vAlign w:val="bottom"/>
            <w:shd w:val="clear" w:color="auto" w:fill="000000"/>
          </w:tcPr>
          <w:p>
            <w:pPr>
              <w:spacing w:after="0"/>
              <w:rPr>
                <w:sz w:val="2"/>
                <w:szCs w:val="2"/>
                <w:color w:val="auto"/>
              </w:rPr>
            </w:pPr>
          </w:p>
        </w:tc>
        <w:tc>
          <w:tcPr>
            <w:tcW w:w="3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6"/>
              </w:rPr>
              <w:t>)%</w:t>
            </w: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228"/>
        </w:trPr>
        <w:tc>
          <w:tcPr>
            <w:tcW w:w="2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7,019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15,751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(8,732</w:t>
            </w:r>
          </w:p>
        </w:tc>
        <w:tc>
          <w:tcPr>
            <w:tcW w:w="22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0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52,369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17,785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80" w:firstLine="298"/>
        <w:spacing w:after="0" w:line="283" w:lineRule="auto"/>
        <w:rPr>
          <w:sz w:val="20"/>
          <w:szCs w:val="20"/>
          <w:color w:val="auto"/>
        </w:rPr>
      </w:pPr>
      <w:r>
        <w:rPr>
          <w:rFonts w:ascii="Arial" w:cs="Arial" w:eastAsia="Arial" w:hAnsi="Arial"/>
          <w:sz w:val="15"/>
          <w:szCs w:val="15"/>
          <w:color w:val="auto"/>
        </w:rPr>
        <w:t>Revenues decreased by $8.7 million, or 55.4% for the three months ended September 30, 2022, as compared to the same period in 2021. The comparative decrease in revenue was primarily related to a reduction in facility build-outs of $11.7 million and a reduction in our cultivation solution sales of $2.8 million, partially offset by the sale of extraction solutions equipment and services from our acquisition of Lab Society in 2022 and the acquisitions of Precision, Cascade and PurePressure in 2021, which contributed $5.7 million in revenue for the three months ended September 30, 2022. The $11.7 million decrease in facility build-out revenue was the result of the completed build-out of two facilities under our TTK Solutions, the deferral of $5.3 million of revenue for the Bud &amp; Mary’s Cultivation, Inc. (“Bud &amp; Mary’s”) project due to pending litigation and a decrease in cultivation products and service sales of $2.8 million primarily due to migrating to a VFU leasing model. Additional information regarding Bud &amp; Mary’s pending litigation may be found in Note 6 – Loan Receivable and Note 20 – Subsequent Events, included elsewhere in the notes to the consolidated financial statements.</w:t>
      </w:r>
    </w:p>
    <w:p>
      <w:pPr>
        <w:spacing w:after="0" w:line="159"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Revenues increased by $17.8 million, or 51.4% for the nine months ended September 30, 2022, as compared to the same period in 2021. The comparative increase in revenue was generated primarily from extraction solutions sales of equipment and services from our acquisition of Lab Society in 2022 and the acquisitions of Precision, Cascade and PurePressure in 2021, which contributed $28.1 million in revenue for the nine months ended September 30, 2022. This was partially offset by a reduction of $6.9 million in facility build-out revenue resulting from the completed build-out of two facilities under our TTK Solutions which includes the deferral of $5.3 million of revenue resulting from Bud &amp; Mary’s pending litigation and a decrease in cultivation products and service sales of $3.4 million primarily due to migrating to a VFU leasing model.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201" w:lineRule="exact"/>
        <w:rPr>
          <w:sz w:val="20"/>
          <w:szCs w:val="20"/>
          <w:color w:val="auto"/>
        </w:rPr>
      </w:pPr>
    </w:p>
    <w:p>
      <w:pPr>
        <w:ind w:right="20" w:firstLine="298"/>
        <w:spacing w:after="0" w:line="252" w:lineRule="auto"/>
        <w:rPr>
          <w:sz w:val="20"/>
          <w:szCs w:val="20"/>
          <w:color w:val="auto"/>
        </w:rPr>
      </w:pPr>
      <w:r>
        <w:rPr>
          <w:rFonts w:ascii="Arial" w:cs="Arial" w:eastAsia="Arial" w:hAnsi="Arial"/>
          <w:sz w:val="17"/>
          <w:szCs w:val="17"/>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breakdown of our cost of goods sold for the three and nine months ended September 30, 2022 and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w w:val="91"/>
              </w:rPr>
              <w:t>Three Months Ended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5"/>
          </w:tcPr>
          <w:p>
            <w:pPr>
              <w:ind w:left="100"/>
              <w:spacing w:after="0"/>
              <w:rPr>
                <w:sz w:val="20"/>
                <w:szCs w:val="20"/>
                <w:color w:val="auto"/>
              </w:rPr>
            </w:pPr>
            <w:r>
              <w:rPr>
                <w:rFonts w:ascii="Arial" w:cs="Arial" w:eastAsia="Arial" w:hAnsi="Arial"/>
                <w:sz w:val="17"/>
                <w:szCs w:val="17"/>
                <w:b w:val="1"/>
                <w:bCs w:val="1"/>
                <w:color w:val="auto"/>
              </w:rPr>
              <w:t>Nine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320"/>
              <w:spacing w:after="0"/>
              <w:rPr>
                <w:sz w:val="20"/>
                <w:szCs w:val="20"/>
                <w:color w:val="auto"/>
              </w:rPr>
            </w:pPr>
            <w:r>
              <w:rPr>
                <w:rFonts w:ascii="Arial" w:cs="Arial" w:eastAsia="Arial" w:hAnsi="Arial"/>
                <w:sz w:val="17"/>
                <w:szCs w:val="17"/>
                <w:b w:val="1"/>
                <w:bCs w:val="1"/>
                <w:color w:val="auto"/>
              </w:rPr>
              <w:t>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3"/>
              <w:spacing w:after="0"/>
              <w:rPr>
                <w:sz w:val="20"/>
                <w:szCs w:val="20"/>
                <w:color w:val="auto"/>
              </w:rPr>
            </w:pPr>
            <w:r>
              <w:rPr>
                <w:rFonts w:ascii="Arial" w:cs="Arial" w:eastAsia="Arial" w:hAnsi="Arial"/>
                <w:sz w:val="17"/>
                <w:szCs w:val="17"/>
                <w:b w:val="1"/>
                <w:bCs w:val="1"/>
                <w:color w:val="auto"/>
                <w:w w:val="89"/>
              </w:rPr>
              <w:t>Change</w:t>
            </w:r>
          </w:p>
        </w:tc>
        <w:tc>
          <w:tcPr>
            <w:tcW w:w="1200" w:type="dxa"/>
            <w:vAlign w:val="bottom"/>
            <w:gridSpan w:val="2"/>
          </w:tcPr>
          <w:p>
            <w:pPr>
              <w:jc w:val="right"/>
              <w:ind w:right="297"/>
              <w:spacing w:after="0"/>
              <w:rPr>
                <w:sz w:val="20"/>
                <w:szCs w:val="20"/>
                <w:color w:val="auto"/>
              </w:rPr>
            </w:pPr>
            <w:r>
              <w:rPr>
                <w:rFonts w:ascii="Arial" w:cs="Arial" w:eastAsia="Arial" w:hAnsi="Arial"/>
                <w:sz w:val="17"/>
                <w:szCs w:val="17"/>
                <w:b w:val="1"/>
                <w:bCs w:val="1"/>
                <w:color w:val="auto"/>
                <w:w w:val="97"/>
              </w:rPr>
              <w:t>% Change</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89"/>
              </w:rPr>
              <w:t>Change</w:t>
            </w:r>
          </w:p>
        </w:tc>
        <w:tc>
          <w:tcPr>
            <w:tcW w:w="1080" w:type="dxa"/>
            <w:vAlign w:val="bottom"/>
            <w:gridSpan w:val="2"/>
          </w:tcPr>
          <w:p>
            <w:pPr>
              <w:jc w:val="right"/>
              <w:ind w:right="183"/>
              <w:spacing w:after="0"/>
              <w:rPr>
                <w:sz w:val="20"/>
                <w:szCs w:val="20"/>
                <w:color w:val="auto"/>
              </w:rPr>
            </w:pPr>
            <w:r>
              <w:rPr>
                <w:rFonts w:ascii="Arial" w:cs="Arial" w:eastAsia="Arial" w:hAnsi="Arial"/>
                <w:sz w:val="17"/>
                <w:szCs w:val="17"/>
                <w:b w:val="1"/>
                <w:bCs w:val="1"/>
                <w:color w:val="auto"/>
                <w:w w:val="97"/>
              </w:rPr>
              <w:t>% Change</w:t>
            </w:r>
          </w:p>
        </w:tc>
        <w:tc>
          <w:tcPr>
            <w:tcW w:w="0" w:type="dxa"/>
            <w:vAlign w:val="bottom"/>
          </w:tcPr>
          <w:p>
            <w:pPr>
              <w:spacing w:after="0"/>
              <w:rPr>
                <w:sz w:val="1"/>
                <w:szCs w:val="1"/>
                <w:color w:val="auto"/>
              </w:rPr>
            </w:pPr>
          </w:p>
        </w:tc>
      </w:tr>
      <w:tr>
        <w:trPr>
          <w:trHeight w:val="186"/>
        </w:trPr>
        <w:tc>
          <w:tcPr>
            <w:tcW w:w="21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w w:val="93"/>
              </w:rPr>
              <w:t>Cultivation solutions, including</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ancillary products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services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3,570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(2,998)</w:t>
            </w:r>
          </w:p>
        </w:tc>
        <w:tc>
          <w:tcPr>
            <w:tcW w:w="12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86"/>
        </w:trPr>
        <w:tc>
          <w:tcPr>
            <w:tcW w:w="2280" w:type="dxa"/>
            <w:vAlign w:val="bottom"/>
            <w:gridSpan w:val="2"/>
          </w:tcPr>
          <w:p>
            <w:pPr>
              <w:spacing w:after="0" w:line="186" w:lineRule="exact"/>
              <w:rPr>
                <w:sz w:val="20"/>
                <w:szCs w:val="20"/>
                <w:color w:val="auto"/>
              </w:rPr>
            </w:pPr>
            <w:r>
              <w:rPr>
                <w:rFonts w:ascii="Arial" w:cs="Arial" w:eastAsia="Arial" w:hAnsi="Arial"/>
                <w:sz w:val="17"/>
                <w:szCs w:val="17"/>
                <w:color w:val="auto"/>
              </w:rPr>
              <w:t>Agrify Insights™ cultivation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gridSpan w:val="2"/>
          </w:tcPr>
          <w:p>
            <w:pPr>
              <w:ind w:left="140"/>
              <w:spacing w:after="0"/>
              <w:rPr>
                <w:sz w:val="20"/>
                <w:szCs w:val="20"/>
                <w:color w:val="auto"/>
              </w:rPr>
            </w:pPr>
            <w:r>
              <w:rPr>
                <w:rFonts w:ascii="Arial" w:cs="Arial" w:eastAsia="Arial" w:hAnsi="Arial"/>
                <w:sz w:val="17"/>
                <w:szCs w:val="17"/>
                <w:color w:val="auto"/>
              </w:rPr>
              <w:t>software</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Facility build-outs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12,561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(6,132)</w:t>
            </w:r>
          </w:p>
        </w:tc>
        <w:tc>
          <w:tcPr>
            <w:tcW w:w="12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28,217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7"/>
                <w:szCs w:val="17"/>
                <w:color w:val="auto"/>
              </w:rPr>
              <w:t>Extraction solutions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7"/>
                <w:szCs w:val="17"/>
                <w:color w:val="auto"/>
              </w:rPr>
              <w:t>4,134</w:t>
            </w:r>
          </w:p>
        </w:tc>
        <w:tc>
          <w:tcPr>
            <w:tcW w:w="1200" w:type="dxa"/>
            <w:vAlign w:val="bottom"/>
            <w:gridSpan w:val="2"/>
          </w:tcPr>
          <w:p>
            <w:pPr>
              <w:jc w:val="right"/>
              <w:ind w:right="77"/>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20,174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20,174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228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Total cost of goods sold</w:t>
            </w: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900" w:type="dxa"/>
            <w:vAlign w:val="bottom"/>
            <w:shd w:val="clear" w:color="auto" w:fill="000000"/>
          </w:tcPr>
          <w:p>
            <w:pPr>
              <w:spacing w:after="0"/>
              <w:rPr>
                <w:sz w:val="2"/>
                <w:szCs w:val="2"/>
                <w:color w:val="auto"/>
              </w:rPr>
            </w:pPr>
          </w:p>
        </w:tc>
        <w:tc>
          <w:tcPr>
            <w:tcW w:w="3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6"/>
              </w:rPr>
              <w:t>)%</w:t>
            </w: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228"/>
        </w:trPr>
        <w:tc>
          <w:tcPr>
            <w:tcW w:w="22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16,131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(4,996</w:t>
            </w:r>
          </w:p>
        </w:tc>
        <w:tc>
          <w:tcPr>
            <w:tcW w:w="22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00" w:type="dxa"/>
            <w:vAlign w:val="bottom"/>
            <w:tcBorders>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50,703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15,726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Cost of goods sold decreased by $5.0 million, or 31%, for the three months ended September 30, 2022 as compared to the same period in 2021. The comparative quarterly decrease in the cost of goods sold is related to a decrease of $6.1 million related to costs for facility build-outs and a decrease of $3.0 million of costs for cultivation product and service sales. This was partially offset by an increase of $4.1 million in expenses associated with the sales of our extraction-related equipment, for which there was no associated revenue or expense in the prior year quarterly period. The cost of goods sold related to facility build-outs decreased disproportionately as compared to revenue in the period as we have included $5.1 million of facility build-out expenses related to the Bud &amp; Mary’s project for which revenue has been deferred in the period.</w:t>
      </w:r>
    </w:p>
    <w:p>
      <w:pPr>
        <w:spacing w:after="0" w:line="182" w:lineRule="exact"/>
        <w:rPr>
          <w:sz w:val="20"/>
          <w:szCs w:val="20"/>
          <w:color w:val="auto"/>
        </w:rPr>
      </w:pPr>
    </w:p>
    <w:p>
      <w:pPr>
        <w:ind w:right="20" w:firstLine="298"/>
        <w:spacing w:after="0" w:line="286" w:lineRule="auto"/>
        <w:rPr>
          <w:sz w:val="20"/>
          <w:szCs w:val="20"/>
          <w:color w:val="auto"/>
        </w:rPr>
      </w:pPr>
      <w:r>
        <w:rPr>
          <w:rFonts w:ascii="Arial" w:cs="Arial" w:eastAsia="Arial" w:hAnsi="Arial"/>
          <w:sz w:val="15"/>
          <w:szCs w:val="15"/>
          <w:color w:val="auto"/>
        </w:rPr>
        <w:t>Cost of goods sold increased by $15.7 million, or 45%, for the nine months ended September 30, 2022 compared to the same period in 2021. The comparative quarterly increase in the cost of goods sold is associated with the introduction of our extraction-related equipment sales in the year-to-date 2022 fiscal period. Costs associated with extraction equipment-related equipment sales accounted for $20.2 million of the comparative year-to-date fiscal 2022 increase in the cost of goods sold. This increase was partially offset by a decrease of $1.3 million in facility build-outs and a decrease of $3.1 million in cultivation product and service sales. The cost of goods sold related to facility build-outs decreased disproportionately as compared to revenue in the period as we have included $5.1 million of facility build-out expenses related to the Bud &amp; Mary’s project for which revenue has been deferred in the period.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3"/>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Gross (Loss) Profit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89"/>
              </w:rPr>
              <w:t>Three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10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87"/>
              </w:rPr>
              <w:t>September 30,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ind w:left="32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2"/>
              </w:rPr>
              <w:t>Change</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w w:val="97"/>
              </w:rPr>
              <w:t>% Change</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Change</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Change</w:t>
            </w:r>
          </w:p>
        </w:tc>
        <w:tc>
          <w:tcPr>
            <w:tcW w:w="180" w:type="dxa"/>
            <w:vAlign w:val="bottom"/>
            <w:tcBorders>
              <w:bottom w:val="single" w:sz="8" w:color="CCEEFF"/>
            </w:tcBorders>
          </w:tcPr>
          <w:p>
            <w:pPr>
              <w:spacing w:after="0"/>
              <w:rPr>
                <w:sz w:val="18"/>
                <w:szCs w:val="18"/>
                <w:color w:val="auto"/>
              </w:rPr>
            </w:pPr>
          </w:p>
        </w:tc>
      </w:tr>
      <w:tr>
        <w:trPr>
          <w:trHeight w:val="198"/>
        </w:trPr>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Gross (loss) profit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84"/>
              </w:rPr>
              <w:t>1,666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8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Gross loss totaled $(4.1) million, or (58.6)% of total revenue during the three months ended September 30, 2022 compared to a gross loss of $(380) thousand, or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(2.4)% of total revenue during the three months ended September 30, 2021. During the three months ended September 30, 2022, we realized a gross profit margin of 27%</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our extraction solutions revenue. The negative gross margin on the cultivation-related revenue is primarily related to $5.1 million of facility build-out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costs recognized for the Bud &amp; Mary’s project for which $5.3 million of revenue has been deferred due to pending litigation and $568 thousand of overhead expenses for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cultivation solutions expenses. This was partially offset by $1.5 million of contribution related to extraction solutions equipment and service sales from our acquisition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Lab Society in 2022 and the acquisitions of Precision, Cascade and PurePressure in 2021.</w:t>
      </w:r>
    </w:p>
    <w:p>
      <w:pPr>
        <w:spacing w:after="0" w:line="191" w:lineRule="exact"/>
        <w:rPr>
          <w:sz w:val="20"/>
          <w:szCs w:val="20"/>
          <w:color w:val="auto"/>
        </w:rPr>
      </w:pPr>
    </w:p>
    <w:p>
      <w:pPr>
        <w:ind w:right="60" w:firstLine="298"/>
        <w:spacing w:after="0" w:line="283" w:lineRule="auto"/>
        <w:rPr>
          <w:sz w:val="20"/>
          <w:szCs w:val="20"/>
          <w:color w:val="auto"/>
        </w:rPr>
      </w:pPr>
      <w:r>
        <w:rPr>
          <w:rFonts w:ascii="Arial" w:cs="Arial" w:eastAsia="Arial" w:hAnsi="Arial"/>
          <w:sz w:val="15"/>
          <w:szCs w:val="15"/>
          <w:color w:val="auto"/>
        </w:rPr>
        <w:t>Gross profit totaled $1.7 million, or 3.2% of total revenue during the nine months ended September 30, 2022 compared to a gross loss of $(393) thousand, or (1.1)% of total revenue during the nine months ended September 30, 2021. The comparative $2.1 million year-over-year improvement in gross profit, as well as the comparative improvement in gross profit margin, is primarily attributable to the introduction of our extraction solutions revenue during the first nine months of 2022. No extraction solutions-related revenues were recognized during the first nine months of 2021. Extraction solutions revenue contributes a higher gross profit and gross profit margins than those realized on our cultivation-related revenue, which includes our TTK Solutions build-out revenue. During the first nine months of 2022, we realized a gross profit margin of 28% associated with our extraction solutions revenue, while we realized a gross loss of approximately (26)% on our cultivation-related revenues. The negative gross margin on the cultivation-related revenue is primarily related to $5.1 million of facility build-out costs recognized for the Bud &amp; Mary’s project for which $5.3 million of revenue has been deferred due to pending litigation.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7"/>
                <w:szCs w:val="17"/>
                <w:b w:val="1"/>
                <w:bCs w:val="1"/>
                <w:color w:val="auto"/>
                <w:w w:val="89"/>
              </w:rPr>
              <w:t>Three Months Ended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Nine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7"/>
                <w:szCs w:val="17"/>
                <w:b w:val="1"/>
                <w:bCs w:val="1"/>
                <w:color w:val="auto"/>
                <w:w w:val="87"/>
              </w:rPr>
              <w:t>September 30,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7"/>
              </w:rPr>
              <w:t>September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2"/>
              </w:rPr>
              <w:t>Change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Change</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Change</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 Change</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213%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36,701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rPr>
                <w:sz w:val="20"/>
                <w:szCs w:val="20"/>
                <w:color w:val="auto"/>
              </w:rPr>
            </w:pPr>
            <w:r>
              <w:rPr>
                <w:rFonts w:ascii="Arial" w:cs="Arial" w:eastAsia="Arial" w:hAnsi="Arial"/>
                <w:sz w:val="17"/>
                <w:szCs w:val="17"/>
                <w:color w:val="auto"/>
              </w:rPr>
              <w:t>Selling and marketing</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890</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1,270</w:t>
            </w:r>
          </w:p>
        </w:tc>
        <w:tc>
          <w:tcPr>
            <w:tcW w:w="1260" w:type="dxa"/>
            <w:vAlign w:val="bottom"/>
            <w:gridSpan w:val="3"/>
          </w:tcPr>
          <w:p>
            <w:pPr>
              <w:jc w:val="right"/>
              <w:ind w:right="17"/>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6,582</w:t>
            </w: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4,294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920</w:t>
            </w:r>
          </w:p>
        </w:tc>
        <w:tc>
          <w:tcPr>
            <w:tcW w:w="1260" w:type="dxa"/>
            <w:vAlign w:val="bottom"/>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111%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6,269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186"/>
        </w:trPr>
        <w:tc>
          <w:tcPr>
            <w:tcW w:w="2300" w:type="dxa"/>
            <w:vAlign w:val="bottom"/>
            <w:gridSpan w:val="2"/>
          </w:tcPr>
          <w:p>
            <w:pPr>
              <w:spacing w:after="0" w:line="186" w:lineRule="exact"/>
              <w:rPr>
                <w:sz w:val="20"/>
                <w:szCs w:val="20"/>
                <w:color w:val="auto"/>
              </w:rPr>
            </w:pPr>
            <w:r>
              <w:rPr>
                <w:rFonts w:ascii="Arial" w:cs="Arial" w:eastAsia="Arial" w:hAnsi="Arial"/>
                <w:sz w:val="17"/>
                <w:szCs w:val="17"/>
                <w:color w:val="auto"/>
              </w:rPr>
              <w:t>Change in contingent</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00" w:type="dxa"/>
            <w:vAlign w:val="bottom"/>
            <w:gridSpan w:val="2"/>
          </w:tcPr>
          <w:p>
            <w:pPr>
              <w:ind w:left="140"/>
              <w:spacing w:after="0"/>
              <w:rPr>
                <w:sz w:val="20"/>
                <w:szCs w:val="20"/>
                <w:color w:val="auto"/>
              </w:rPr>
            </w:pPr>
            <w:r>
              <w:rPr>
                <w:rFonts w:ascii="Arial" w:cs="Arial" w:eastAsia="Arial" w:hAnsi="Arial"/>
                <w:sz w:val="17"/>
                <w:szCs w:val="17"/>
                <w:color w:val="auto"/>
              </w:rPr>
              <w:t>consideration</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(602)</w:t>
            </w: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(1,509)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(1,509)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8"/>
        </w:trPr>
        <w:tc>
          <w:tcPr>
            <w:tcW w:w="23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Impairment of goodwill and</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69,904</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69,904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gridSpan w:val="2"/>
            <w:vMerge w:val="restart"/>
          </w:tcPr>
          <w:p>
            <w:pPr>
              <w:ind w:left="1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7"/>
              <w:spacing w:after="0"/>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line="20" w:lineRule="exact"/>
              <w:rPr>
                <w:sz w:val="1"/>
                <w:szCs w:val="1"/>
                <w:color w:val="auto"/>
              </w:rPr>
            </w:pPr>
          </w:p>
        </w:tc>
      </w:tr>
      <w:tr>
        <w:trPr>
          <w:trHeight w:val="214"/>
        </w:trPr>
        <w:tc>
          <w:tcPr>
            <w:tcW w:w="2300" w:type="dxa"/>
            <w:vAlign w:val="bottom"/>
            <w:gridSpan w:val="2"/>
            <w:vMerge w:val="continue"/>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27,431</w:t>
            </w:r>
          </w:p>
        </w:tc>
        <w:tc>
          <w:tcPr>
            <w:tcW w:w="140" w:type="dxa"/>
            <w:vAlign w:val="bottom"/>
          </w:tcPr>
          <w:p>
            <w:pPr>
              <w:spacing w:after="0"/>
              <w:rPr>
                <w:sz w:val="18"/>
                <w:szCs w:val="18"/>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9,422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18,009</w:t>
            </w:r>
          </w:p>
        </w:tc>
        <w:tc>
          <w:tcPr>
            <w:tcW w:w="1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191</w:t>
            </w:r>
          </w:p>
        </w:tc>
        <w:tc>
          <w:tcPr>
            <w:tcW w:w="240" w:type="dxa"/>
            <w:vAlign w:val="bottom"/>
            <w:vMerge w:val="continue"/>
          </w:tcPr>
          <w:p>
            <w:pPr>
              <w:spacing w:after="0"/>
              <w:rPr>
                <w:sz w:val="18"/>
                <w:szCs w:val="18"/>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134,509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21,333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113,176</w:t>
            </w:r>
          </w:p>
        </w:tc>
        <w:tc>
          <w:tcPr>
            <w:tcW w:w="900" w:type="dxa"/>
            <w:vAlign w:val="bottom"/>
          </w:tcPr>
          <w:p>
            <w:pPr>
              <w:jc w:val="right"/>
              <w:spacing w:after="0"/>
              <w:rPr>
                <w:sz w:val="20"/>
                <w:szCs w:val="20"/>
                <w:color w:val="auto"/>
              </w:rPr>
            </w:pPr>
            <w:r>
              <w:rPr>
                <w:rFonts w:ascii="Arial" w:cs="Arial" w:eastAsia="Arial" w:hAnsi="Arial"/>
                <w:sz w:val="17"/>
                <w:szCs w:val="17"/>
                <w:color w:val="auto"/>
              </w:rPr>
              <w:t>531</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7"/>
                <w:szCs w:val="17"/>
                <w:color w:val="auto"/>
              </w:rPr>
              <w:t>75</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i w:val="1"/>
          <w:iCs w:val="1"/>
          <w:color w:val="auto"/>
        </w:rPr>
        <w:t>General and administrative</w:t>
      </w:r>
    </w:p>
    <w:p>
      <w:pPr>
        <w:spacing w:after="0" w:line="201" w:lineRule="exact"/>
        <w:rPr>
          <w:sz w:val="20"/>
          <w:szCs w:val="20"/>
          <w:color w:val="auto"/>
        </w:rPr>
      </w:pPr>
    </w:p>
    <w:p>
      <w:pPr>
        <w:ind w:right="460" w:firstLine="298"/>
        <w:spacing w:after="0" w:line="252" w:lineRule="auto"/>
        <w:rPr>
          <w:sz w:val="20"/>
          <w:szCs w:val="20"/>
          <w:color w:val="auto"/>
        </w:rPr>
      </w:pPr>
      <w:r>
        <w:rPr>
          <w:rFonts w:ascii="Arial" w:cs="Arial" w:eastAsia="Arial" w:hAnsi="Arial"/>
          <w:sz w:val="17"/>
          <w:szCs w:val="17"/>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8" w:lineRule="exact"/>
        <w:rPr>
          <w:sz w:val="20"/>
          <w:szCs w:val="20"/>
          <w:color w:val="auto"/>
        </w:rPr>
      </w:pPr>
    </w:p>
    <w:p>
      <w:pPr>
        <w:ind w:right="120" w:firstLine="298"/>
        <w:spacing w:after="0" w:line="286" w:lineRule="auto"/>
        <w:rPr>
          <w:sz w:val="20"/>
          <w:szCs w:val="20"/>
          <w:color w:val="auto"/>
        </w:rPr>
      </w:pPr>
      <w:r>
        <w:rPr>
          <w:rFonts w:ascii="Arial" w:cs="Arial" w:eastAsia="Arial" w:hAnsi="Arial"/>
          <w:sz w:val="15"/>
          <w:szCs w:val="15"/>
          <w:color w:val="auto"/>
        </w:rPr>
        <w:t>G&amp;A expense increased by $16.4 million, or 213%, for the three months ended September 30, 2022, compared to the same period in 2021. The primary drivers of the increase in comparative G&amp;A expense in the third quarter of 2022 is largely the result of a $14.7 million increase in loan receivable allowances recorded during the quarter, a $1.4 million increase in payroll and employee-related expenses, a $597 thousand increase in subscription, facilities and other expenses, an increase of $151 thousand of investor related and compliance expenses and an additional $1.9 million of G&amp;A expenses related to our acquisition of Lab Society in 2022 and the acquisitions of Precision, Cascade and PurePressure in 2021. These expenses were partially offset by a decrease of $2.4 million in consulting expenses that were related to a one-time financing arrangement cancellation fee in September 2021.</w:t>
      </w:r>
    </w:p>
    <w:p>
      <w:pPr>
        <w:spacing w:after="0" w:line="156" w:lineRule="exact"/>
        <w:rPr>
          <w:sz w:val="20"/>
          <w:szCs w:val="20"/>
          <w:color w:val="auto"/>
        </w:rPr>
      </w:pPr>
    </w:p>
    <w:p>
      <w:pPr>
        <w:ind w:right="140" w:firstLine="298"/>
        <w:spacing w:after="0" w:line="252" w:lineRule="auto"/>
        <w:rPr>
          <w:sz w:val="20"/>
          <w:szCs w:val="20"/>
          <w:color w:val="auto"/>
        </w:rPr>
      </w:pPr>
      <w:r>
        <w:rPr>
          <w:rFonts w:ascii="Arial" w:cs="Arial" w:eastAsia="Arial" w:hAnsi="Arial"/>
          <w:sz w:val="17"/>
          <w:szCs w:val="17"/>
          <w:color w:val="auto"/>
        </w:rPr>
        <w:t>During the third quarter of 2022, we increased our loans receivable reserve by approximately $14.7 million. We deemed it necessary to fully reserve Bud &amp; Mary’s loan receivable balance due to the current litigation and the uncertainty of the customer’s ability to repay the outstanding balance. We believe the litigation is without merit and will continue to vigorously defend ourselves.</w:t>
      </w:r>
    </w:p>
    <w:p>
      <w:pPr>
        <w:spacing w:after="0" w:line="178" w:lineRule="exact"/>
        <w:rPr>
          <w:sz w:val="20"/>
          <w:szCs w:val="20"/>
          <w:color w:val="auto"/>
        </w:rPr>
      </w:pPr>
    </w:p>
    <w:p>
      <w:pPr>
        <w:ind w:firstLine="298"/>
        <w:spacing w:after="0" w:line="286" w:lineRule="auto"/>
        <w:rPr>
          <w:sz w:val="20"/>
          <w:szCs w:val="20"/>
          <w:color w:val="auto"/>
        </w:rPr>
      </w:pPr>
      <w:r>
        <w:rPr>
          <w:rFonts w:ascii="Arial" w:cs="Arial" w:eastAsia="Arial" w:hAnsi="Arial"/>
          <w:sz w:val="15"/>
          <w:szCs w:val="15"/>
          <w:color w:val="auto"/>
        </w:rPr>
        <w:t>G&amp;A expense increased by $36.7 million, or 222%, for the nine months ended September 30, 2022, compared to the same period in 2021. The primary drivers of the year-over-year increase in the comparative nine-month period of G&amp;A expenses are largely attributable to an increase in trade and loan receivable allowances of $23.7 million and $8.8 million of incremental G&amp;A expenses related to our acquisition of Lab Society in 2022 and the acquisitions of Precision, Cascade and PurePressure in 2021. Other drivers of the comparative year-over-year increase in G&amp;A expense included $1.3 million related to legal and accounting services associated with our acquisition of Lab Society in 2022 and acquisitions of Precision, Cascade and PurePressure in 2021, $1.8 million in employee-related expenses, $1.1 million of severance expenses, $800 thousand legal settlement and $389 thousand of other operating expenses.</w:t>
      </w:r>
    </w:p>
    <w:p>
      <w:pPr>
        <w:spacing w:after="0" w:line="156" w:lineRule="exact"/>
        <w:rPr>
          <w:sz w:val="20"/>
          <w:szCs w:val="20"/>
          <w:color w:val="auto"/>
        </w:rPr>
      </w:pPr>
    </w:p>
    <w:p>
      <w:pPr>
        <w:ind w:right="60" w:firstLine="298"/>
        <w:spacing w:after="0" w:line="282" w:lineRule="auto"/>
        <w:rPr>
          <w:sz w:val="20"/>
          <w:szCs w:val="20"/>
          <w:color w:val="auto"/>
        </w:rPr>
      </w:pPr>
      <w:r>
        <w:rPr>
          <w:rFonts w:ascii="Arial" w:cs="Arial" w:eastAsia="Arial" w:hAnsi="Arial"/>
          <w:sz w:val="15"/>
          <w:szCs w:val="15"/>
          <w:color w:val="auto"/>
        </w:rPr>
        <w:t>During the second and third quarter of 2022, we increased our loan receivable reserve by approximately $7.1 million and $14.7 million, respectively. The $7.1 million increase during the second quarter of 2022, is specifically related to Greenstone Holdings (“Greenstone”). We specifically established the loan reserve related to Greenstone based on our review of Greenstone’s financial stability, which would impact collectability and is primarily the result of unfavorable market conditions within the Colorado market. We will continue to monitor the operations of Greenstone in an effort to collect all outstanding receivables but due to the uncertain nature of Greenstone’s business at this time we have made the decision to place a reserve against the loan receivable amounts. Additional information regarding recent developments with Greenstone may be found in Note 6 – Loan Receivable, included elsewhere in the notes to the consolidated financial statements. The $14.7 million increase during the third quarter of 2022, specifically related to Bud &amp; Mary’s. We deemed it necessary to fully reserve Bud &amp; Mary’s loan receivable balance due to the current litigation and the uncertainty of the customer’s ability to repay the outstanding balance. We believe the litigation is without merit and will continue to vigorously defend ourselves.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Selling and marketing expenses consist primarily of salaries and related costs of personnel, travel expenses, trade shows and advertising expenses.</w:t>
      </w:r>
    </w:p>
    <w:p>
      <w:pPr>
        <w:spacing w:after="0" w:line="224" w:lineRule="exact"/>
        <w:rPr>
          <w:sz w:val="20"/>
          <w:szCs w:val="20"/>
          <w:color w:val="auto"/>
        </w:rPr>
      </w:pPr>
    </w:p>
    <w:p>
      <w:pPr>
        <w:ind w:right="120" w:firstLine="298"/>
        <w:spacing w:after="0" w:line="301" w:lineRule="auto"/>
        <w:rPr>
          <w:sz w:val="20"/>
          <w:szCs w:val="20"/>
          <w:color w:val="auto"/>
        </w:rPr>
      </w:pPr>
      <w:r>
        <w:rPr>
          <w:rFonts w:ascii="Arial" w:cs="Arial" w:eastAsia="Arial" w:hAnsi="Arial"/>
          <w:sz w:val="15"/>
          <w:szCs w:val="15"/>
          <w:color w:val="auto"/>
        </w:rPr>
        <w:t>Selling and marketing expenses increased by $1.3 million, or 143%, for the three months ended September 30, 2022, compared to the same period in 2021. The increase is attributable to our acquisition of Lab Society in 2022 and the acquisitions of Precision, Cascade and PurePressure in 2021, which contributed $972 thousand, an increase in payroll and employee-related expenses of $163 thousand and an increase in advertising and trade show expenses of $147 thousand.</w:t>
      </w:r>
    </w:p>
    <w:p>
      <w:pPr>
        <w:spacing w:after="0" w:line="145" w:lineRule="exact"/>
        <w:rPr>
          <w:sz w:val="20"/>
          <w:szCs w:val="20"/>
          <w:color w:val="auto"/>
        </w:rPr>
      </w:pPr>
    </w:p>
    <w:p>
      <w:pPr>
        <w:ind w:firstLine="298"/>
        <w:spacing w:after="0" w:line="301" w:lineRule="auto"/>
        <w:rPr>
          <w:sz w:val="20"/>
          <w:szCs w:val="20"/>
          <w:color w:val="auto"/>
        </w:rPr>
      </w:pPr>
      <w:r>
        <w:rPr>
          <w:rFonts w:ascii="Arial" w:cs="Arial" w:eastAsia="Arial" w:hAnsi="Arial"/>
          <w:sz w:val="15"/>
          <w:szCs w:val="15"/>
          <w:color w:val="auto"/>
        </w:rPr>
        <w:t>Selling and marketing expenses increased by $4.3 million, or 188%, for the nine months ended September 30, 2022, compared to the same period in 2021. The increase is primarily related to our acquisition of Lab Society in 2022 and the acquisitions of Precision, Cascade, and PurePressure in 2021, which attributed $3.2 million, an increase in payroll, severance, and related expenses of $540 thousand and an increase in advertising, trade shows and other expenses of $539 thousand.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i w:val="1"/>
          <w:iCs w:val="1"/>
          <w:color w:val="auto"/>
        </w:rPr>
        <w:t>Research and development</w:t>
      </w:r>
    </w:p>
    <w:p>
      <w:pPr>
        <w:spacing w:after="0" w:line="201" w:lineRule="exact"/>
        <w:rPr>
          <w:sz w:val="20"/>
          <w:szCs w:val="20"/>
          <w:color w:val="auto"/>
        </w:rPr>
      </w:pPr>
    </w:p>
    <w:p>
      <w:pPr>
        <w:ind w:right="440" w:firstLine="298"/>
        <w:spacing w:after="0" w:line="260" w:lineRule="auto"/>
        <w:rPr>
          <w:sz w:val="20"/>
          <w:szCs w:val="20"/>
          <w:color w:val="auto"/>
        </w:rPr>
      </w:pPr>
      <w:r>
        <w:rPr>
          <w:rFonts w:ascii="Arial" w:cs="Arial" w:eastAsia="Arial" w:hAnsi="Arial"/>
          <w:sz w:val="17"/>
          <w:szCs w:val="17"/>
          <w:color w:val="auto"/>
        </w:rPr>
        <w:t>Research and development (“R&amp;D”) expense consisted primarily of costs incurred for the development of our Agrify Insights™ cultivation software and next-generation generation VFUs, which includes:</w:t>
      </w:r>
    </w:p>
    <w:p>
      <w:pPr>
        <w:spacing w:after="0" w:line="172" w:lineRule="exact"/>
        <w:rPr>
          <w:sz w:val="20"/>
          <w:szCs w:val="20"/>
          <w:color w:val="auto"/>
        </w:rPr>
      </w:pPr>
    </w:p>
    <w:p>
      <w:pPr>
        <w:ind w:left="600" w:hanging="303"/>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travel;</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expenses incurred by the subcontractor under agreements to provide engineering work related to the development of our next-generation VFUs;</w:t>
      </w:r>
    </w:p>
    <w:p>
      <w:pPr>
        <w:spacing w:after="0" w:line="224" w:lineRule="exact"/>
        <w:rPr>
          <w:rFonts w:ascii="Arial" w:cs="Arial" w:eastAsia="Arial" w:hAnsi="Arial"/>
          <w:sz w:val="15"/>
          <w:szCs w:val="15"/>
          <w:color w:val="auto"/>
        </w:rPr>
      </w:pPr>
    </w:p>
    <w:p>
      <w:pPr>
        <w:ind w:left="600" w:right="100" w:hanging="303"/>
        <w:spacing w:after="0" w:line="260"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expenses related to our facilities, depreciation, and other expenses, which include direct and allocated expenses for rent and maintenance of facilities, insurance and other supplies.</w:t>
      </w:r>
    </w:p>
    <w:p>
      <w:pPr>
        <w:spacing w:after="0" w:line="172" w:lineRule="exact"/>
        <w:rPr>
          <w:sz w:val="20"/>
          <w:szCs w:val="20"/>
          <w:color w:val="auto"/>
        </w:rPr>
      </w:pPr>
    </w:p>
    <w:p>
      <w:pPr>
        <w:ind w:firstLine="298"/>
        <w:spacing w:after="0" w:line="247" w:lineRule="auto"/>
        <w:rPr>
          <w:sz w:val="20"/>
          <w:szCs w:val="20"/>
          <w:color w:val="auto"/>
        </w:rPr>
      </w:pPr>
      <w:r>
        <w:rPr>
          <w:rFonts w:ascii="Arial" w:cs="Arial" w:eastAsia="Arial" w:hAnsi="Arial"/>
          <w:sz w:val="17"/>
          <w:szCs w:val="17"/>
          <w:color w:val="auto"/>
        </w:rPr>
        <w:t>R&amp;D expense increased by $920 thousand, or 111%, for the three months ended September 30, 2022, compared to the same period in 2021. The increase is primarily related to an increase in materials and other costs of $565 thousand and our acquisition of Lab Society in 2022 and the acquisitions of Precision, Cascade, and PurePressure in 2021, which contributed $470 thousand. These increases were partially offset by a decrease of $116 thousand in payroll and employee-related expenses. As a percentage of net revenue, R&amp;D expenses were 24.9% of total revenue for the three months ended September 30, 2022, compared to 5.3% for the three months ended September 30, 2021.</w:t>
      </w:r>
    </w:p>
    <w:p>
      <w:pPr>
        <w:spacing w:after="0" w:line="185" w:lineRule="exact"/>
        <w:rPr>
          <w:sz w:val="20"/>
          <w:szCs w:val="20"/>
          <w:color w:val="auto"/>
        </w:rPr>
      </w:pPr>
    </w:p>
    <w:p>
      <w:pPr>
        <w:ind w:right="100" w:firstLine="298"/>
        <w:spacing w:after="0" w:line="288" w:lineRule="auto"/>
        <w:rPr>
          <w:sz w:val="20"/>
          <w:szCs w:val="20"/>
          <w:color w:val="auto"/>
        </w:rPr>
      </w:pPr>
      <w:r>
        <w:rPr>
          <w:rFonts w:ascii="Arial" w:cs="Arial" w:eastAsia="Arial" w:hAnsi="Arial"/>
          <w:sz w:val="15"/>
          <w:szCs w:val="15"/>
          <w:color w:val="auto"/>
        </w:rPr>
        <w:t>R&amp;D expense increased by $3.8 million, or 152%, for the nine months ended September 30, 2022, compared to the same period in 2021. The comparative periodic increase in R&amp;D expense is attributable to third-party consulting services of $1.4 million, $1.2 million of incremental R&amp;D expense related to the acquisition of Lab Society in 2022 and the acquisitions of Precision, Cascade and PurePressure in 2021, increases in wages and benefits-related expenses of $684 thousand and an increase in materials, supplies and other expenses of $450 thousand. As a percentage of net revenue, R&amp;D expenses were 12.0% of total revenue for the nine months ended September 30, 2022, compared to 7.1% for the nine months ended September 30, 2021.</w:t>
      </w:r>
    </w:p>
    <w:p>
      <w:pPr>
        <w:spacing w:after="0" w:line="156" w:lineRule="exact"/>
        <w:rPr>
          <w:sz w:val="20"/>
          <w:szCs w:val="20"/>
          <w:color w:val="auto"/>
        </w:rPr>
      </w:pPr>
    </w:p>
    <w:p>
      <w:pPr>
        <w:ind w:right="240" w:firstLine="298"/>
        <w:spacing w:after="0" w:line="327" w:lineRule="auto"/>
        <w:rPr>
          <w:sz w:val="20"/>
          <w:szCs w:val="20"/>
          <w:color w:val="auto"/>
        </w:rPr>
      </w:pPr>
      <w:r>
        <w:rPr>
          <w:rFonts w:ascii="Arial" w:cs="Arial" w:eastAsia="Arial" w:hAnsi="Arial"/>
          <w:sz w:val="15"/>
          <w:szCs w:val="15"/>
          <w:color w:val="auto"/>
        </w:rPr>
        <w:t>We expect to continue to invest in future developments of our VFUs, Agrify Insights™ cultivation software and our extraction products. Although we continue to increase our investment in R&amp;D activities, we expect R&amp;D expenses to decrease as a percentage of revenue due to our revenue growth.</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contingent consideration</w:t>
      </w:r>
    </w:p>
    <w:p>
      <w:pPr>
        <w:spacing w:after="0" w:line="201" w:lineRule="exact"/>
        <w:rPr>
          <w:sz w:val="20"/>
          <w:szCs w:val="20"/>
          <w:color w:val="auto"/>
        </w:rPr>
      </w:pPr>
    </w:p>
    <w:p>
      <w:pPr>
        <w:ind w:right="140" w:firstLine="298"/>
        <w:spacing w:after="0" w:line="286" w:lineRule="auto"/>
        <w:rPr>
          <w:sz w:val="20"/>
          <w:szCs w:val="20"/>
          <w:color w:val="auto"/>
        </w:rPr>
      </w:pPr>
      <w:r>
        <w:rPr>
          <w:rFonts w:ascii="Arial" w:cs="Arial" w:eastAsia="Arial" w:hAnsi="Arial"/>
          <w:sz w:val="15"/>
          <w:szCs w:val="15"/>
          <w:color w:val="auto"/>
        </w:rPr>
        <w:t>Change in contingent consideration resulted in a gain of $602 thousand, or 100%, for the three months ended September 30, 2022, compared to the same periods in 2021. The change in contingent consideration, which was recognized by us during the third quarter of 2022, primarily relates to the reduction in the projected earn-out achievement associated with PurePressure’s first twelve-month earn-out period, for which current revenue projections are trending below our original earn-out achievement fair value estimates. During the third quarter of 2022, we reduced the current fair value estimate of contingent consideration to be earned by the former members of PurePressure by approximately $602 thousand. As per the guidelines of ASC805, we are required to record subsequent changes to our original fair value estimates related to contingent consideration as an operating expense in the period of change and not as an increase to goodwill.</w:t>
      </w:r>
    </w:p>
    <w:p>
      <w:pPr>
        <w:spacing w:after="0" w:line="156" w:lineRule="exact"/>
        <w:rPr>
          <w:sz w:val="20"/>
          <w:szCs w:val="20"/>
          <w:color w:val="auto"/>
        </w:rPr>
      </w:pPr>
    </w:p>
    <w:p>
      <w:pPr>
        <w:ind w:firstLine="298"/>
        <w:spacing w:after="0" w:line="283" w:lineRule="auto"/>
        <w:rPr>
          <w:sz w:val="20"/>
          <w:szCs w:val="20"/>
          <w:color w:val="auto"/>
        </w:rPr>
      </w:pPr>
      <w:r>
        <w:rPr>
          <w:rFonts w:ascii="Arial" w:cs="Arial" w:eastAsia="Arial" w:hAnsi="Arial"/>
          <w:sz w:val="15"/>
          <w:szCs w:val="15"/>
          <w:color w:val="auto"/>
        </w:rPr>
        <w:t>Change in contingent consideration resulted in a gain of $1.5 million, or 100%, for the nine months ended September 30, 2022, compared to the same periods in 2021. The change in contingent consideration, which was recognized by us during the second and third quarter of 2022, primarily relates to the reduction in the projected earn-out achievement associated with Lab Society’s and PurePressure’s first twelve-month earn-out period, for which current revenue projections are trending below our original earn-out achievement fair value estimates. During the second quarter of 2022, we reduced the current fair value estimate of contingent consideration to be earned by the former members of Lab Society by approximately $1.0 million. During the third quarter of 2022, we reduced the current fair value estimate of contingent consideration to be earned by the former members of PurePressure by approximately $602 thousand. This was partially offset by an increase of $121 thousand to the final contingent consideration amount earned by the former members of Precision and Cascade. As per the guidelines of ASC805, we are required to record subsequent changes to our original fair value estimates related to contingent consideration as an operating expense in the period of change and not as an increase to goodwill.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Impairment of goodwill and intangible assets</w:t>
      </w:r>
    </w:p>
    <w:p>
      <w:pPr>
        <w:spacing w:after="0" w:line="201" w:lineRule="exact"/>
        <w:rPr>
          <w:sz w:val="20"/>
          <w:szCs w:val="20"/>
          <w:color w:val="auto"/>
        </w:rPr>
      </w:pPr>
    </w:p>
    <w:p>
      <w:pPr>
        <w:ind w:firstLine="298"/>
        <w:spacing w:after="0" w:line="252" w:lineRule="auto"/>
        <w:rPr>
          <w:sz w:val="20"/>
          <w:szCs w:val="20"/>
          <w:color w:val="auto"/>
        </w:rPr>
      </w:pPr>
      <w:r>
        <w:rPr>
          <w:rFonts w:ascii="Arial" w:cs="Arial" w:eastAsia="Arial" w:hAnsi="Arial"/>
          <w:sz w:val="17"/>
          <w:szCs w:val="17"/>
          <w:color w:val="auto"/>
        </w:rPr>
        <w:t>During the three months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its long-lived assets and accordingly performed interim testing as of June 30, 2022.</w:t>
      </w:r>
    </w:p>
    <w:p>
      <w:pPr>
        <w:spacing w:after="0" w:line="178" w:lineRule="exact"/>
        <w:rPr>
          <w:sz w:val="20"/>
          <w:szCs w:val="20"/>
          <w:color w:val="auto"/>
        </w:rPr>
      </w:pPr>
    </w:p>
    <w:p>
      <w:pPr>
        <w:jc w:val="both"/>
        <w:ind w:right="120" w:firstLine="298"/>
        <w:spacing w:after="0" w:line="293" w:lineRule="auto"/>
        <w:rPr>
          <w:sz w:val="20"/>
          <w:szCs w:val="20"/>
          <w:color w:val="auto"/>
        </w:rPr>
      </w:pPr>
      <w:r>
        <w:rPr>
          <w:rFonts w:ascii="Arial" w:cs="Arial" w:eastAsia="Arial" w:hAnsi="Arial"/>
          <w:sz w:val="15"/>
          <w:szCs w:val="15"/>
          <w:color w:val="auto"/>
        </w:rPr>
        <w:t>Based on its interim testing, we noted that the current carrying value of equity significantly exceeded the calculated fair value equity, by an amount greater than the aggregate value of our goodwill and intangible assets. Accordingly, we concluded that the entire carrying value of its goodwill and intangible assets should be impaired, resulting in a second-quarter impairment charge of $69.9 million. Additional information regarding our interim testing on goodwill may be found in Note 8 – Goodwill and Intangible Assets, Net, included elsewhere in the notes to the consolidated financial statements.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40" w:type="dxa"/>
            <w:vAlign w:val="bottom"/>
            <w:gridSpan w:val="2"/>
          </w:tcPr>
          <w:p>
            <w:pPr>
              <w:spacing w:after="0"/>
              <w:rPr>
                <w:sz w:val="20"/>
                <w:szCs w:val="20"/>
                <w:color w:val="auto"/>
              </w:rPr>
            </w:pPr>
            <w:r>
              <w:rPr>
                <w:rFonts w:ascii="Arial" w:cs="Arial" w:eastAsia="Arial" w:hAnsi="Arial"/>
                <w:sz w:val="17"/>
                <w:szCs w:val="17"/>
                <w:b w:val="1"/>
                <w:bCs w:val="1"/>
                <w:i w:val="1"/>
                <w:iCs w:val="1"/>
                <w:color w:val="auto"/>
                <w:w w:val="95"/>
              </w:rPr>
              <w:t>Other Income (Expense), Net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82"/>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Arial" w:cs="Arial" w:eastAsia="Arial" w:hAnsi="Arial"/>
                <w:sz w:val="17"/>
                <w:szCs w:val="17"/>
                <w:b w:val="1"/>
                <w:bCs w:val="1"/>
                <w:color w:val="auto"/>
                <w:w w:val="92"/>
              </w:rPr>
              <w:t>Three Months Ended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7"/>
                <w:szCs w:val="17"/>
                <w:b w:val="1"/>
                <w:bCs w:val="1"/>
                <w:color w:val="auto"/>
                <w:w w:val="95"/>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4"/>
          </w:tcPr>
          <w:p>
            <w:pPr>
              <w:jc w:val="right"/>
              <w:ind w:right="183"/>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2"/>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8"/>
              <w:spacing w:after="0" w:line="182" w:lineRule="exact"/>
              <w:rPr>
                <w:sz w:val="20"/>
                <w:szCs w:val="20"/>
                <w:color w:val="auto"/>
              </w:rPr>
            </w:pPr>
            <w:r>
              <w:rPr>
                <w:rFonts w:ascii="Arial" w:cs="Arial" w:eastAsia="Arial" w:hAnsi="Arial"/>
                <w:sz w:val="17"/>
                <w:szCs w:val="17"/>
                <w:b w:val="1"/>
                <w:bCs w:val="1"/>
                <w:color w:val="auto"/>
              </w:rPr>
              <w:t>2022</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7"/>
              <w:spacing w:after="0" w:line="182"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0"/>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6"/>
              </w:rPr>
              <w:t>(As Restated)</w:t>
            </w:r>
          </w:p>
        </w:tc>
        <w:tc>
          <w:tcPr>
            <w:tcW w:w="70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89"/>
              </w:rPr>
              <w:t>Change</w:t>
            </w:r>
          </w:p>
        </w:tc>
        <w:tc>
          <w:tcPr>
            <w:tcW w:w="1140" w:type="dxa"/>
            <w:vAlign w:val="bottom"/>
            <w:gridSpan w:val="2"/>
          </w:tcPr>
          <w:p>
            <w:pPr>
              <w:jc w:val="right"/>
              <w:ind w:right="237"/>
              <w:spacing w:after="0"/>
              <w:rPr>
                <w:sz w:val="20"/>
                <w:szCs w:val="20"/>
                <w:color w:val="auto"/>
              </w:rPr>
            </w:pPr>
            <w:r>
              <w:rPr>
                <w:rFonts w:ascii="Arial" w:cs="Arial" w:eastAsia="Arial" w:hAnsi="Arial"/>
                <w:sz w:val="17"/>
                <w:szCs w:val="17"/>
                <w:b w:val="1"/>
                <w:bCs w:val="1"/>
                <w:color w:val="auto"/>
                <w:w w:val="97"/>
              </w:rPr>
              <w:t>% Change</w:t>
            </w:r>
          </w:p>
        </w:tc>
        <w:tc>
          <w:tcPr>
            <w:tcW w:w="1220" w:type="dxa"/>
            <w:vAlign w:val="bottom"/>
            <w:gridSpan w:val="4"/>
          </w:tcPr>
          <w:p>
            <w:pPr>
              <w:ind w:left="60"/>
              <w:spacing w:after="0"/>
              <w:rPr>
                <w:sz w:val="20"/>
                <w:szCs w:val="20"/>
                <w:color w:val="auto"/>
              </w:rPr>
            </w:pPr>
            <w:r>
              <w:rPr>
                <w:rFonts w:ascii="Arial" w:cs="Arial" w:eastAsia="Arial" w:hAnsi="Arial"/>
                <w:sz w:val="17"/>
                <w:szCs w:val="17"/>
                <w:b w:val="1"/>
                <w:bCs w:val="1"/>
                <w:color w:val="auto"/>
              </w:rPr>
              <w:t>(As Restated)</w:t>
            </w:r>
          </w:p>
        </w:tc>
        <w:tc>
          <w:tcPr>
            <w:tcW w:w="18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89"/>
              </w:rPr>
              <w:t>Change</w:t>
            </w:r>
          </w:p>
        </w:tc>
        <w:tc>
          <w:tcPr>
            <w:tcW w:w="1080" w:type="dxa"/>
            <w:vAlign w:val="bottom"/>
            <w:gridSpan w:val="2"/>
          </w:tcPr>
          <w:p>
            <w:pPr>
              <w:jc w:val="right"/>
              <w:ind w:right="177"/>
              <w:spacing w:after="0"/>
              <w:rPr>
                <w:sz w:val="20"/>
                <w:szCs w:val="20"/>
                <w:color w:val="auto"/>
              </w:rPr>
            </w:pPr>
            <w:r>
              <w:rPr>
                <w:rFonts w:ascii="Arial" w:cs="Arial" w:eastAsia="Arial" w:hAnsi="Arial"/>
                <w:sz w:val="17"/>
                <w:szCs w:val="17"/>
                <w:b w:val="1"/>
                <w:bCs w:val="1"/>
                <w:color w:val="auto"/>
                <w:w w:val="97"/>
              </w:rPr>
              <w:t>% Change</w:t>
            </w:r>
          </w:p>
        </w:tc>
      </w:tr>
      <w:tr>
        <w:trPr>
          <w:trHeight w:val="198"/>
        </w:trPr>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Interest (expense) income, net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(7,472)</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8"/>
        </w:trPr>
        <w:tc>
          <w:tcPr>
            <w:tcW w:w="2240" w:type="dxa"/>
            <w:vAlign w:val="bottom"/>
            <w:gridSpan w:val="2"/>
          </w:tcPr>
          <w:p>
            <w:pPr>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(15)</w:t>
            </w: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1,521</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(10,140)%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1,506</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1,584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(2,031)%</w:t>
            </w:r>
          </w:p>
        </w:tc>
      </w:tr>
      <w:tr>
        <w:trPr>
          <w:trHeight w:val="186"/>
        </w:trPr>
        <w:tc>
          <w:tcPr>
            <w:tcW w:w="224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w w:val="95"/>
              </w:rPr>
              <w:t>Change in fair value of warrant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1"/>
        </w:trPr>
        <w:tc>
          <w:tcPr>
            <w:tcW w:w="2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liability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16,268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16,268</w:t>
            </w:r>
          </w:p>
        </w:tc>
        <w:tc>
          <w:tcPr>
            <w:tcW w:w="114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47,234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47,234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186"/>
        </w:trPr>
        <w:tc>
          <w:tcPr>
            <w:tcW w:w="2240" w:type="dxa"/>
            <w:vAlign w:val="bottom"/>
            <w:gridSpan w:val="2"/>
          </w:tcPr>
          <w:p>
            <w:pPr>
              <w:spacing w:after="0" w:line="186" w:lineRule="exact"/>
              <w:rPr>
                <w:sz w:val="20"/>
                <w:szCs w:val="20"/>
                <w:color w:val="auto"/>
              </w:rPr>
            </w:pPr>
            <w:r>
              <w:rPr>
                <w:rFonts w:ascii="Arial" w:cs="Arial" w:eastAsia="Arial" w:hAnsi="Arial"/>
                <w:sz w:val="17"/>
                <w:szCs w:val="17"/>
                <w:color w:val="auto"/>
                <w:w w:val="97"/>
              </w:rPr>
              <w:t>(Loss) gain on extinguishment</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2240" w:type="dxa"/>
            <w:vAlign w:val="bottom"/>
            <w:gridSpan w:val="2"/>
          </w:tcPr>
          <w:p>
            <w:pPr>
              <w:ind w:left="140"/>
              <w:spacing w:after="0"/>
              <w:rPr>
                <w:sz w:val="20"/>
                <w:szCs w:val="20"/>
                <w:color w:val="auto"/>
              </w:rPr>
            </w:pPr>
            <w:r>
              <w:rPr>
                <w:rFonts w:ascii="Arial" w:cs="Arial" w:eastAsia="Arial" w:hAnsi="Arial"/>
                <w:sz w:val="17"/>
                <w:szCs w:val="17"/>
                <w:color w:val="auto"/>
              </w:rPr>
              <w:t>of notes payable</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(38,985)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(38,985)</w:t>
            </w:r>
          </w:p>
        </w:tc>
        <w:tc>
          <w:tcPr>
            <w:tcW w:w="1140" w:type="dxa"/>
            <w:vAlign w:val="bottom"/>
            <w:gridSpan w:val="2"/>
          </w:tcPr>
          <w:p>
            <w:pPr>
              <w:jc w:val="right"/>
              <w:ind w:right="37"/>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(38,985)</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(41,670)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(1,552)%</w:t>
            </w:r>
          </w:p>
        </w:tc>
      </w:tr>
      <w:tr>
        <w:trPr>
          <w:trHeight w:val="174"/>
        </w:trPr>
        <w:tc>
          <w:tcPr>
            <w:tcW w:w="2240" w:type="dxa"/>
            <w:vAlign w:val="bottom"/>
            <w:tcBorders>
              <w:top w:val="single" w:sz="8" w:color="CCEEFF"/>
            </w:tcBorders>
            <w:gridSpan w:val="2"/>
            <w:shd w:val="clear" w:color="auto" w:fill="CCEEFF"/>
          </w:tcPr>
          <w:p>
            <w:pPr>
              <w:ind w:left="140"/>
              <w:spacing w:after="0" w:line="174" w:lineRule="exact"/>
              <w:rPr>
                <w:sz w:val="20"/>
                <w:szCs w:val="20"/>
                <w:color w:val="auto"/>
              </w:rPr>
            </w:pPr>
            <w:r>
              <w:rPr>
                <w:rFonts w:ascii="Arial" w:cs="Arial" w:eastAsia="Arial" w:hAnsi="Arial"/>
                <w:sz w:val="17"/>
                <w:szCs w:val="17"/>
                <w:color w:val="auto"/>
                <w:w w:val="92"/>
              </w:rPr>
              <w:t>Total other (expense) income,</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53"/>
        </w:trPr>
        <w:tc>
          <w:tcPr>
            <w:tcW w:w="22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net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247" w:lineRule="exact"/>
              <w:rPr>
                <w:sz w:val="20"/>
                <w:szCs w:val="20"/>
                <w:color w:val="auto"/>
              </w:rPr>
            </w:pPr>
            <w:r>
              <w:rPr>
                <w:rFonts w:ascii="Arial" w:cs="Arial" w:eastAsia="Arial" w:hAnsi="Arial"/>
                <w:sz w:val="15"/>
                <w:szCs w:val="15"/>
                <w:color w:val="auto"/>
              </w:rPr>
              <w:t>(25,865</w:t>
            </w:r>
            <w:r>
              <w:rPr>
                <w:rFonts w:ascii="Arial" w:cs="Arial" w:eastAsia="Arial" w:hAnsi="Arial"/>
                <w:sz w:val="28"/>
                <w:szCs w:val="28"/>
                <w:color w:val="auto"/>
                <w:vertAlign w:val="superscript"/>
              </w:rPr>
              <w:t>)</w:t>
            </w:r>
          </w:p>
        </w:tc>
        <w:tc>
          <w:tcPr>
            <w:tcW w:w="700" w:type="dxa"/>
            <w:vAlign w:val="bottom"/>
            <w:gridSpan w:val="2"/>
            <w:shd w:val="clear" w:color="auto" w:fill="CCEEFF"/>
          </w:tcPr>
          <w:p>
            <w:pPr>
              <w:jc w:val="right"/>
              <w:ind w:right="44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line="247" w:lineRule="exact"/>
              <w:rPr>
                <w:sz w:val="20"/>
                <w:szCs w:val="20"/>
                <w:color w:val="auto"/>
              </w:rPr>
            </w:pPr>
            <w:r>
              <w:rPr>
                <w:rFonts w:ascii="Arial" w:cs="Arial" w:eastAsia="Arial" w:hAnsi="Arial"/>
                <w:sz w:val="15"/>
                <w:szCs w:val="15"/>
                <w:color w:val="auto"/>
              </w:rPr>
              <w:t>(25,895</w:t>
            </w:r>
            <w:r>
              <w:rPr>
                <w:rFonts w:ascii="Arial" w:cs="Arial" w:eastAsia="Arial" w:hAnsi="Arial"/>
                <w:sz w:val="28"/>
                <w:szCs w:val="28"/>
                <w:color w:val="auto"/>
                <w:vertAlign w:val="superscript"/>
              </w:rPr>
              <w:t>)</w:t>
            </w:r>
          </w:p>
        </w:tc>
        <w:tc>
          <w:tcPr>
            <w:tcW w:w="1140" w:type="dxa"/>
            <w:vAlign w:val="bottom"/>
            <w:gridSpan w:val="2"/>
            <w:shd w:val="clear" w:color="auto" w:fill="CCEEFF"/>
          </w:tcPr>
          <w:p>
            <w:pPr>
              <w:jc w:val="right"/>
              <w:spacing w:after="0" w:line="247" w:lineRule="exact"/>
              <w:rPr>
                <w:sz w:val="20"/>
                <w:szCs w:val="20"/>
                <w:color w:val="auto"/>
              </w:rPr>
            </w:pPr>
            <w:r>
              <w:rPr>
                <w:rFonts w:ascii="Arial" w:cs="Arial" w:eastAsia="Arial" w:hAnsi="Arial"/>
                <w:sz w:val="15"/>
                <w:szCs w:val="15"/>
                <w:color w:val="auto"/>
              </w:rPr>
              <w:t>(86,317</w:t>
            </w:r>
            <w:r>
              <w:rPr>
                <w:rFonts w:ascii="Arial" w:cs="Arial" w:eastAsia="Arial" w:hAnsi="Arial"/>
                <w:sz w:val="28"/>
                <w:szCs w:val="28"/>
                <w:color w:val="auto"/>
                <w:vertAlign w:val="superscript"/>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line="247" w:lineRule="exact"/>
              <w:rPr>
                <w:sz w:val="20"/>
                <w:szCs w:val="20"/>
                <w:color w:val="auto"/>
              </w:rPr>
            </w:pPr>
            <w:r>
              <w:rPr>
                <w:rFonts w:ascii="Arial" w:cs="Arial" w:eastAsia="Arial" w:hAnsi="Arial"/>
                <w:sz w:val="15"/>
                <w:szCs w:val="15"/>
                <w:color w:val="auto"/>
              </w:rPr>
              <w:t>(324</w:t>
            </w:r>
            <w:r>
              <w:rPr>
                <w:rFonts w:ascii="Arial" w:cs="Arial" w:eastAsia="Arial" w:hAnsi="Arial"/>
                <w:sz w:val="28"/>
                <w:szCs w:val="28"/>
                <w:color w:val="auto"/>
                <w:vertAlign w:val="superscript"/>
              </w:rPr>
              <w:t>)</w:t>
            </w:r>
          </w:p>
        </w:tc>
        <w:tc>
          <w:tcPr>
            <w:tcW w:w="1080" w:type="dxa"/>
            <w:vAlign w:val="bottom"/>
            <w:gridSpan w:val="2"/>
            <w:shd w:val="clear" w:color="auto" w:fill="CCEEFF"/>
          </w:tcPr>
          <w:p>
            <w:pPr>
              <w:jc w:val="right"/>
              <w:spacing w:after="0" w:line="247" w:lineRule="exact"/>
              <w:rPr>
                <w:sz w:val="20"/>
                <w:szCs w:val="20"/>
                <w:color w:val="auto"/>
              </w:rPr>
            </w:pPr>
            <w:r>
              <w:rPr>
                <w:rFonts w:ascii="Arial" w:cs="Arial" w:eastAsia="Arial" w:hAnsi="Arial"/>
                <w:sz w:val="15"/>
                <w:szCs w:val="15"/>
                <w:color w:val="auto"/>
              </w:rPr>
              <w:t>(12</w:t>
            </w:r>
            <w:r>
              <w:rPr>
                <w:rFonts w:ascii="Arial" w:cs="Arial" w:eastAsia="Arial" w:hAnsi="Arial"/>
                <w:sz w:val="28"/>
                <w:szCs w:val="28"/>
                <w:color w:val="auto"/>
                <w:vertAlign w:val="superscript"/>
              </w:rPr>
              <w:t>)%</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income, net</w:t>
      </w:r>
    </w:p>
    <w:p>
      <w:pPr>
        <w:spacing w:after="0" w:line="201" w:lineRule="exact"/>
        <w:rPr>
          <w:sz w:val="20"/>
          <w:szCs w:val="20"/>
          <w:color w:val="auto"/>
        </w:rPr>
      </w:pPr>
    </w:p>
    <w:p>
      <w:pPr>
        <w:ind w:right="320" w:firstLine="298"/>
        <w:spacing w:after="0" w:line="293" w:lineRule="auto"/>
        <w:rPr>
          <w:sz w:val="20"/>
          <w:szCs w:val="20"/>
          <w:color w:val="auto"/>
        </w:rPr>
      </w:pPr>
      <w:r>
        <w:rPr>
          <w:rFonts w:ascii="Arial" w:cs="Arial" w:eastAsia="Arial" w:hAnsi="Arial"/>
          <w:sz w:val="15"/>
          <w:szCs w:val="15"/>
          <w:color w:val="auto"/>
        </w:rPr>
        <w:t>Interest expense increased by $4.7 million, or 10,442%, for the three months ended September 30, 2022 compared to the same period in 2021. The increase in interest expense primarily is attributable to an increase in interest expense, including the amortization of debt discount costs associated with the outstanding principal balance of our existing debt facility, plus incremental pre-payment penalty interest incurred in connection with the modification of our debt facility, of $4.7 million related to our SPA Note and Exchange Note. This was partially offset by interest income of approximately $100 thousand from our TTK Solutions.</w:t>
      </w:r>
    </w:p>
    <w:p>
      <w:pPr>
        <w:spacing w:after="0" w:line="150"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Interest expense increased by $7.5 million, or 10,988%, for the nine months ended September 30, 2022 compared to the same period in 2021. The increase in interest expense primarily is attributable to an increase in interest expense, including the amortization of debt discount costs associated with the outstanding principal balance of our existing debt facility, plus incremental pre-payment penalty interest incurred in connection with the modification of our debt facility, of $8.8 million related to our SPA Note and Exchange Note. This was partially offset by interest income of approximately $1.2 million from our TTK Solutions.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color w:val="auto"/>
        </w:rPr>
        <w:t>Other income (expense)</w:t>
      </w:r>
    </w:p>
    <w:p>
      <w:pPr>
        <w:spacing w:after="0" w:line="201" w:lineRule="exact"/>
        <w:rPr>
          <w:sz w:val="20"/>
          <w:szCs w:val="20"/>
          <w:color w:val="auto"/>
        </w:rPr>
      </w:pPr>
    </w:p>
    <w:p>
      <w:pPr>
        <w:ind w:right="20" w:firstLine="298"/>
        <w:spacing w:after="0" w:line="301" w:lineRule="auto"/>
        <w:rPr>
          <w:sz w:val="20"/>
          <w:szCs w:val="20"/>
          <w:color w:val="auto"/>
        </w:rPr>
      </w:pPr>
      <w:r>
        <w:rPr>
          <w:rFonts w:ascii="Arial" w:cs="Arial" w:eastAsia="Arial" w:hAnsi="Arial"/>
          <w:sz w:val="15"/>
          <w:szCs w:val="15"/>
          <w:color w:val="auto"/>
        </w:rPr>
        <w:t>Other income increased by $1.5 million, or 10,140%, for the three months ended September 30, 2022 compared to the same period in 2021. The increase in other income primarily is attributable to the finalization and favorable true-up of previously estimated acquisition-related net working capital amounts related to the acquisition of Lab Society in 2022 and the acquisitions of Precision, Cascade and PurePressure in 2021 of $1.5 million. This partially was offset by other expense-related items.</w:t>
      </w:r>
    </w:p>
    <w:p>
      <w:pPr>
        <w:spacing w:after="0" w:line="145" w:lineRule="exact"/>
        <w:rPr>
          <w:sz w:val="20"/>
          <w:szCs w:val="20"/>
          <w:color w:val="auto"/>
        </w:rPr>
      </w:pPr>
    </w:p>
    <w:p>
      <w:pPr>
        <w:ind w:right="20" w:firstLine="298"/>
        <w:spacing w:after="0" w:line="249" w:lineRule="auto"/>
        <w:rPr>
          <w:sz w:val="20"/>
          <w:szCs w:val="20"/>
          <w:color w:val="auto"/>
        </w:rPr>
      </w:pPr>
      <w:r>
        <w:rPr>
          <w:rFonts w:ascii="Arial" w:cs="Arial" w:eastAsia="Arial" w:hAnsi="Arial"/>
          <w:sz w:val="17"/>
          <w:szCs w:val="17"/>
          <w:color w:val="auto"/>
        </w:rPr>
        <w:t>Other expenses increased by $1.6 million, or 2,031%, for the nine months ended September 30, 2022 compared to the same period in 2021. The increase in other income primarily is attributable to the finalization and favorable true-up of previously estimated acquisition-related net working capital amounts related to the acquisition of Lab Society in 2022 and the acquisitions of Precision, Cascade and PurePressure in 2021 of $1.5 million. This partially was offset by other expense-related related items.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warrant liability</w:t>
      </w:r>
    </w:p>
    <w:p>
      <w:pPr>
        <w:spacing w:after="0" w:line="201" w:lineRule="exact"/>
        <w:rPr>
          <w:sz w:val="20"/>
          <w:szCs w:val="20"/>
          <w:color w:val="auto"/>
        </w:rPr>
      </w:pPr>
    </w:p>
    <w:p>
      <w:pPr>
        <w:ind w:right="120" w:firstLine="298"/>
        <w:spacing w:after="0" w:line="288" w:lineRule="auto"/>
        <w:rPr>
          <w:sz w:val="20"/>
          <w:szCs w:val="20"/>
          <w:color w:val="auto"/>
        </w:rPr>
      </w:pPr>
      <w:r>
        <w:rPr>
          <w:rFonts w:ascii="Arial" w:cs="Arial" w:eastAsia="Arial" w:hAnsi="Arial"/>
          <w:sz w:val="15"/>
          <w:szCs w:val="15"/>
          <w:color w:val="auto"/>
        </w:rPr>
        <w:t>Change in fair value of warrant liability increased by $16.3 million, or 100% for the three ended September 30, 2022, compared to $0 for the three months ended September 30, 2021. During the three months period ended September 30, 2022, we recorded a non-cash gain of $16.3 million related to changes in the valuation of our liability-classified warrants issued through a private placement associated with Warrant Liabilities, which was primarily driven by movements in our stock price. Additional information regarding the fair value of our liability-classified warrants issued through a private placement using a Black-Scholes option-pricing model that makes certain assumptions may be found in Note 5 – Fair Value Measures, included elsewhere in the notes to the consolidated financial statements.</w:t>
      </w:r>
    </w:p>
    <w:p>
      <w:pPr>
        <w:spacing w:after="0" w:line="156" w:lineRule="exact"/>
        <w:rPr>
          <w:sz w:val="20"/>
          <w:szCs w:val="20"/>
          <w:color w:val="auto"/>
        </w:rPr>
      </w:pPr>
    </w:p>
    <w:p>
      <w:pPr>
        <w:ind w:right="160" w:firstLine="298"/>
        <w:spacing w:after="0" w:line="288" w:lineRule="auto"/>
        <w:rPr>
          <w:sz w:val="20"/>
          <w:szCs w:val="20"/>
          <w:color w:val="auto"/>
        </w:rPr>
      </w:pPr>
      <w:r>
        <w:rPr>
          <w:rFonts w:ascii="Arial" w:cs="Arial" w:eastAsia="Arial" w:hAnsi="Arial"/>
          <w:sz w:val="15"/>
          <w:szCs w:val="15"/>
          <w:color w:val="auto"/>
        </w:rPr>
        <w:t>Change in fair value of warrant liability increased by $47.2 million, or 100% for the nine ended September 30, 2022, compared to $0 for the nine months ended September 30, 2021. During the nine months period ended September 30, 2022, we recorded a non-cash gain of $47.2 million related to changes in the valuation of our liability-classified warrants issued through a private placement associated with Warrant Liabilities, which was primarily driven by movements in our stock price. Additional information regarding the fair value of our liability-classified warrants issued through a private placement using a Black-Scholes option-pricing model that makes certain assumptions may be found in Note 5 – Fair Value Measures, included elsewhere in the notes to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gain on extinguishment of notes payable</w:t>
      </w:r>
    </w:p>
    <w:p>
      <w:pPr>
        <w:spacing w:after="0" w:line="201"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Loss on extinguishment of notes payable increased by $38.9 million, or 100%, for the three months ended September 30, 2022 compared to the same period in 2021. The loss on extinguishment of notes payable, which was recognized by us during the third quarter of 2022, relates to the extinguishment of the SPA Note dated March 14, 2022. We recognized a loss on extinguishment of $38.9 million (inclusive of $13.1 million of unamortized warrants, $5.0 million default penalty on the principal amount, $2.3 million of unamortized issuance costs and $1.2 million of the incremental fair value of warrants modified in exchange of debt). Additional information relating to our SPA Note may be found in Note 10 – Debt, included elsewhere in the notes to the consolidated financial statements.</w:t>
      </w:r>
    </w:p>
    <w:p>
      <w:pPr>
        <w:spacing w:after="0" w:line="156" w:lineRule="exact"/>
        <w:rPr>
          <w:sz w:val="20"/>
          <w:szCs w:val="20"/>
          <w:color w:val="auto"/>
        </w:rPr>
      </w:pPr>
    </w:p>
    <w:p>
      <w:pPr>
        <w:jc w:val="both"/>
        <w:ind w:right="360" w:firstLine="298"/>
        <w:spacing w:after="0" w:line="293" w:lineRule="auto"/>
        <w:rPr>
          <w:sz w:val="20"/>
          <w:szCs w:val="20"/>
          <w:color w:val="auto"/>
        </w:rPr>
      </w:pPr>
      <w:r>
        <w:rPr>
          <w:rFonts w:ascii="Arial" w:cs="Arial" w:eastAsia="Arial" w:hAnsi="Arial"/>
          <w:sz w:val="15"/>
          <w:szCs w:val="15"/>
          <w:color w:val="auto"/>
        </w:rPr>
        <w:t>Loss on extinguishment of notes payable increased by $41.7 million, or 1,552%, for the nine months ended September 30, 2022 compared to the same period in 2021. The loss on extinguishment of notes payable, which was recognized by us during the third quarter of 2022, relates to the extinguishment of the SPA Note. We recognized a loss on extinguishment of $42.3 million (inclusive of $13.1 million of unamortized warrants, $5.0 million default penalty on the principal amount, $2.3 million of unamortized issuance costs and $1.2 million of the incremental fair value of warrants modified in exchange of debt).</w:t>
      </w:r>
    </w:p>
    <w:p>
      <w:pPr>
        <w:spacing w:after="0" w:line="150" w:lineRule="exact"/>
        <w:rPr>
          <w:sz w:val="20"/>
          <w:szCs w:val="20"/>
          <w:color w:val="auto"/>
        </w:rPr>
      </w:pPr>
    </w:p>
    <w:p>
      <w:pPr>
        <w:ind w:right="100" w:firstLine="298"/>
        <w:spacing w:after="0" w:line="288" w:lineRule="auto"/>
        <w:rPr>
          <w:sz w:val="20"/>
          <w:szCs w:val="20"/>
          <w:color w:val="auto"/>
        </w:rPr>
      </w:pPr>
      <w:r>
        <w:rPr>
          <w:rFonts w:ascii="Arial" w:cs="Arial" w:eastAsia="Arial" w:hAnsi="Arial"/>
          <w:sz w:val="15"/>
          <w:szCs w:val="15"/>
          <w:color w:val="auto"/>
        </w:rPr>
        <w:t>This is compared to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 in the nine months ended September 30, 2021. Additional information relating to our gain on extinguishment of notes payable may be found in Note 12 – Convertible Promissory Notes, included elsewhere in the notes to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9"/>
        </w:trPr>
        <w:tc>
          <w:tcPr>
            <w:tcW w:w="22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Income Tax Benefit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2"/>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Nine Months Ended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6"/>
              </w:rPr>
              <w:t>September 30,</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w w:val="97"/>
              </w:rPr>
              <w:t>% Change</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Change</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w w:val="97"/>
              </w:rPr>
              <w:t>% Change</w:t>
            </w:r>
          </w:p>
        </w:tc>
        <w:tc>
          <w:tcPr>
            <w:tcW w:w="140" w:type="dxa"/>
            <w:vAlign w:val="bottom"/>
            <w:tcBorders>
              <w:bottom w:val="single" w:sz="8" w:color="CCEEFF"/>
            </w:tcBorders>
          </w:tcPr>
          <w:p>
            <w:pPr>
              <w:spacing w:after="0"/>
              <w:rPr>
                <w:sz w:val="18"/>
                <w:szCs w:val="18"/>
                <w:color w:val="auto"/>
              </w:rPr>
            </w:pPr>
          </w:p>
        </w:tc>
      </w:tr>
      <w:tr>
        <w:trPr>
          <w:trHeight w:val="198"/>
        </w:trPr>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2"/>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9"/>
        </w:trPr>
        <w:tc>
          <w:tcPr>
            <w:tcW w:w="2260" w:type="dxa"/>
            <w:vAlign w:val="bottom"/>
            <w:gridSpan w:val="2"/>
          </w:tcPr>
          <w:p>
            <w:pPr>
              <w:spacing w:after="0"/>
              <w:rPr>
                <w:sz w:val="20"/>
                <w:szCs w:val="20"/>
                <w:color w:val="auto"/>
              </w:rPr>
            </w:pPr>
            <w:r>
              <w:rPr>
                <w:rFonts w:ascii="Arial" w:cs="Arial" w:eastAsia="Arial" w:hAnsi="Arial"/>
                <w:sz w:val="17"/>
                <w:szCs w:val="17"/>
                <w:color w:val="auto"/>
              </w:rPr>
              <w:t>Effective tax rate</w:t>
            </w:r>
          </w:p>
        </w:tc>
        <w:tc>
          <w:tcPr>
            <w:tcW w:w="6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0.0%</w:t>
            </w:r>
          </w:p>
        </w:tc>
        <w:tc>
          <w:tcPr>
            <w:tcW w:w="6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0.2%</w:t>
            </w:r>
          </w:p>
        </w:tc>
        <w:tc>
          <w:tcPr>
            <w:tcW w:w="6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75" w:lineRule="exact"/>
        <w:rPr>
          <w:sz w:val="20"/>
          <w:szCs w:val="20"/>
          <w:color w:val="auto"/>
        </w:rPr>
      </w:pPr>
    </w:p>
    <w:p>
      <w:pPr>
        <w:ind w:right="320" w:firstLine="298"/>
        <w:spacing w:after="0" w:line="260" w:lineRule="auto"/>
        <w:rPr>
          <w:sz w:val="20"/>
          <w:szCs w:val="20"/>
          <w:color w:val="auto"/>
        </w:rPr>
      </w:pPr>
      <w:r>
        <w:rPr>
          <w:rFonts w:ascii="Arial" w:cs="Arial" w:eastAsia="Arial" w:hAnsi="Arial"/>
          <w:sz w:val="17"/>
          <w:szCs w:val="17"/>
          <w:color w:val="auto"/>
        </w:rPr>
        <w:t>The effective income tax rate was 0.0% for both the three months ended September 30, 2022 and 2021. The income tax benefit was $0 for both the three months ended September 30, 2022 and 2021.</w:t>
      </w:r>
    </w:p>
    <w:p>
      <w:pPr>
        <w:spacing w:after="0" w:line="172" w:lineRule="exact"/>
        <w:rPr>
          <w:sz w:val="20"/>
          <w:szCs w:val="20"/>
          <w:color w:val="auto"/>
        </w:rPr>
      </w:pPr>
    </w:p>
    <w:p>
      <w:pPr>
        <w:ind w:right="40" w:firstLine="298"/>
        <w:spacing w:after="0" w:line="293" w:lineRule="auto"/>
        <w:rPr>
          <w:sz w:val="20"/>
          <w:szCs w:val="20"/>
          <w:color w:val="auto"/>
        </w:rPr>
      </w:pPr>
      <w:r>
        <w:rPr>
          <w:rFonts w:ascii="Arial" w:cs="Arial" w:eastAsia="Arial" w:hAnsi="Arial"/>
          <w:sz w:val="15"/>
          <w:szCs w:val="15"/>
          <w:color w:val="auto"/>
        </w:rPr>
        <w:t>The change in the income tax benefit for the nine months ended September 30, 2022 compared to the nine months ended September 30, 2021 was primarily due to a discrete income tax benefit of approximately $200 thousand recorded during the first quarter of 2022, which is attributable to a non-recurring partial release of our U.S. valuation allowance as a result of the Lab Society acquisition. Additionally, as a result of the goodwill impairment charge recorded during the second quarter of 2022, we recognized a small benefit of approximately $62 thousand related to the reversal of our opening deferred tax liability on indefinite-lived assets.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(Loss) Attributable to Non-Controlling Interest</w:t>
      </w:r>
    </w:p>
    <w:p>
      <w:pPr>
        <w:spacing w:after="0" w:line="201" w:lineRule="exact"/>
        <w:rPr>
          <w:sz w:val="20"/>
          <w:szCs w:val="20"/>
          <w:color w:val="auto"/>
        </w:rPr>
      </w:pPr>
    </w:p>
    <w:p>
      <w:pPr>
        <w:ind w:right="100" w:firstLine="298"/>
        <w:spacing w:after="0" w:line="284" w:lineRule="auto"/>
        <w:rPr>
          <w:sz w:val="20"/>
          <w:szCs w:val="20"/>
          <w:color w:val="auto"/>
        </w:rPr>
      </w:pPr>
      <w:r>
        <w:rPr>
          <w:rFonts w:ascii="Arial" w:cs="Arial" w:eastAsia="Arial" w:hAnsi="Arial"/>
          <w:sz w:val="15"/>
          <w:szCs w:val="15"/>
          <w:color w:val="auto"/>
        </w:rPr>
        <w:t>We consolidate the results of operations of two less than wholly-owned entities into our consolidated statements of operations. On December 8, 2019, we formed Agrify-Valiant, LLC (“Agrify-Valiant”), a joint-venture limited liability company in which we are 60% majority owner and Valiant-America, LLC owns 40%. Agrify-Valiant started its operations during the second quarter of 2020. On October 27, 2022, we provided notice to Valiant-America, LLC of our intention to begin winding up of Agrify Valiant, LLC.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59" w:lineRule="exact"/>
        <w:rPr>
          <w:sz w:val="20"/>
          <w:szCs w:val="20"/>
          <w:color w:val="auto"/>
        </w:rPr>
      </w:pPr>
    </w:p>
    <w:p>
      <w:pPr>
        <w:ind w:firstLine="298"/>
        <w:spacing w:after="0" w:line="260" w:lineRule="auto"/>
        <w:rPr>
          <w:sz w:val="20"/>
          <w:szCs w:val="20"/>
          <w:color w:val="auto"/>
        </w:rPr>
      </w:pPr>
      <w:r>
        <w:rPr>
          <w:rFonts w:ascii="Arial" w:cs="Arial" w:eastAsia="Arial" w:hAnsi="Arial"/>
          <w:sz w:val="17"/>
          <w:szCs w:val="17"/>
          <w:color w:val="auto"/>
        </w:rPr>
        <w:t>Income (loss)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Capital Requirements</w:t>
      </w:r>
    </w:p>
    <w:p>
      <w:pPr>
        <w:spacing w:after="0" w:line="201" w:lineRule="exact"/>
        <w:rPr>
          <w:sz w:val="20"/>
          <w:szCs w:val="20"/>
          <w:color w:val="auto"/>
        </w:rPr>
      </w:pPr>
    </w:p>
    <w:p>
      <w:pPr>
        <w:ind w:right="100" w:firstLine="298"/>
        <w:spacing w:after="0" w:line="249" w:lineRule="auto"/>
        <w:rPr>
          <w:sz w:val="20"/>
          <w:szCs w:val="20"/>
          <w:color w:val="auto"/>
        </w:rPr>
      </w:pPr>
      <w:r>
        <w:rPr>
          <w:rFonts w:ascii="Arial" w:cs="Arial" w:eastAsia="Arial" w:hAnsi="Arial"/>
          <w:sz w:val="17"/>
          <w:szCs w:val="17"/>
          <w:color w:val="auto"/>
        </w:rPr>
        <w:t>We have incurred operating losses since our inception and have negative cash flows from operations. We have an accumulated deficit of $189.2 million as of September 30, 2022. Our primary sources of liquidity are cash and cash equivalents, with additional liquidity accessible, subject to market conditions and other factors, including limitations that may apply to us under applicable Securities Exchange Commission (“SEC”) regulations, from the capital markets, including under its (“ATM” or ATM Program”).</w:t>
      </w:r>
    </w:p>
    <w:p>
      <w:pPr>
        <w:spacing w:after="0" w:line="181" w:lineRule="exact"/>
        <w:rPr>
          <w:sz w:val="20"/>
          <w:szCs w:val="20"/>
          <w:color w:val="auto"/>
        </w:rPr>
      </w:pPr>
    </w:p>
    <w:p>
      <w:pPr>
        <w:ind w:right="240" w:firstLine="298"/>
        <w:spacing w:after="0" w:line="367" w:lineRule="auto"/>
        <w:rPr>
          <w:sz w:val="20"/>
          <w:szCs w:val="20"/>
          <w:color w:val="auto"/>
        </w:rPr>
      </w:pPr>
      <w:r>
        <w:rPr>
          <w:rFonts w:ascii="Arial" w:cs="Arial" w:eastAsia="Arial" w:hAnsi="Arial"/>
          <w:sz w:val="14"/>
          <w:szCs w:val="14"/>
          <w:color w:val="auto"/>
        </w:rPr>
        <w:t>As of September 30, 2022, we had $12.5 million of cash, cash equivalents, marketable securities and restricted cash. Our restricted cash and restricted marketable securities of $10.0 million is associated with the Exchange Note as of September 30, 2022. Current liabilities were $41.5 million as of September 30, 2022.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83" w:name="page84"/>
    <w:bookmarkEnd w:id="83"/>
    <w:p>
      <w:pPr>
        <w:ind w:right="80" w:firstLine="298"/>
        <w:spacing w:after="0" w:line="281" w:lineRule="auto"/>
        <w:rPr>
          <w:sz w:val="20"/>
          <w:szCs w:val="20"/>
          <w:color w:val="auto"/>
        </w:rPr>
      </w:pPr>
      <w:r>
        <w:rPr>
          <w:rFonts w:ascii="Arial" w:cs="Arial" w:eastAsia="Arial" w:hAnsi="Arial"/>
          <w:sz w:val="15"/>
          <w:szCs w:val="15"/>
          <w:color w:val="auto"/>
        </w:rPr>
        <w:t>In October 2022, we entered into the ATM Program with Canaccord Genuity LLC (the “Agent”) pursuant to which we may issue and sell, from time to time, shares of our Common Stock having an aggregate offering price of up to $50 million, depending on market demand, with the Agent acting as an agent for sales. The ATM Program allows us to sell shares of Common Stock pursuant to specific parameters defined by us as well as those defined by the SEC and the ATM Program agreement. Subsequent to the quarter ended September 30, 2022, as of November 7, 2022, we sold 306,633 shares of Common Stock, under the ATM at an average price of $50.80 per share, resulting in gross proceeds to us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We have used, and intend to continue to use, the net proceeds generated from the ATM Program for working capital and general corporate purposes, including repayment of indebtedness, funding its transformation initiatives and product category expansion efforts and capital expenditures. As of November 7, 2022, we had $34.4 million of remaining availability for future issuances of Common Stock under the ATM Program.</w:t>
      </w:r>
    </w:p>
    <w:p>
      <w:pPr>
        <w:spacing w:after="0" w:line="163" w:lineRule="exact"/>
        <w:rPr>
          <w:sz w:val="20"/>
          <w:szCs w:val="20"/>
          <w:color w:val="auto"/>
        </w:rPr>
      </w:pPr>
    </w:p>
    <w:p>
      <w:pPr>
        <w:ind w:firstLine="298"/>
        <w:spacing w:after="0" w:line="288" w:lineRule="auto"/>
        <w:rPr>
          <w:sz w:val="20"/>
          <w:szCs w:val="20"/>
          <w:color w:val="auto"/>
        </w:rPr>
      </w:pPr>
      <w:r>
        <w:rPr>
          <w:rFonts w:ascii="Arial" w:cs="Arial" w:eastAsia="Arial" w:hAnsi="Arial"/>
          <w:sz w:val="15"/>
          <w:szCs w:val="15"/>
          <w:color w:val="auto"/>
        </w:rPr>
        <w:t>We believe we have sufficient cash on hand to continue operations for the next six months. Our current working capital needs are to support revenue growth,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w:t>
      </w:r>
    </w:p>
    <w:p>
      <w:pPr>
        <w:spacing w:after="0" w:line="156" w:lineRule="exact"/>
        <w:rPr>
          <w:sz w:val="20"/>
          <w:szCs w:val="20"/>
          <w:color w:val="auto"/>
        </w:rPr>
      </w:pPr>
    </w:p>
    <w:p>
      <w:pPr>
        <w:ind w:right="120" w:firstLine="298"/>
        <w:spacing w:after="0" w:line="301" w:lineRule="auto"/>
        <w:rPr>
          <w:sz w:val="20"/>
          <w:szCs w:val="20"/>
          <w:color w:val="auto"/>
        </w:rPr>
      </w:pPr>
      <w:r>
        <w:rPr>
          <w:rFonts w:ascii="Arial" w:cs="Arial" w:eastAsia="Arial" w:hAnsi="Arial"/>
          <w:sz w:val="15"/>
          <w:szCs w:val="15"/>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45" w:lineRule="exact"/>
        <w:rPr>
          <w:sz w:val="20"/>
          <w:szCs w:val="20"/>
          <w:color w:val="auto"/>
        </w:rPr>
      </w:pPr>
    </w:p>
    <w:p>
      <w:pPr>
        <w:ind w:right="80" w:firstLine="298"/>
        <w:spacing w:after="0" w:line="249" w:lineRule="auto"/>
        <w:rPr>
          <w:sz w:val="20"/>
          <w:szCs w:val="20"/>
          <w:color w:val="auto"/>
        </w:rPr>
      </w:pPr>
      <w:r>
        <w:rPr>
          <w:rFonts w:ascii="Arial" w:cs="Arial" w:eastAsia="Arial" w:hAnsi="Arial"/>
          <w:sz w:val="17"/>
          <w:szCs w:val="17"/>
          <w:color w:val="auto"/>
        </w:rPr>
        <w:t>These financial statements have been prepared on a going concern basis, which implies we believe these conditions raise substantial doubt about our ability to continue as a going concern within the next twelve months from the date these financial statements are available to be issued. Our continuation as a going concern is dependent upon its ability to obtain the necessary debt or equity financing to continue operations until we begin generating sufficient cash flows from operations to meet its obligations.</w:t>
      </w:r>
    </w:p>
    <w:p>
      <w:pPr>
        <w:spacing w:after="0" w:line="181" w:lineRule="exact"/>
        <w:rPr>
          <w:sz w:val="20"/>
          <w:szCs w:val="20"/>
          <w:color w:val="auto"/>
        </w:rPr>
      </w:pPr>
    </w:p>
    <w:p>
      <w:pPr>
        <w:ind w:right="840" w:firstLine="298"/>
        <w:spacing w:after="0" w:line="367" w:lineRule="auto"/>
        <w:rPr>
          <w:sz w:val="20"/>
          <w:szCs w:val="20"/>
          <w:color w:val="auto"/>
        </w:rPr>
      </w:pPr>
      <w:r>
        <w:rPr>
          <w:rFonts w:ascii="Arial" w:cs="Arial" w:eastAsia="Arial" w:hAnsi="Arial"/>
          <w:sz w:val="14"/>
          <w:szCs w:val="14"/>
          <w:color w:val="auto"/>
        </w:rPr>
        <w:t>There is no assurance that we will ever be profitable. The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Indebtedness</w:t>
      </w:r>
    </w:p>
    <w:p>
      <w:pPr>
        <w:spacing w:after="0" w:line="205" w:lineRule="exact"/>
        <w:rPr>
          <w:sz w:val="20"/>
          <w:szCs w:val="20"/>
          <w:color w:val="auto"/>
        </w:rPr>
      </w:pPr>
    </w:p>
    <w:p>
      <w:pPr>
        <w:ind w:right="80" w:firstLine="298"/>
        <w:spacing w:after="0" w:line="247" w:lineRule="auto"/>
        <w:rPr>
          <w:sz w:val="20"/>
          <w:szCs w:val="20"/>
          <w:color w:val="auto"/>
        </w:rPr>
      </w:pPr>
      <w:r>
        <w:rPr>
          <w:rFonts w:ascii="Arial" w:cs="Arial" w:eastAsia="Arial" w:hAnsi="Arial"/>
          <w:sz w:val="17"/>
          <w:szCs w:val="17"/>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2" w:lineRule="exact"/>
        <w:rPr>
          <w:sz w:val="20"/>
          <w:szCs w:val="20"/>
          <w:color w:val="auto"/>
        </w:rPr>
      </w:pPr>
    </w:p>
    <w:p>
      <w:pPr>
        <w:jc w:val="both"/>
        <w:ind w:right="220" w:firstLine="298"/>
        <w:spacing w:after="0" w:line="301" w:lineRule="auto"/>
        <w:rPr>
          <w:sz w:val="20"/>
          <w:szCs w:val="20"/>
          <w:color w:val="auto"/>
        </w:rPr>
      </w:pPr>
      <w:r>
        <w:rPr>
          <w:rFonts w:ascii="Arial" w:cs="Arial" w:eastAsia="Arial" w:hAnsi="Arial"/>
          <w:sz w:val="15"/>
          <w:szCs w:val="15"/>
          <w:color w:val="auto"/>
        </w:rPr>
        <w:t>On March 14, 2022, we entered into a Securities Purchase Agreement with an institutional investor. The Purchase Agreement provides for the issuance of a senior secured note (the “SPA Note”) in the aggregate amount of $65 million and a warrant (the “SPA Warrant”) to purchase up to an aggregate of 34,406 shares of Common Stock, with the potential for two potential subsequent closings for notes with an original principal amount of $35 million each.</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84" w:name="page85"/>
    <w:bookmarkEnd w:id="84"/>
    <w:p>
      <w:pPr>
        <w:ind w:right="60" w:firstLine="298"/>
        <w:spacing w:after="0" w:line="293" w:lineRule="auto"/>
        <w:rPr>
          <w:sz w:val="20"/>
          <w:szCs w:val="20"/>
          <w:color w:val="auto"/>
        </w:rPr>
      </w:pPr>
      <w:r>
        <w:rPr>
          <w:rFonts w:ascii="Arial" w:cs="Arial" w:eastAsia="Arial" w:hAnsi="Arial"/>
          <w:sz w:val="15"/>
          <w:szCs w:val="15"/>
          <w:color w:val="auto"/>
        </w:rPr>
        <w:t>On August 18, 2022, we entered into a Securities Exchange Agreement. Pursuant to the Exchange Agreement, we have paid $35.2 million under the SPA Note and exchanged the remaining balance of the SPA Note for a new senior secured note (the “Exchange Note”) with an aggregate original principal amount of $35 million and a new warrant to purchase 71,142 shares of Common Stock (the “Note Exchange Warrant”). Additionally, we exchanged the SPA Warrant for a new warrant for the same number of underlying shares but with a reduced exercise price (the “Modified Warrant”).</w:t>
      </w:r>
    </w:p>
    <w:p>
      <w:pPr>
        <w:spacing w:after="0" w:line="150" w:lineRule="exact"/>
        <w:rPr>
          <w:sz w:val="20"/>
          <w:szCs w:val="20"/>
          <w:color w:val="auto"/>
        </w:rPr>
      </w:pPr>
    </w:p>
    <w:p>
      <w:pPr>
        <w:ind w:right="160" w:firstLine="298"/>
        <w:spacing w:after="0" w:line="293" w:lineRule="auto"/>
        <w:rPr>
          <w:sz w:val="20"/>
          <w:szCs w:val="20"/>
          <w:color w:val="auto"/>
        </w:rPr>
      </w:pPr>
      <w:r>
        <w:rPr>
          <w:rFonts w:ascii="Arial" w:cs="Arial" w:eastAsia="Arial" w:hAnsi="Arial"/>
          <w:sz w:val="15"/>
          <w:szCs w:val="15"/>
          <w:color w:val="auto"/>
        </w:rPr>
        <w:t>The Exchange Note is a senior secured obligation of us and ranks senior to all indebtedness of us.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us in connection with any equity financing, which will reduce the outstanding principal amount under the Exchange Note.</w:t>
      </w:r>
    </w:p>
    <w:p>
      <w:pPr>
        <w:spacing w:after="0" w:line="150"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At any time, we may prepay all of the Exchange Note by redemption at a price equal to 102.5% of the then-outstanding principal amount under the Note plus accrued but unpaid interest. The Investor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Statement of Cash Flows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presents the major components of net cash flows from and used in operating, investing, and financing activities for the nine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2021:</w:t>
      </w:r>
    </w:p>
    <w:p>
      <w:pPr>
        <w:sectPr>
          <w:pgSz w:w="11900" w:h="16838" w:orient="portrait"/>
          <w:cols w:equalWidth="0" w:num="1">
            <w:col w:w="11240"/>
          </w:cols>
          <w:pgMar w:left="320" w:top="822" w:right="3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543433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34330" cy="158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provided by: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257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Investing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43750" cy="141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Net increase in cash and cash equivalents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3"/>
          </w:tcPr>
          <w:p>
            <w:pPr>
              <w:jc w:val="right"/>
              <w:ind w:right="203"/>
              <w:spacing w:after="0"/>
              <w:rPr>
                <w:sz w:val="20"/>
                <w:szCs w:val="20"/>
                <w:color w:val="auto"/>
              </w:rPr>
            </w:pPr>
            <w:r>
              <w:rPr>
                <w:rFonts w:ascii="Arial" w:cs="Arial" w:eastAsia="Arial" w:hAnsi="Arial"/>
                <w:sz w:val="17"/>
                <w:szCs w:val="17"/>
                <w:b w:val="1"/>
                <w:bCs w:val="1"/>
                <w:color w:val="auto"/>
                <w:w w:val="89"/>
              </w:rPr>
              <w:t>September 30,</w:t>
            </w:r>
          </w:p>
        </w:tc>
        <w:tc>
          <w:tcPr>
            <w:tcW w:w="1180" w:type="dxa"/>
            <w:vAlign w:val="bottom"/>
            <w:gridSpan w:val="4"/>
          </w:tcPr>
          <w:p>
            <w:pPr>
              <w:jc w:val="right"/>
              <w:ind w:right="120"/>
              <w:spacing w:after="0"/>
              <w:rPr>
                <w:sz w:val="20"/>
                <w:szCs w:val="20"/>
                <w:color w:val="auto"/>
              </w:rPr>
            </w:pPr>
            <w:r>
              <w:rPr>
                <w:rFonts w:ascii="Arial" w:cs="Arial" w:eastAsia="Arial" w:hAnsi="Arial"/>
                <w:sz w:val="17"/>
                <w:szCs w:val="17"/>
                <w:b w:val="1"/>
                <w:bCs w:val="1"/>
                <w:color w:val="auto"/>
                <w:w w:val="89"/>
              </w:rPr>
              <w:t>September 30,</w:t>
            </w:r>
          </w:p>
        </w:tc>
      </w:tr>
      <w:tr>
        <w:trPr>
          <w:trHeight w:val="220"/>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84"/>
        </w:trPr>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3"/>
              <w:spacing w:after="0"/>
              <w:rPr>
                <w:sz w:val="20"/>
                <w:szCs w:val="20"/>
                <w:color w:val="auto"/>
              </w:rPr>
            </w:pPr>
            <w:r>
              <w:rPr>
                <w:rFonts w:ascii="Arial" w:cs="Arial" w:eastAsia="Arial" w:hAnsi="Arial"/>
                <w:sz w:val="17"/>
                <w:szCs w:val="17"/>
                <w:color w:val="auto"/>
              </w:rPr>
              <w:t>(58,020)</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(17,557)</w:t>
            </w:r>
          </w:p>
        </w:tc>
      </w:tr>
      <w:tr>
        <w:trPr>
          <w:trHeight w:val="209"/>
        </w:trPr>
        <w:tc>
          <w:tcPr>
            <w:tcW w:w="24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Arial" w:cs="Arial" w:eastAsia="Arial" w:hAnsi="Arial"/>
                <w:sz w:val="17"/>
                <w:szCs w:val="17"/>
                <w:color w:val="auto"/>
              </w:rPr>
              <w:t>(4,135)</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(84,683)</w:t>
            </w:r>
          </w:p>
        </w:tc>
      </w:tr>
      <w:tr>
        <w:trPr>
          <w:trHeight w:val="217"/>
        </w:trPr>
        <w:tc>
          <w:tcPr>
            <w:tcW w:w="240" w:type="dxa"/>
            <w:vAlign w:val="bottom"/>
          </w:tcPr>
          <w:p>
            <w:pPr>
              <w:spacing w:after="0"/>
              <w:rPr>
                <w:sz w:val="18"/>
                <w:szCs w:val="18"/>
                <w:color w:val="auto"/>
              </w:rPr>
            </w:pPr>
          </w:p>
        </w:tc>
        <w:tc>
          <w:tcPr>
            <w:tcW w:w="1100" w:type="dxa"/>
            <w:vAlign w:val="bottom"/>
            <w:gridSpan w:val="2"/>
          </w:tcPr>
          <w:p>
            <w:pPr>
              <w:jc w:val="right"/>
              <w:ind w:right="143"/>
              <w:spacing w:after="0"/>
              <w:rPr>
                <w:sz w:val="20"/>
                <w:szCs w:val="20"/>
                <w:color w:val="auto"/>
              </w:rPr>
            </w:pPr>
            <w:r>
              <w:rPr>
                <w:rFonts w:ascii="Arial" w:cs="Arial" w:eastAsia="Arial" w:hAnsi="Arial"/>
                <w:sz w:val="17"/>
                <w:szCs w:val="17"/>
                <w:color w:val="auto"/>
              </w:rPr>
              <w:t>52,292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138,875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(9,863</w:t>
            </w:r>
          </w:p>
        </w:tc>
        <w:tc>
          <w:tcPr>
            <w:tcW w:w="220" w:type="dxa"/>
            <w:vAlign w:val="bottom"/>
          </w:tcPr>
          <w:p>
            <w:pPr>
              <w:jc w:val="right"/>
              <w:ind w:right="8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36,635</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46" w:lineRule="exact"/>
        <w:rPr>
          <w:sz w:val="20"/>
          <w:szCs w:val="20"/>
          <w:color w:val="auto"/>
        </w:rPr>
      </w:pPr>
    </w:p>
    <w:p>
      <w:pPr>
        <w:sectPr>
          <w:pgSz w:w="11900" w:h="16838" w:orient="portrait"/>
          <w:cols w:equalWidth="0" w:num="2">
            <w:col w:w="7960" w:space="720"/>
            <w:col w:w="2560"/>
          </w:cols>
          <w:pgMar w:left="320" w:top="822" w:right="339" w:bottom="1440" w:gutter="0" w:footer="0" w:header="0"/>
          <w:type w:val="continuous"/>
        </w:sectPr>
      </w:pPr>
    </w:p>
    <w:p>
      <w:pPr>
        <w:spacing w:after="0" w:line="36" w:lineRule="exact"/>
        <w:rPr>
          <w:sz w:val="20"/>
          <w:szCs w:val="20"/>
          <w:color w:val="auto"/>
        </w:rPr>
      </w:pPr>
    </w:p>
    <w:p>
      <w:pPr>
        <w:ind w:right="80" w:firstLine="298"/>
        <w:spacing w:after="0" w:line="293" w:lineRule="auto"/>
        <w:rPr>
          <w:sz w:val="20"/>
          <w:szCs w:val="20"/>
          <w:color w:val="auto"/>
        </w:rPr>
      </w:pPr>
      <w:r>
        <w:rPr>
          <w:rFonts w:ascii="Arial" w:cs="Arial" w:eastAsia="Arial" w:hAnsi="Arial"/>
          <w:sz w:val="15"/>
          <w:szCs w:val="15"/>
          <w:color w:val="auto"/>
        </w:rPr>
        <w:t>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 Our primary uses of cash from our operating activities include payments for employee-related expenditures, payments for inventory due to increased demand forecasts, construction costs related to TTK Solutions, acquisition-related costs and the payment of other operating expenses incurred in the ordinary course of business.</w:t>
      </w:r>
    </w:p>
    <w:p>
      <w:pPr>
        <w:spacing w:after="0" w:line="150" w:lineRule="exact"/>
        <w:rPr>
          <w:sz w:val="20"/>
          <w:szCs w:val="20"/>
          <w:color w:val="auto"/>
        </w:rPr>
      </w:pPr>
    </w:p>
    <w:p>
      <w:pPr>
        <w:jc w:val="both"/>
        <w:ind w:right="440" w:firstLine="298"/>
        <w:spacing w:after="0" w:line="252" w:lineRule="auto"/>
        <w:rPr>
          <w:sz w:val="20"/>
          <w:szCs w:val="20"/>
          <w:color w:val="auto"/>
        </w:rPr>
      </w:pPr>
      <w:r>
        <w:rPr>
          <w:rFonts w:ascii="Arial" w:cs="Arial" w:eastAsia="Arial" w:hAnsi="Arial"/>
          <w:sz w:val="17"/>
          <w:szCs w:val="17"/>
          <w:color w:val="auto"/>
        </w:rPr>
        <w:t>Net cash used in operating activities increased from the nine months ended September 30, 2022 to the nine months ended September 30, 2021 primarily due to higher inventory purchases to meet demand, increased construction costs related to TTK Solutions, payments for employee-related expenditures and other working capital needs.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type w:val="continuous"/>
        </w:sectPr>
      </w:pPr>
    </w:p>
    <w:bookmarkStart w:id="85" w:name="page86"/>
    <w:bookmarkEnd w:id="85"/>
    <w:p>
      <w:pPr>
        <w:ind w:left="300"/>
        <w:spacing w:after="0"/>
        <w:rPr>
          <w:sz w:val="20"/>
          <w:szCs w:val="20"/>
          <w:color w:val="auto"/>
        </w:rPr>
      </w:pPr>
      <w:r>
        <w:rPr>
          <w:rFonts w:ascii="Arial" w:cs="Arial" w:eastAsia="Arial" w:hAnsi="Arial"/>
          <w:sz w:val="17"/>
          <w:szCs w:val="17"/>
          <w:b w:val="1"/>
          <w:bCs w:val="1"/>
          <w:i w:val="1"/>
          <w:iCs w:val="1"/>
          <w:color w:val="auto"/>
        </w:rPr>
        <w:t>Cash Flow from Investing Activities</w:t>
      </w:r>
    </w:p>
    <w:p>
      <w:pPr>
        <w:spacing w:after="0" w:line="201" w:lineRule="exact"/>
        <w:rPr>
          <w:sz w:val="20"/>
          <w:szCs w:val="20"/>
          <w:color w:val="auto"/>
        </w:rPr>
      </w:pPr>
    </w:p>
    <w:p>
      <w:pPr>
        <w:ind w:right="260" w:firstLine="298"/>
        <w:spacing w:after="0" w:line="247" w:lineRule="auto"/>
        <w:rPr>
          <w:sz w:val="20"/>
          <w:szCs w:val="20"/>
          <w:color w:val="auto"/>
        </w:rPr>
      </w:pPr>
      <w:r>
        <w:rPr>
          <w:rFonts w:ascii="Arial" w:cs="Arial" w:eastAsia="Arial" w:hAnsi="Arial"/>
          <w:sz w:val="17"/>
          <w:szCs w:val="17"/>
          <w:color w:val="auto"/>
        </w:rPr>
        <w:t>Cash provided by investing activities consists primarily of maturities and sales of investments in marketable securities. Cash used in investing activities consists primarily of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The capital expenditures support growth and investment in property and equipment, to expand research, development, and testing capabilities and, to a lesser extent, the replacement of existing equipment.</w:t>
      </w:r>
    </w:p>
    <w:p>
      <w:pPr>
        <w:spacing w:after="0" w:line="185" w:lineRule="exact"/>
        <w:rPr>
          <w:sz w:val="20"/>
          <w:szCs w:val="20"/>
          <w:color w:val="auto"/>
        </w:rPr>
      </w:pPr>
    </w:p>
    <w:p>
      <w:pPr>
        <w:ind w:right="80" w:firstLine="298"/>
        <w:spacing w:after="0" w:line="252" w:lineRule="auto"/>
        <w:rPr>
          <w:sz w:val="20"/>
          <w:szCs w:val="20"/>
          <w:color w:val="auto"/>
        </w:rPr>
      </w:pPr>
      <w:r>
        <w:rPr>
          <w:rFonts w:ascii="Arial" w:cs="Arial" w:eastAsia="Arial" w:hAnsi="Arial"/>
          <w:sz w:val="17"/>
          <w:szCs w:val="17"/>
          <w:color w:val="auto"/>
        </w:rPr>
        <w:t>Net cash used in investing activities decreased from the nine months ended September 30, 2022 to the nine months ended September 30, 2021 primarily due to a net decrease in cash used for purchases, sales and maturities of marketable securities, partially offset by an increase in purchases of property and equipment, issuance of TTK-related loans and cash paid in connection with our 2022 acquisitions of Lab Society.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Flow from Financing Activities</w:t>
      </w:r>
    </w:p>
    <w:p>
      <w:pPr>
        <w:spacing w:after="0" w:line="201" w:lineRule="exact"/>
        <w:rPr>
          <w:sz w:val="20"/>
          <w:szCs w:val="20"/>
          <w:color w:val="auto"/>
        </w:rPr>
      </w:pPr>
    </w:p>
    <w:p>
      <w:pPr>
        <w:ind w:right="320" w:firstLine="298"/>
        <w:spacing w:after="0" w:line="327" w:lineRule="auto"/>
        <w:rPr>
          <w:sz w:val="20"/>
          <w:szCs w:val="20"/>
          <w:color w:val="auto"/>
        </w:rPr>
      </w:pPr>
      <w:r>
        <w:rPr>
          <w:rFonts w:ascii="Arial" w:cs="Arial" w:eastAsia="Arial" w:hAnsi="Arial"/>
          <w:sz w:val="15"/>
          <w:szCs w:val="15"/>
          <w:color w:val="auto"/>
        </w:rPr>
        <w:t>Cash provided by financing activities consists primarily of proceeds from the issuance of Common Stock, debt, and warrants in private placements and proceeds from the initial and secondary public offerings. Cash used in financing activities consists primarily of repayment of debt.</w:t>
      </w:r>
    </w:p>
    <w:p>
      <w:pPr>
        <w:spacing w:after="0" w:line="125" w:lineRule="exact"/>
        <w:rPr>
          <w:sz w:val="20"/>
          <w:szCs w:val="20"/>
          <w:color w:val="auto"/>
        </w:rPr>
      </w:pPr>
    </w:p>
    <w:p>
      <w:pPr>
        <w:ind w:right="100" w:firstLine="298"/>
        <w:spacing w:after="0" w:line="260" w:lineRule="auto"/>
        <w:rPr>
          <w:sz w:val="20"/>
          <w:szCs w:val="20"/>
          <w:color w:val="auto"/>
        </w:rPr>
      </w:pPr>
      <w:r>
        <w:rPr>
          <w:rFonts w:ascii="Arial" w:cs="Arial" w:eastAsia="Arial" w:hAnsi="Arial"/>
          <w:sz w:val="17"/>
          <w:szCs w:val="17"/>
          <w:color w:val="auto"/>
        </w:rPr>
        <w:t>Net cash provided by financing activities decreased from the nine months ended September 30, 2022 to the nine months ended September 30, 2021 primarily due to an increase in repayment of debt.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5" w:lineRule="exact"/>
        <w:rPr>
          <w:sz w:val="20"/>
          <w:szCs w:val="20"/>
          <w:color w:val="auto"/>
        </w:rPr>
      </w:pPr>
    </w:p>
    <w:p>
      <w:pPr>
        <w:ind w:right="120" w:firstLine="344"/>
        <w:spacing w:after="0" w:line="249" w:lineRule="auto"/>
        <w:rPr>
          <w:sz w:val="20"/>
          <w:szCs w:val="20"/>
          <w:color w:val="auto"/>
        </w:rPr>
      </w:pPr>
      <w:r>
        <w:rPr>
          <w:rFonts w:ascii="Arial" w:cs="Arial" w:eastAsia="Arial" w:hAnsi="Arial"/>
          <w:sz w:val="17"/>
          <w:szCs w:val="17"/>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5" w:lineRule="exact"/>
        <w:rPr>
          <w:sz w:val="20"/>
          <w:szCs w:val="20"/>
          <w:color w:val="auto"/>
        </w:rPr>
      </w:pPr>
    </w:p>
    <w:p>
      <w:pPr>
        <w:ind w:right="160" w:firstLine="298"/>
        <w:spacing w:after="0" w:line="293" w:lineRule="auto"/>
        <w:rPr>
          <w:sz w:val="20"/>
          <w:szCs w:val="20"/>
          <w:color w:val="auto"/>
        </w:rPr>
      </w:pPr>
      <w:r>
        <w:rPr>
          <w:rFonts w:ascii="Arial" w:cs="Arial" w:eastAsia="Arial" w:hAnsi="Arial"/>
          <w:sz w:val="15"/>
          <w:szCs w:val="15"/>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50" w:lineRule="exact"/>
        <w:rPr>
          <w:sz w:val="20"/>
          <w:szCs w:val="20"/>
          <w:color w:val="auto"/>
        </w:rPr>
      </w:pPr>
    </w:p>
    <w:p>
      <w:pPr>
        <w:ind w:right="220" w:firstLine="298"/>
        <w:spacing w:after="0" w:line="247" w:lineRule="auto"/>
        <w:rPr>
          <w:sz w:val="20"/>
          <w:szCs w:val="20"/>
          <w:color w:val="auto"/>
        </w:rPr>
      </w:pPr>
      <w:r>
        <w:rPr>
          <w:rFonts w:ascii="Arial" w:cs="Arial" w:eastAsia="Arial" w:hAnsi="Arial"/>
          <w:sz w:val="17"/>
          <w:szCs w:val="17"/>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5"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The significant accounting policies and estimates that have been adopted and followed in the preparation of our consolidated financial statements are detailed in Note 3 - Summary of Significant Accounting Policies included in our 2021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 Adopted</w:t>
      </w:r>
    </w:p>
    <w:p>
      <w:pPr>
        <w:spacing w:after="0" w:line="205" w:lineRule="exact"/>
        <w:rPr>
          <w:sz w:val="20"/>
          <w:szCs w:val="20"/>
          <w:color w:val="auto"/>
        </w:rPr>
      </w:pPr>
    </w:p>
    <w:p>
      <w:pPr>
        <w:ind w:right="400" w:firstLine="344"/>
        <w:spacing w:after="0" w:line="327" w:lineRule="auto"/>
        <w:rPr>
          <w:sz w:val="20"/>
          <w:szCs w:val="20"/>
          <w:color w:val="auto"/>
        </w:rPr>
      </w:pPr>
      <w:r>
        <w:rPr>
          <w:rFonts w:ascii="Arial" w:cs="Arial" w:eastAsia="Arial" w:hAnsi="Arial"/>
          <w:sz w:val="15"/>
          <w:szCs w:val="15"/>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Not Yet Adopted</w:t>
      </w:r>
    </w:p>
    <w:p>
      <w:pPr>
        <w:spacing w:after="0" w:line="205" w:lineRule="exact"/>
        <w:rPr>
          <w:sz w:val="20"/>
          <w:szCs w:val="20"/>
          <w:color w:val="auto"/>
        </w:rPr>
      </w:pPr>
    </w:p>
    <w:p>
      <w:pPr>
        <w:ind w:right="60" w:firstLine="344"/>
        <w:spacing w:after="0" w:line="327" w:lineRule="auto"/>
        <w:rPr>
          <w:sz w:val="20"/>
          <w:szCs w:val="20"/>
          <w:color w:val="auto"/>
        </w:rPr>
      </w:pPr>
      <w:r>
        <w:rPr>
          <w:rFonts w:ascii="Arial" w:cs="Arial" w:eastAsia="Arial" w:hAnsi="Arial"/>
          <w:sz w:val="15"/>
          <w:szCs w:val="15"/>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of this Quarterly Report on Form 10-Q.</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“smaller reporting company” as defined by Item 10 of Regulation S-K, the Company is not required to provide information required by this Item.</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5" w:lineRule="exact"/>
        <w:rPr>
          <w:sz w:val="20"/>
          <w:szCs w:val="20"/>
          <w:color w:val="auto"/>
        </w:rPr>
      </w:pPr>
    </w:p>
    <w:p>
      <w:pPr>
        <w:ind w:firstLine="298"/>
        <w:spacing w:after="0" w:line="293" w:lineRule="auto"/>
        <w:rPr>
          <w:sz w:val="20"/>
          <w:szCs w:val="20"/>
          <w:color w:val="auto"/>
        </w:rPr>
      </w:pPr>
      <w:r>
        <w:rPr>
          <w:rFonts w:ascii="Arial" w:cs="Arial" w:eastAsia="Arial" w:hAnsi="Arial"/>
          <w:sz w:val="15"/>
          <w:szCs w:val="15"/>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01" w:lineRule="exact"/>
        <w:rPr>
          <w:sz w:val="20"/>
          <w:szCs w:val="20"/>
          <w:color w:val="auto"/>
        </w:rPr>
      </w:pPr>
    </w:p>
    <w:p>
      <w:pPr>
        <w:ind w:right="440" w:firstLine="298"/>
        <w:spacing w:after="0" w:line="260" w:lineRule="auto"/>
        <w:rPr>
          <w:sz w:val="20"/>
          <w:szCs w:val="20"/>
          <w:color w:val="auto"/>
        </w:rPr>
      </w:pPr>
      <w:r>
        <w:rPr>
          <w:rFonts w:ascii="Arial" w:cs="Arial" w:eastAsia="Arial" w:hAnsi="Arial"/>
          <w:sz w:val="17"/>
          <w:szCs w:val="17"/>
          <w:color w:val="auto"/>
        </w:rPr>
        <w:t>As required by Rules 13a-15 and 15d-15 under the Exchange Act, our Chief Executive Officer carried out an evaluation of the effectiveness of the design and operation of our disclosure controls and procedures.</w:t>
      </w:r>
    </w:p>
    <w:p>
      <w:pPr>
        <w:spacing w:after="0" w:line="172" w:lineRule="exact"/>
        <w:rPr>
          <w:sz w:val="20"/>
          <w:szCs w:val="20"/>
          <w:color w:val="auto"/>
        </w:rPr>
      </w:pPr>
    </w:p>
    <w:p>
      <w:pPr>
        <w:ind w:right="60" w:firstLine="298"/>
        <w:spacing w:after="0" w:line="288" w:lineRule="auto"/>
        <w:rPr>
          <w:sz w:val="20"/>
          <w:szCs w:val="20"/>
          <w:color w:val="auto"/>
        </w:rPr>
      </w:pPr>
      <w:r>
        <w:rPr>
          <w:rFonts w:ascii="Arial" w:cs="Arial" w:eastAsia="Arial" w:hAnsi="Arial"/>
          <w:sz w:val="15"/>
          <w:szCs w:val="15"/>
          <w:color w:val="auto"/>
        </w:rPr>
        <w:t>The Company identified errors in the accounting for previously issued warrants, debt issuance costs and the classification of debt. Therefore, the Company restated it’s unaudited condensed financial statements as of and for the periods ended March 31, 2022, June 30, 2022 and September 30, 2022. In connection with the restatements, the Company identified a material weakness in its internal controls related to accounting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01" w:lineRule="exact"/>
        <w:rPr>
          <w:sz w:val="20"/>
          <w:szCs w:val="20"/>
          <w:color w:val="auto"/>
        </w:rPr>
      </w:pPr>
    </w:p>
    <w:p>
      <w:pPr>
        <w:ind w:right="40" w:firstLine="298"/>
        <w:spacing w:after="0" w:line="284" w:lineRule="auto"/>
        <w:rPr>
          <w:sz w:val="20"/>
          <w:szCs w:val="20"/>
          <w:color w:val="auto"/>
        </w:rPr>
      </w:pPr>
      <w:r>
        <w:rPr>
          <w:rFonts w:ascii="Arial" w:cs="Arial" w:eastAsia="Arial" w:hAnsi="Arial"/>
          <w:sz w:val="15"/>
          <w:szCs w:val="15"/>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 In light of the restatement of our financial statements as described above, we plan to enhance our processes to identify and appropriately apply applicable accounting requirements to better evaluate and understand the nuances of the complex accounting standards that apply to our condensed consolidated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160"/>
          </w:cols>
          <w:pgMar w:left="320" w:top="818" w:right="41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5" w:lineRule="exact"/>
        <w:rPr>
          <w:sz w:val="20"/>
          <w:szCs w:val="20"/>
          <w:color w:val="auto"/>
        </w:rPr>
      </w:pPr>
    </w:p>
    <w:p>
      <w:pPr>
        <w:ind w:right="120" w:firstLine="298"/>
        <w:spacing w:after="0" w:line="252" w:lineRule="auto"/>
        <w:rPr>
          <w:sz w:val="20"/>
          <w:szCs w:val="20"/>
          <w:color w:val="auto"/>
        </w:rPr>
      </w:pPr>
      <w:r>
        <w:rPr>
          <w:rFonts w:ascii="Arial" w:cs="Arial" w:eastAsia="Arial" w:hAnsi="Arial"/>
          <w:sz w:val="17"/>
          <w:szCs w:val="17"/>
          <w:color w:val="auto"/>
        </w:rPr>
        <w:t>From time to time, we are a party to various legal proceedings or claims arising in the ordinary course of business. For information related to legal proceedings, see the discussion under the caption Legal Matters in Note 18 - Commitments and Contingencies to our consolidated financial statements included in Part I, Item 1 of this Quarterly Report, which information is incorporated by reference into this Part II, Item 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5" w:lineRule="exact"/>
        <w:rPr>
          <w:sz w:val="20"/>
          <w:szCs w:val="20"/>
          <w:color w:val="auto"/>
        </w:rPr>
      </w:pPr>
    </w:p>
    <w:p>
      <w:pPr>
        <w:ind w:right="200" w:firstLine="298"/>
        <w:spacing w:after="0" w:line="260" w:lineRule="auto"/>
        <w:rPr>
          <w:sz w:val="20"/>
          <w:szCs w:val="20"/>
          <w:color w:val="auto"/>
        </w:rPr>
      </w:pPr>
      <w:r>
        <w:rPr>
          <w:rFonts w:ascii="Arial" w:cs="Arial" w:eastAsia="Arial" w:hAnsi="Arial"/>
          <w:sz w:val="17"/>
          <w:szCs w:val="17"/>
          <w:color w:val="auto"/>
        </w:rPr>
        <w:t>As of the date of this report, except for the risk factor set forth below, there are no material changes to our risk factors as previously disclosed in Part I, Item 1A of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recently completed reverse stock split is subject to several risks, and we cannot predict whether it will increase the market price for our common stock.</w:t>
      </w:r>
    </w:p>
    <w:p>
      <w:pPr>
        <w:spacing w:after="0" w:line="224" w:lineRule="exact"/>
        <w:rPr>
          <w:sz w:val="20"/>
          <w:szCs w:val="20"/>
          <w:color w:val="auto"/>
        </w:rPr>
      </w:pPr>
    </w:p>
    <w:p>
      <w:pPr>
        <w:ind w:right="320" w:firstLine="298"/>
        <w:spacing w:after="0" w:line="331" w:lineRule="auto"/>
        <w:rPr>
          <w:sz w:val="20"/>
          <w:szCs w:val="20"/>
          <w:color w:val="auto"/>
        </w:rPr>
      </w:pPr>
      <w:r>
        <w:rPr>
          <w:rFonts w:ascii="Arial" w:cs="Arial" w:eastAsia="Arial" w:hAnsi="Arial"/>
          <w:sz w:val="14"/>
          <w:szCs w:val="14"/>
          <w:color w:val="auto"/>
        </w:rPr>
        <w:t>We cannot predict whether the 1-for-10 reverse stock split completed on October 18, 2022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28" w:lineRule="exact"/>
        <w:rPr>
          <w:sz w:val="20"/>
          <w:szCs w:val="20"/>
          <w:color w:val="auto"/>
        </w:rPr>
      </w:pPr>
    </w:p>
    <w:p>
      <w:pPr>
        <w:ind w:left="600" w:right="220" w:hanging="303"/>
        <w:spacing w:after="0" w:line="260"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market price per share of our shares of Common Stock post-split may not remain in excess of the Minimum Bid Requirement, or we may fail to meet the other requirements for continued listing on Nasdaq, resulting in the delisting of our common stock.</w:t>
      </w:r>
    </w:p>
    <w:p>
      <w:pPr>
        <w:spacing w:after="0" w:line="171" w:lineRule="exact"/>
        <w:rPr>
          <w:rFonts w:ascii="Arial" w:cs="Arial" w:eastAsia="Arial" w:hAnsi="Arial"/>
          <w:sz w:val="17"/>
          <w:szCs w:val="17"/>
          <w:color w:val="auto"/>
        </w:rPr>
      </w:pPr>
    </w:p>
    <w:p>
      <w:pPr>
        <w:ind w:left="600" w:right="20" w:hanging="303"/>
        <w:spacing w:after="0" w:line="288" w:lineRule="auto"/>
        <w:tabs>
          <w:tab w:leader="none" w:pos="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will result in the intended benefits.</w:t>
      </w:r>
    </w:p>
    <w:p>
      <w:pPr>
        <w:spacing w:after="0" w:line="155" w:lineRule="exact"/>
        <w:rPr>
          <w:rFonts w:ascii="Arial" w:cs="Arial" w:eastAsia="Arial" w:hAnsi="Arial"/>
          <w:sz w:val="15"/>
          <w:szCs w:val="15"/>
          <w:color w:val="auto"/>
        </w:rPr>
      </w:pPr>
    </w:p>
    <w:p>
      <w:pPr>
        <w:ind w:left="600" w:hanging="303"/>
        <w:spacing w:after="0" w:line="247"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reverse stock split could be viewed negatively by the market and other factors may adversely affect the market price of the shares of our common stock. Consequently, the market price per post-split share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82" w:lineRule="exact"/>
        <w:rPr>
          <w:rFonts w:ascii="Arial" w:cs="Arial" w:eastAsia="Arial" w:hAnsi="Arial"/>
          <w:sz w:val="17"/>
          <w:szCs w:val="17"/>
          <w:color w:val="auto"/>
        </w:rPr>
      </w:pPr>
    </w:p>
    <w:p>
      <w:pPr>
        <w:ind w:left="600" w:hanging="303"/>
        <w:spacing w:after="0" w:line="252"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5" w:lineRule="exact"/>
        <w:rPr>
          <w:sz w:val="20"/>
          <w:szCs w:val="20"/>
          <w:color w:val="auto"/>
        </w:rPr>
      </w:pPr>
    </w:p>
    <w:p>
      <w:pPr>
        <w:jc w:val="both"/>
        <w:ind w:right="80" w:firstLine="298"/>
        <w:spacing w:after="0" w:line="252" w:lineRule="auto"/>
        <w:rPr>
          <w:sz w:val="20"/>
          <w:szCs w:val="20"/>
          <w:color w:val="auto"/>
        </w:rPr>
      </w:pPr>
      <w:r>
        <w:rPr>
          <w:rFonts w:ascii="Arial" w:cs="Arial" w:eastAsia="Arial" w:hAnsi="Arial"/>
          <w:sz w:val="17"/>
          <w:szCs w:val="17"/>
          <w:color w:val="auto"/>
        </w:rPr>
        <w:t>On August 17, 2022, we issued 435 shares of Common Stock to the former holders of Precision and Cascade in connection with the finalization of the net working capital settlement from the acquisition of Precision and Cascade. The issuance of the shares of Common Stock was exempt from registration pursuant to Section 4(2) of, and Rule 506 under Regulation D promulgated under, the Securities Act of 1933, as amended.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88" w:name="page89"/>
    <w:bookmarkEnd w:id="88"/>
    <w:p>
      <w:pPr>
        <w:ind w:left="1"/>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05" w:lineRule="exact"/>
        <w:rPr>
          <w:sz w:val="20"/>
          <w:szCs w:val="20"/>
          <w:color w:val="auto"/>
        </w:rPr>
      </w:pPr>
    </w:p>
    <w:p>
      <w:pPr>
        <w:ind w:left="301"/>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4. Mine Safety Disclosures</w:t>
      </w:r>
    </w:p>
    <w:p>
      <w:pPr>
        <w:spacing w:after="0" w:line="205" w:lineRule="exact"/>
        <w:rPr>
          <w:sz w:val="20"/>
          <w:szCs w:val="20"/>
          <w:color w:val="auto"/>
        </w:rPr>
      </w:pPr>
    </w:p>
    <w:p>
      <w:pPr>
        <w:ind w:left="301"/>
        <w:spacing w:after="0"/>
        <w:rPr>
          <w:sz w:val="20"/>
          <w:szCs w:val="20"/>
          <w:color w:val="auto"/>
        </w:rPr>
      </w:pPr>
      <w:r>
        <w:rPr>
          <w:rFonts w:ascii="Arial" w:cs="Arial" w:eastAsia="Arial" w:hAnsi="Arial"/>
          <w:sz w:val="17"/>
          <w:szCs w:val="17"/>
          <w:color w:val="auto"/>
        </w:rPr>
        <w:t>Not applicable.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5. Other Information</w:t>
      </w:r>
    </w:p>
    <w:p>
      <w:pPr>
        <w:spacing w:after="0" w:line="205" w:lineRule="exact"/>
        <w:rPr>
          <w:sz w:val="20"/>
          <w:szCs w:val="20"/>
          <w:color w:val="auto"/>
        </w:rPr>
      </w:pPr>
    </w:p>
    <w:p>
      <w:pPr>
        <w:ind w:left="301"/>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Item 6. Exhibits</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220"/>
        </w:trPr>
        <w:tc>
          <w:tcPr>
            <w:tcW w:w="124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000" w:type="dxa"/>
            <w:vAlign w:val="bottom"/>
            <w:gridSpan w:val="18"/>
          </w:tcPr>
          <w:p>
            <w:pPr>
              <w:spacing w:after="0"/>
              <w:rPr>
                <w:sz w:val="20"/>
                <w:szCs w:val="20"/>
                <w:color w:val="auto"/>
              </w:rPr>
            </w:pPr>
            <w:r>
              <w:rPr>
                <w:rFonts w:ascii="Arial" w:cs="Arial" w:eastAsia="Arial" w:hAnsi="Arial"/>
                <w:sz w:val="17"/>
                <w:szCs w:val="17"/>
                <w:b w:val="1"/>
                <w:bCs w:val="1"/>
                <w:color w:val="auto"/>
              </w:rPr>
              <w:t>Description</w:t>
            </w:r>
          </w:p>
        </w:tc>
      </w:tr>
      <w:tr>
        <w:trPr>
          <w:trHeight w:val="161"/>
        </w:trPr>
        <w:tc>
          <w:tcPr>
            <w:tcW w:w="1120" w:type="dxa"/>
            <w:vAlign w:val="bottom"/>
            <w:tcBorders>
              <w:top w:val="single" w:sz="8" w:color="auto"/>
              <w:bottom w:val="single" w:sz="8" w:color="CCEEFF"/>
            </w:tcBorders>
            <w:shd w:val="clear" w:color="auto" w:fill="CCEEFF"/>
          </w:tcPr>
          <w:p>
            <w:pPr>
              <w:spacing w:after="0" w:line="161" w:lineRule="exact"/>
              <w:rPr>
                <w:sz w:val="20"/>
                <w:szCs w:val="20"/>
                <w:color w:val="auto"/>
              </w:rPr>
            </w:pPr>
            <w:r>
              <w:rPr>
                <w:rFonts w:ascii="Arial" w:cs="Arial" w:eastAsia="Arial" w:hAnsi="Arial"/>
                <w:sz w:val="17"/>
                <w:szCs w:val="17"/>
                <w:color w:val="auto"/>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60" w:type="dxa"/>
            <w:vAlign w:val="bottom"/>
            <w:tcBorders>
              <w:top w:val="single" w:sz="8" w:color="auto"/>
              <w:bottom w:val="single" w:sz="8" w:color="0000EE"/>
            </w:tcBorders>
            <w:gridSpan w:val="10"/>
            <w:shd w:val="clear" w:color="auto" w:fill="CCEEFF"/>
          </w:tcPr>
          <w:p>
            <w:pPr>
              <w:spacing w:after="0" w:line="161" w:lineRule="exact"/>
              <w:rPr>
                <w:rFonts w:ascii="Arial" w:cs="Arial" w:eastAsia="Arial" w:hAnsi="Arial"/>
                <w:sz w:val="17"/>
                <w:szCs w:val="17"/>
                <w:color w:val="0000EE"/>
                <w:w w:val="89"/>
              </w:rPr>
            </w:pPr>
            <w:hyperlink r:id="rId118">
              <w:r>
                <w:rPr>
                  <w:rFonts w:ascii="Arial" w:cs="Arial" w:eastAsia="Arial" w:hAnsi="Arial"/>
                  <w:sz w:val="17"/>
                  <w:szCs w:val="17"/>
                  <w:color w:val="0000EE"/>
                  <w:w w:val="89"/>
                </w:rPr>
                <w:t>Certificate of Amendment to the Articles of Incorporation of the Registrant, filed July 11, 2022 (incorporated by reference to Exhibit 3.1 to the</w:t>
              </w:r>
            </w:hyperlink>
          </w:p>
        </w:tc>
        <w:tc>
          <w:tcPr>
            <w:tcW w:w="540" w:type="dxa"/>
            <w:vAlign w:val="bottom"/>
            <w:tcBorders>
              <w:top w:val="single" w:sz="8" w:color="auto"/>
              <w:bottom w:val="single" w:sz="8" w:color="CCEEFF"/>
            </w:tcBorders>
            <w:gridSpan w:val="8"/>
            <w:shd w:val="clear" w:color="auto" w:fill="CCEEFF"/>
          </w:tcPr>
          <w:p>
            <w:pPr>
              <w:spacing w:after="0"/>
              <w:rPr>
                <w:sz w:val="14"/>
                <w:szCs w:val="14"/>
                <w:color w:val="auto"/>
              </w:rPr>
            </w:pPr>
          </w:p>
        </w:tc>
      </w:tr>
      <w:tr>
        <w:trPr>
          <w:trHeight w:val="196"/>
        </w:trPr>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4"/>
            <w:shd w:val="clear" w:color="auto" w:fill="CCEEFF"/>
          </w:tcPr>
          <w:p>
            <w:pPr>
              <w:spacing w:after="0" w:line="179" w:lineRule="exact"/>
              <w:rPr>
                <w:rFonts w:ascii="Arial" w:cs="Arial" w:eastAsia="Arial" w:hAnsi="Arial"/>
                <w:sz w:val="17"/>
                <w:szCs w:val="17"/>
                <w:color w:val="0000EE"/>
                <w:w w:val="88"/>
              </w:rPr>
            </w:pPr>
            <w:hyperlink r:id="rId118">
              <w:r>
                <w:rPr>
                  <w:rFonts w:ascii="Arial" w:cs="Arial" w:eastAsia="Arial" w:hAnsi="Arial"/>
                  <w:sz w:val="17"/>
                  <w:szCs w:val="17"/>
                  <w:color w:val="0000EE"/>
                  <w:w w:val="88"/>
                </w:rPr>
                <w:t>Registrant’s Current Report on Form 8-K filed with the Securities and Exchange Commission on July 14, 2022).</w:t>
              </w:r>
            </w:hyperlink>
          </w:p>
        </w:tc>
        <w:tc>
          <w:tcPr>
            <w:tcW w:w="2560" w:type="dxa"/>
            <w:vAlign w:val="bottom"/>
            <w:tcBorders>
              <w:bottom w:val="single" w:sz="8" w:color="CCEEFF"/>
            </w:tcBorders>
            <w:gridSpan w:val="14"/>
            <w:shd w:val="clear" w:color="auto" w:fill="CCEEFF"/>
          </w:tcPr>
          <w:p>
            <w:pPr>
              <w:spacing w:after="0"/>
              <w:rPr>
                <w:sz w:val="17"/>
                <w:szCs w:val="17"/>
                <w:color w:val="auto"/>
              </w:rPr>
            </w:pPr>
          </w:p>
        </w:tc>
      </w:tr>
      <w:tr>
        <w:trPr>
          <w:trHeight w:val="161"/>
        </w:trPr>
        <w:tc>
          <w:tcPr>
            <w:tcW w:w="1120" w:type="dxa"/>
            <w:vAlign w:val="bottom"/>
          </w:tcPr>
          <w:p>
            <w:pPr>
              <w:spacing w:after="0" w:line="161"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9600" w:type="dxa"/>
            <w:vAlign w:val="bottom"/>
            <w:tcBorders>
              <w:bottom w:val="single" w:sz="8" w:color="0000EE"/>
            </w:tcBorders>
            <w:gridSpan w:val="12"/>
          </w:tcPr>
          <w:p>
            <w:pPr>
              <w:spacing w:after="0" w:line="161" w:lineRule="exact"/>
              <w:rPr>
                <w:rFonts w:ascii="Arial" w:cs="Arial" w:eastAsia="Arial" w:hAnsi="Arial"/>
                <w:sz w:val="17"/>
                <w:szCs w:val="17"/>
                <w:color w:val="0000EE"/>
                <w:w w:val="89"/>
              </w:rPr>
            </w:pPr>
            <w:hyperlink r:id="rId119">
              <w:r>
                <w:rPr>
                  <w:rFonts w:ascii="Arial" w:cs="Arial" w:eastAsia="Arial" w:hAnsi="Arial"/>
                  <w:sz w:val="17"/>
                  <w:szCs w:val="17"/>
                  <w:color w:val="0000EE"/>
                  <w:w w:val="89"/>
                </w:rPr>
                <w:t>Certified of Amendment to the Articles of Incorporation of the Registrant, filed October 17, 2022 (incorporated by reference to Exhibit 3.1 to the</w:t>
              </w:r>
            </w:hyperlink>
          </w:p>
        </w:tc>
        <w:tc>
          <w:tcPr>
            <w:tcW w:w="400" w:type="dxa"/>
            <w:vAlign w:val="bottom"/>
            <w:gridSpan w:val="6"/>
          </w:tcPr>
          <w:p>
            <w:pPr>
              <w:spacing w:after="0"/>
              <w:rPr>
                <w:sz w:val="14"/>
                <w:szCs w:val="14"/>
                <w:color w:val="auto"/>
              </w:rPr>
            </w:pPr>
          </w:p>
        </w:tc>
      </w:tr>
      <w:tr>
        <w:trPr>
          <w:trHeight w:val="178"/>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00" w:type="dxa"/>
            <w:vAlign w:val="bottom"/>
            <w:tcBorders>
              <w:bottom w:val="single" w:sz="8" w:color="0000EE"/>
            </w:tcBorders>
            <w:gridSpan w:val="5"/>
          </w:tcPr>
          <w:p>
            <w:pPr>
              <w:spacing w:after="0" w:line="179" w:lineRule="exact"/>
              <w:rPr>
                <w:rFonts w:ascii="Arial" w:cs="Arial" w:eastAsia="Arial" w:hAnsi="Arial"/>
                <w:sz w:val="17"/>
                <w:szCs w:val="17"/>
                <w:color w:val="0000EE"/>
                <w:w w:val="88"/>
              </w:rPr>
            </w:pPr>
            <w:hyperlink r:id="rId119">
              <w:r>
                <w:rPr>
                  <w:rFonts w:ascii="Arial" w:cs="Arial" w:eastAsia="Arial" w:hAnsi="Arial"/>
                  <w:sz w:val="17"/>
                  <w:szCs w:val="17"/>
                  <w:color w:val="0000EE"/>
                  <w:w w:val="88"/>
                </w:rPr>
                <w:t>Registrant’s Current Report on Form 8-K filed with the Securities and Exchange Commission on October 17, 2022).</w:t>
              </w:r>
            </w:hyperlink>
          </w:p>
        </w:tc>
        <w:tc>
          <w:tcPr>
            <w:tcW w:w="2300" w:type="dxa"/>
            <w:vAlign w:val="bottom"/>
            <w:gridSpan w:val="13"/>
          </w:tcPr>
          <w:p>
            <w:pPr>
              <w:spacing w:after="0"/>
              <w:rPr>
                <w:sz w:val="15"/>
                <w:szCs w:val="15"/>
                <w:color w:val="auto"/>
              </w:rPr>
            </w:pPr>
          </w:p>
        </w:tc>
      </w:tr>
      <w:tr>
        <w:trPr>
          <w:trHeight w:val="178"/>
        </w:trPr>
        <w:tc>
          <w:tcPr>
            <w:tcW w:w="11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5"/>
                <w:szCs w:val="15"/>
                <w:color w:val="auto"/>
              </w:rPr>
            </w:pPr>
          </w:p>
        </w:tc>
        <w:tc>
          <w:tcPr>
            <w:tcW w:w="10000" w:type="dxa"/>
            <w:vAlign w:val="bottom"/>
            <w:gridSpan w:val="18"/>
            <w:shd w:val="clear" w:color="auto" w:fill="CCEEFF"/>
          </w:tcPr>
          <w:p>
            <w:pPr>
              <w:spacing w:after="0" w:line="179" w:lineRule="exact"/>
              <w:rPr>
                <w:rFonts w:ascii="Arial" w:cs="Arial" w:eastAsia="Arial" w:hAnsi="Arial"/>
                <w:sz w:val="17"/>
                <w:szCs w:val="17"/>
                <w:color w:val="0000EE"/>
                <w:w w:val="90"/>
              </w:rPr>
            </w:pPr>
            <w:hyperlink r:id="rId120">
              <w:r>
                <w:rPr>
                  <w:rFonts w:ascii="Arial" w:cs="Arial" w:eastAsia="Arial" w:hAnsi="Arial"/>
                  <w:sz w:val="17"/>
                  <w:szCs w:val="17"/>
                  <w:color w:val="0000EE"/>
                  <w:w w:val="90"/>
                </w:rPr>
                <w:t>Form of Senior Secured Note (incorporated by reference to Exhibit 4.1 to the Registrant’s Current Report on Form 8-K filed with the Securities and</w:t>
              </w:r>
            </w:hyperlink>
          </w:p>
        </w:tc>
      </w:tr>
      <w:tr>
        <w:trPr>
          <w:trHeight w:val="196"/>
        </w:trPr>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980" w:type="dxa"/>
            <w:vAlign w:val="bottom"/>
            <w:tcBorders>
              <w:top w:val="single" w:sz="8" w:color="0000EE"/>
              <w:bottom w:val="single" w:sz="8" w:color="0000EE"/>
            </w:tcBorders>
            <w:shd w:val="clear" w:color="auto" w:fill="CCEEFF"/>
          </w:tcPr>
          <w:p>
            <w:pPr>
              <w:spacing w:after="0" w:line="179" w:lineRule="exact"/>
              <w:rPr>
                <w:rFonts w:ascii="Arial" w:cs="Arial" w:eastAsia="Arial" w:hAnsi="Arial"/>
                <w:sz w:val="17"/>
                <w:szCs w:val="17"/>
                <w:color w:val="0000EE"/>
                <w:w w:val="87"/>
              </w:rPr>
            </w:pPr>
            <w:hyperlink r:id="rId120">
              <w:r>
                <w:rPr>
                  <w:rFonts w:ascii="Arial" w:cs="Arial" w:eastAsia="Arial" w:hAnsi="Arial"/>
                  <w:sz w:val="17"/>
                  <w:szCs w:val="17"/>
                  <w:color w:val="0000EE"/>
                  <w:w w:val="87"/>
                </w:rPr>
                <w:t>Exchange Commission on August 19, 2022).</w:t>
              </w:r>
            </w:hyperlink>
          </w:p>
        </w:tc>
        <w:tc>
          <w:tcPr>
            <w:tcW w:w="6780" w:type="dxa"/>
            <w:vAlign w:val="bottom"/>
            <w:tcBorders>
              <w:top w:val="single" w:sz="8" w:color="0000EE"/>
              <w:bottom w:val="single" w:sz="8" w:color="CCEEFF"/>
            </w:tcBorders>
            <w:gridSpan w:val="13"/>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4"/>
            <w:shd w:val="clear" w:color="auto" w:fill="CCEEFF"/>
          </w:tcPr>
          <w:p>
            <w:pPr>
              <w:spacing w:after="0"/>
              <w:rPr>
                <w:sz w:val="17"/>
                <w:szCs w:val="17"/>
                <w:color w:val="auto"/>
              </w:rPr>
            </w:pPr>
          </w:p>
        </w:tc>
      </w:tr>
      <w:tr>
        <w:trPr>
          <w:trHeight w:val="161"/>
        </w:trPr>
        <w:tc>
          <w:tcPr>
            <w:tcW w:w="1120" w:type="dxa"/>
            <w:vAlign w:val="bottom"/>
          </w:tcPr>
          <w:p>
            <w:pPr>
              <w:spacing w:after="0" w:line="161" w:lineRule="exact"/>
              <w:rPr>
                <w:sz w:val="20"/>
                <w:szCs w:val="20"/>
                <w:color w:val="auto"/>
              </w:rPr>
            </w:pPr>
            <w:r>
              <w:rPr>
                <w:rFonts w:ascii="Arial" w:cs="Arial" w:eastAsia="Arial" w:hAnsi="Arial"/>
                <w:sz w:val="17"/>
                <w:szCs w:val="17"/>
                <w:color w:val="auto"/>
              </w:rPr>
              <w:t>4.2</w:t>
            </w:r>
          </w:p>
        </w:tc>
        <w:tc>
          <w:tcPr>
            <w:tcW w:w="120" w:type="dxa"/>
            <w:vAlign w:val="bottom"/>
          </w:tcPr>
          <w:p>
            <w:pPr>
              <w:spacing w:after="0"/>
              <w:rPr>
                <w:sz w:val="14"/>
                <w:szCs w:val="14"/>
                <w:color w:val="auto"/>
              </w:rPr>
            </w:pPr>
          </w:p>
        </w:tc>
        <w:tc>
          <w:tcPr>
            <w:tcW w:w="10000" w:type="dxa"/>
            <w:vAlign w:val="bottom"/>
            <w:gridSpan w:val="18"/>
          </w:tcPr>
          <w:p>
            <w:pPr>
              <w:spacing w:after="0" w:line="161" w:lineRule="exact"/>
              <w:rPr>
                <w:rFonts w:ascii="Arial" w:cs="Arial" w:eastAsia="Arial" w:hAnsi="Arial"/>
                <w:sz w:val="17"/>
                <w:szCs w:val="17"/>
                <w:color w:val="0000EE"/>
                <w:w w:val="88"/>
              </w:rPr>
            </w:pPr>
            <w:hyperlink r:id="rId121">
              <w:r>
                <w:rPr>
                  <w:rFonts w:ascii="Arial" w:cs="Arial" w:eastAsia="Arial" w:hAnsi="Arial"/>
                  <w:sz w:val="17"/>
                  <w:szCs w:val="17"/>
                  <w:color w:val="0000EE"/>
                  <w:w w:val="88"/>
                </w:rPr>
                <w:t>Form of Warrant Exchange Note (incorporated by reference to Exhibit 4.2 to the Registrant’s Current Report on Form 8-K filed with the Securities and</w:t>
              </w:r>
            </w:hyperlink>
          </w:p>
        </w:tc>
      </w:tr>
      <w:tr>
        <w:trPr>
          <w:trHeight w:val="178"/>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top w:val="single" w:sz="8" w:color="0000EE"/>
              <w:bottom w:val="single" w:sz="8" w:color="0000EE"/>
            </w:tcBorders>
          </w:tcPr>
          <w:p>
            <w:pPr>
              <w:spacing w:after="0" w:line="179" w:lineRule="exact"/>
              <w:rPr>
                <w:rFonts w:ascii="Arial" w:cs="Arial" w:eastAsia="Arial" w:hAnsi="Arial"/>
                <w:sz w:val="17"/>
                <w:szCs w:val="17"/>
                <w:color w:val="0000EE"/>
                <w:w w:val="87"/>
              </w:rPr>
            </w:pPr>
            <w:hyperlink r:id="rId121">
              <w:r>
                <w:rPr>
                  <w:rFonts w:ascii="Arial" w:cs="Arial" w:eastAsia="Arial" w:hAnsi="Arial"/>
                  <w:sz w:val="17"/>
                  <w:szCs w:val="17"/>
                  <w:color w:val="0000EE"/>
                  <w:w w:val="87"/>
                </w:rPr>
                <w:t>Exchange Commission on August 19, 2022).</w:t>
              </w:r>
            </w:hyperlink>
          </w:p>
        </w:tc>
        <w:tc>
          <w:tcPr>
            <w:tcW w:w="700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r>
      <w:tr>
        <w:trPr>
          <w:trHeight w:val="178"/>
        </w:trPr>
        <w:tc>
          <w:tcPr>
            <w:tcW w:w="112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5"/>
            <w:shd w:val="clear" w:color="auto" w:fill="CCEEFF"/>
          </w:tcPr>
          <w:p>
            <w:pPr>
              <w:spacing w:after="0" w:line="179" w:lineRule="exact"/>
              <w:rPr>
                <w:rFonts w:ascii="Arial" w:cs="Arial" w:eastAsia="Arial" w:hAnsi="Arial"/>
                <w:sz w:val="17"/>
                <w:szCs w:val="17"/>
                <w:color w:val="0000EE"/>
                <w:w w:val="88"/>
              </w:rPr>
            </w:pPr>
            <w:hyperlink r:id="rId122">
              <w:r>
                <w:rPr>
                  <w:rFonts w:ascii="Arial" w:cs="Arial" w:eastAsia="Arial" w:hAnsi="Arial"/>
                  <w:sz w:val="17"/>
                  <w:szCs w:val="17"/>
                  <w:color w:val="0000EE"/>
                  <w:w w:val="88"/>
                </w:rPr>
                <w:t>Form of Note Exchange Note (incorporated by reference to Exhibit 4.3 to the Registrant’s Current Report on Form 8-K filed with the Securities and</w:t>
              </w:r>
            </w:hyperlink>
          </w:p>
        </w:tc>
        <w:tc>
          <w:tcPr>
            <w:tcW w:w="22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shd w:val="clear" w:color="auto" w:fill="CCEEFF"/>
          </w:tcPr>
          <w:p>
            <w:pPr>
              <w:spacing w:after="0" w:line="179" w:lineRule="exact"/>
              <w:rPr>
                <w:rFonts w:ascii="Arial" w:cs="Arial" w:eastAsia="Arial" w:hAnsi="Arial"/>
                <w:sz w:val="17"/>
                <w:szCs w:val="17"/>
                <w:color w:val="0000EE"/>
                <w:w w:val="87"/>
              </w:rPr>
            </w:pPr>
            <w:hyperlink r:id="rId122">
              <w:r>
                <w:rPr>
                  <w:rFonts w:ascii="Arial" w:cs="Arial" w:eastAsia="Arial" w:hAnsi="Arial"/>
                  <w:sz w:val="17"/>
                  <w:szCs w:val="17"/>
                  <w:color w:val="0000EE"/>
                  <w:w w:val="87"/>
                </w:rPr>
                <w:t>Exchange Commission on August 19, 2022).</w:t>
              </w:r>
            </w:hyperlink>
          </w:p>
        </w:tc>
        <w:tc>
          <w:tcPr>
            <w:tcW w:w="7020" w:type="dxa"/>
            <w:vAlign w:val="bottom"/>
            <w:tcBorders>
              <w:bottom w:val="single" w:sz="8" w:color="CCEEFF"/>
            </w:tcBorders>
            <w:gridSpan w:val="17"/>
            <w:shd w:val="clear" w:color="auto" w:fill="CCEEFF"/>
          </w:tcPr>
          <w:p>
            <w:pPr>
              <w:spacing w:after="0"/>
              <w:rPr>
                <w:sz w:val="17"/>
                <w:szCs w:val="17"/>
                <w:color w:val="auto"/>
              </w:rPr>
            </w:pPr>
          </w:p>
        </w:tc>
      </w:tr>
      <w:tr>
        <w:trPr>
          <w:trHeight w:val="161"/>
        </w:trPr>
        <w:tc>
          <w:tcPr>
            <w:tcW w:w="1240" w:type="dxa"/>
            <w:vAlign w:val="bottom"/>
            <w:gridSpan w:val="2"/>
          </w:tcPr>
          <w:p>
            <w:pPr>
              <w:spacing w:after="0" w:line="161" w:lineRule="exact"/>
              <w:rPr>
                <w:sz w:val="20"/>
                <w:szCs w:val="20"/>
                <w:color w:val="auto"/>
              </w:rPr>
            </w:pPr>
            <w:r>
              <w:rPr>
                <w:rFonts w:ascii="Arial" w:cs="Arial" w:eastAsia="Arial" w:hAnsi="Arial"/>
                <w:sz w:val="17"/>
                <w:szCs w:val="17"/>
                <w:color w:val="auto"/>
              </w:rPr>
              <w:t>10.1†</w:t>
            </w:r>
          </w:p>
        </w:tc>
        <w:tc>
          <w:tcPr>
            <w:tcW w:w="10000" w:type="dxa"/>
            <w:vAlign w:val="bottom"/>
            <w:gridSpan w:val="18"/>
          </w:tcPr>
          <w:p>
            <w:pPr>
              <w:spacing w:after="0" w:line="161" w:lineRule="exact"/>
              <w:rPr>
                <w:rFonts w:ascii="Arial" w:cs="Arial" w:eastAsia="Arial" w:hAnsi="Arial"/>
                <w:sz w:val="17"/>
                <w:szCs w:val="17"/>
                <w:color w:val="0000EE"/>
                <w:w w:val="90"/>
              </w:rPr>
            </w:pPr>
            <w:hyperlink r:id="rId123">
              <w:r>
                <w:rPr>
                  <w:rFonts w:ascii="Arial" w:cs="Arial" w:eastAsia="Arial" w:hAnsi="Arial"/>
                  <w:sz w:val="17"/>
                  <w:szCs w:val="17"/>
                  <w:color w:val="0000EE"/>
                  <w:w w:val="90"/>
                </w:rPr>
                <w:t>Separation Agreement of Thomas Massie, dated as of July 8, 2022 (incorporated by reference to Exhibit 10.2 to the Registrant’s Current Report on</w:t>
              </w:r>
            </w:hyperlink>
          </w:p>
        </w:tc>
      </w:tr>
      <w:tr>
        <w:trPr>
          <w:trHeight w:val="178"/>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79" w:lineRule="exact"/>
              <w:rPr>
                <w:rFonts w:ascii="Arial" w:cs="Arial" w:eastAsia="Arial" w:hAnsi="Arial"/>
                <w:sz w:val="17"/>
                <w:szCs w:val="17"/>
                <w:color w:val="0000EE"/>
              </w:rPr>
            </w:pPr>
            <w:hyperlink r:id="rId123">
              <w:r>
                <w:rPr>
                  <w:rFonts w:ascii="Arial" w:cs="Arial" w:eastAsia="Arial" w:hAnsi="Arial"/>
                  <w:sz w:val="17"/>
                  <w:szCs w:val="17"/>
                  <w:color w:val="0000EE"/>
                </w:rPr>
                <w:t>Form 8-K filed with the Securities and Exchange Commission on July 14, 2022).</w:t>
              </w:r>
            </w:hyperlink>
          </w:p>
        </w:tc>
        <w:tc>
          <w:tcPr>
            <w:tcW w:w="300" w:type="dxa"/>
            <w:vAlign w:val="bottom"/>
            <w:gridSpan w:val="5"/>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1240" w:type="dxa"/>
            <w:vAlign w:val="bottom"/>
            <w:tcBorders>
              <w:bottom w:val="single" w:sz="8" w:color="CCEEFF"/>
            </w:tcBorders>
            <w:gridSpan w:val="2"/>
            <w:shd w:val="clear" w:color="auto" w:fill="CCEEFF"/>
          </w:tcPr>
          <w:p>
            <w:pPr>
              <w:spacing w:after="0" w:line="179" w:lineRule="exact"/>
              <w:rPr>
                <w:sz w:val="20"/>
                <w:szCs w:val="20"/>
                <w:color w:val="auto"/>
              </w:rPr>
            </w:pPr>
            <w:r>
              <w:rPr>
                <w:rFonts w:ascii="Arial" w:cs="Arial" w:eastAsia="Arial" w:hAnsi="Arial"/>
                <w:sz w:val="17"/>
                <w:szCs w:val="17"/>
                <w:color w:val="auto"/>
              </w:rPr>
              <w:t>10.2†</w:t>
            </w:r>
          </w:p>
        </w:tc>
        <w:tc>
          <w:tcPr>
            <w:tcW w:w="9440" w:type="dxa"/>
            <w:vAlign w:val="bottom"/>
            <w:tcBorders>
              <w:bottom w:val="single" w:sz="8" w:color="0000EE"/>
            </w:tcBorders>
            <w:gridSpan w:val="9"/>
            <w:shd w:val="clear" w:color="auto" w:fill="CCEEFF"/>
          </w:tcPr>
          <w:p>
            <w:pPr>
              <w:spacing w:after="0" w:line="179" w:lineRule="exact"/>
              <w:rPr>
                <w:rFonts w:ascii="Arial" w:cs="Arial" w:eastAsia="Arial" w:hAnsi="Arial"/>
                <w:sz w:val="17"/>
                <w:szCs w:val="17"/>
                <w:color w:val="0000EE"/>
                <w:w w:val="88"/>
              </w:rPr>
            </w:pPr>
            <w:hyperlink r:id="rId124">
              <w:r>
                <w:rPr>
                  <w:rFonts w:ascii="Arial" w:cs="Arial" w:eastAsia="Arial" w:hAnsi="Arial"/>
                  <w:sz w:val="17"/>
                  <w:szCs w:val="17"/>
                  <w:color w:val="0000EE"/>
                  <w:w w:val="88"/>
                </w:rPr>
                <w:t>Employment Agreement, dated as of July 14, 2022, between the Registrant and Stuart Wilcox (incorporated by reference to Exhibit 10.1 to the</w:t>
              </w:r>
            </w:hyperlink>
          </w:p>
        </w:tc>
        <w:tc>
          <w:tcPr>
            <w:tcW w:w="56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EE"/>
            </w:tcBorders>
            <w:gridSpan w:val="4"/>
            <w:shd w:val="clear" w:color="auto" w:fill="CCEEFF"/>
          </w:tcPr>
          <w:p>
            <w:pPr>
              <w:spacing w:after="0" w:line="179" w:lineRule="exact"/>
              <w:rPr>
                <w:rFonts w:ascii="Arial" w:cs="Arial" w:eastAsia="Arial" w:hAnsi="Arial"/>
                <w:sz w:val="17"/>
                <w:szCs w:val="17"/>
                <w:color w:val="0000EE"/>
                <w:w w:val="88"/>
              </w:rPr>
            </w:pPr>
            <w:hyperlink r:id="rId124">
              <w:r>
                <w:rPr>
                  <w:rFonts w:ascii="Arial" w:cs="Arial" w:eastAsia="Arial" w:hAnsi="Arial"/>
                  <w:sz w:val="17"/>
                  <w:szCs w:val="17"/>
                  <w:color w:val="0000EE"/>
                  <w:w w:val="88"/>
                </w:rPr>
                <w:t>Registrant’s Current Report on Form 8-K filed with the Securities and Exchange Commission on July 14, 2022).</w:t>
              </w:r>
            </w:hyperlink>
          </w:p>
        </w:tc>
        <w:tc>
          <w:tcPr>
            <w:tcW w:w="2560" w:type="dxa"/>
            <w:vAlign w:val="bottom"/>
            <w:tcBorders>
              <w:bottom w:val="single" w:sz="8" w:color="CCEEFF"/>
            </w:tcBorders>
            <w:gridSpan w:val="14"/>
            <w:shd w:val="clear" w:color="auto" w:fill="CCEEFF"/>
          </w:tcPr>
          <w:p>
            <w:pPr>
              <w:spacing w:after="0"/>
              <w:rPr>
                <w:sz w:val="17"/>
                <w:szCs w:val="17"/>
                <w:color w:val="auto"/>
              </w:rPr>
            </w:pPr>
          </w:p>
        </w:tc>
      </w:tr>
      <w:tr>
        <w:trPr>
          <w:trHeight w:val="161"/>
        </w:trPr>
        <w:tc>
          <w:tcPr>
            <w:tcW w:w="1240" w:type="dxa"/>
            <w:vAlign w:val="bottom"/>
            <w:gridSpan w:val="2"/>
          </w:tcPr>
          <w:p>
            <w:pPr>
              <w:spacing w:after="0" w:line="161" w:lineRule="exact"/>
              <w:rPr>
                <w:sz w:val="20"/>
                <w:szCs w:val="20"/>
                <w:color w:val="auto"/>
              </w:rPr>
            </w:pPr>
            <w:r>
              <w:rPr>
                <w:rFonts w:ascii="Arial" w:cs="Arial" w:eastAsia="Arial" w:hAnsi="Arial"/>
                <w:sz w:val="17"/>
                <w:szCs w:val="17"/>
                <w:color w:val="auto"/>
              </w:rPr>
              <w:t>10.3††</w:t>
            </w:r>
          </w:p>
        </w:tc>
        <w:tc>
          <w:tcPr>
            <w:tcW w:w="10000" w:type="dxa"/>
            <w:vAlign w:val="bottom"/>
            <w:gridSpan w:val="18"/>
          </w:tcPr>
          <w:p>
            <w:pPr>
              <w:spacing w:after="0" w:line="161" w:lineRule="exact"/>
              <w:rPr>
                <w:rFonts w:ascii="Arial" w:cs="Arial" w:eastAsia="Arial" w:hAnsi="Arial"/>
                <w:sz w:val="17"/>
                <w:szCs w:val="17"/>
                <w:color w:val="0000EE"/>
                <w:w w:val="90"/>
              </w:rPr>
            </w:pPr>
            <w:hyperlink r:id="rId125">
              <w:r>
                <w:rPr>
                  <w:rFonts w:ascii="Arial" w:cs="Arial" w:eastAsia="Arial" w:hAnsi="Arial"/>
                  <w:sz w:val="17"/>
                  <w:szCs w:val="17"/>
                  <w:color w:val="0000EE"/>
                  <w:w w:val="90"/>
                </w:rPr>
                <w:t>Exchange Agreement, dated as of August 18, 2022, between Agrify Corporation and the investor listed therein (incorporated by reference to Exhibit</w:t>
              </w:r>
            </w:hyperlink>
          </w:p>
        </w:tc>
      </w:tr>
      <w:tr>
        <w:trPr>
          <w:trHeight w:val="178"/>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tcBorders>
              <w:top w:val="single" w:sz="8" w:color="0000EE"/>
            </w:tcBorders>
            <w:gridSpan w:val="16"/>
          </w:tcPr>
          <w:p>
            <w:pPr>
              <w:spacing w:after="0" w:line="179" w:lineRule="exact"/>
              <w:rPr>
                <w:rFonts w:ascii="Arial" w:cs="Arial" w:eastAsia="Arial" w:hAnsi="Arial"/>
                <w:sz w:val="17"/>
                <w:szCs w:val="17"/>
                <w:color w:val="0000EE"/>
              </w:rPr>
            </w:pPr>
            <w:hyperlink r:id="rId125">
              <w:r>
                <w:rPr>
                  <w:rFonts w:ascii="Arial" w:cs="Arial" w:eastAsia="Arial" w:hAnsi="Arial"/>
                  <w:sz w:val="17"/>
                  <w:szCs w:val="17"/>
                  <w:color w:val="0000EE"/>
                </w:rPr>
                <w:t>10.</w:t>
              </w:r>
              <w:r>
                <w:rPr>
                  <w:rFonts w:ascii="Arial" w:cs="Arial" w:eastAsia="Arial" w:hAnsi="Arial"/>
                  <w:sz w:val="17"/>
                  <w:szCs w:val="17"/>
                  <w:u w:val="single" w:color="auto"/>
                  <w:color w:val="0000EE"/>
                </w:rPr>
                <w:t>1</w:t>
              </w:r>
              <w:r>
                <w:rPr>
                  <w:rFonts w:ascii="Arial" w:cs="Arial" w:eastAsia="Arial" w:hAnsi="Arial"/>
                  <w:sz w:val="17"/>
                  <w:szCs w:val="17"/>
                  <w:color w:val="0000EE"/>
                </w:rPr>
                <w:t xml:space="preserve"> to the Registrant’s Current Report on Form 8-K filed with the Securities and Exchange Commission on August 19, 2022).</w:t>
              </w:r>
            </w:hyperlink>
          </w:p>
        </w:tc>
        <w:tc>
          <w:tcPr>
            <w:tcW w:w="200" w:type="dxa"/>
            <w:vAlign w:val="bottom"/>
            <w:gridSpan w:val="2"/>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124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10.4††</w:t>
            </w:r>
          </w:p>
        </w:tc>
        <w:tc>
          <w:tcPr>
            <w:tcW w:w="10000" w:type="dxa"/>
            <w:vAlign w:val="bottom"/>
            <w:gridSpan w:val="18"/>
            <w:shd w:val="clear" w:color="auto" w:fill="CCEEFF"/>
          </w:tcPr>
          <w:p>
            <w:pPr>
              <w:spacing w:after="0" w:line="179" w:lineRule="exact"/>
              <w:rPr>
                <w:rFonts w:ascii="Arial" w:cs="Arial" w:eastAsia="Arial" w:hAnsi="Arial"/>
                <w:sz w:val="17"/>
                <w:szCs w:val="17"/>
                <w:color w:val="0000EE"/>
                <w:w w:val="92"/>
              </w:rPr>
            </w:pPr>
            <w:hyperlink r:id="rId126">
              <w:r>
                <w:rPr>
                  <w:rFonts w:ascii="Arial" w:cs="Arial" w:eastAsia="Arial" w:hAnsi="Arial"/>
                  <w:sz w:val="17"/>
                  <w:szCs w:val="17"/>
                  <w:color w:val="0000EE"/>
                  <w:w w:val="92"/>
                </w:rPr>
                <w:t>Equity Distribution Agreement, dated as of October 18, 2022, between the Registrant and Canaccord Genuity LLC (incorporated by reference to</w:t>
              </w:r>
            </w:hyperlink>
          </w:p>
        </w:tc>
      </w:tr>
      <w:tr>
        <w:trPr>
          <w:trHeight w:val="196"/>
        </w:trPr>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560" w:type="dxa"/>
            <w:vAlign w:val="bottom"/>
            <w:tcBorders>
              <w:top w:val="single" w:sz="8" w:color="0000EE"/>
            </w:tcBorders>
            <w:gridSpan w:val="11"/>
            <w:shd w:val="clear" w:color="auto" w:fill="CCEEFF"/>
          </w:tcPr>
          <w:p>
            <w:pPr>
              <w:spacing w:after="0" w:line="179" w:lineRule="exact"/>
              <w:rPr>
                <w:rFonts w:ascii="Arial" w:cs="Arial" w:eastAsia="Arial" w:hAnsi="Arial"/>
                <w:sz w:val="17"/>
                <w:szCs w:val="17"/>
                <w:color w:val="0000EE"/>
                <w:w w:val="95"/>
              </w:rPr>
            </w:pPr>
            <w:hyperlink r:id="rId126">
              <w:r>
                <w:rPr>
                  <w:rFonts w:ascii="Arial" w:cs="Arial" w:eastAsia="Arial" w:hAnsi="Arial"/>
                  <w:sz w:val="17"/>
                  <w:szCs w:val="17"/>
                  <w:color w:val="0000EE"/>
                  <w:w w:val="95"/>
                </w:rPr>
                <w:t>Exhibit 1.1 to the Registrant’s Current Report on Form 8-K filed with the Securities and Exchange Commission on October 18, 2022).</w:t>
              </w:r>
            </w:hyperlink>
          </w:p>
        </w:tc>
        <w:tc>
          <w:tcPr>
            <w:tcW w:w="440" w:type="dxa"/>
            <w:vAlign w:val="bottom"/>
            <w:tcBorders>
              <w:top w:val="single" w:sz="8" w:color="CCEEFF"/>
            </w:tcBorders>
            <w:gridSpan w:val="7"/>
            <w:shd w:val="clear" w:color="auto" w:fill="CCEEFF"/>
          </w:tcPr>
          <w:p>
            <w:pPr>
              <w:spacing w:after="0"/>
              <w:rPr>
                <w:sz w:val="17"/>
                <w:szCs w:val="17"/>
                <w:color w:val="auto"/>
              </w:rPr>
            </w:pPr>
          </w:p>
        </w:tc>
      </w:tr>
      <w:tr>
        <w:trPr>
          <w:trHeight w:val="161"/>
        </w:trPr>
        <w:tc>
          <w:tcPr>
            <w:tcW w:w="1120" w:type="dxa"/>
            <w:vAlign w:val="bottom"/>
            <w:tcBorders>
              <w:top w:val="single" w:sz="8" w:color="CCEEFF"/>
            </w:tcBorders>
          </w:tcPr>
          <w:p>
            <w:pPr>
              <w:spacing w:after="0" w:line="161" w:lineRule="exact"/>
              <w:rPr>
                <w:sz w:val="20"/>
                <w:szCs w:val="20"/>
                <w:color w:val="auto"/>
              </w:rPr>
            </w:pPr>
            <w:r>
              <w:rPr>
                <w:rFonts w:ascii="Arial" w:cs="Arial" w:eastAsia="Arial" w:hAnsi="Arial"/>
                <w:sz w:val="17"/>
                <w:szCs w:val="17"/>
                <w:color w:val="auto"/>
              </w:rPr>
              <w:t>31.1*</w:t>
            </w:r>
          </w:p>
        </w:tc>
        <w:tc>
          <w:tcPr>
            <w:tcW w:w="120" w:type="dxa"/>
            <w:vAlign w:val="bottom"/>
            <w:tcBorders>
              <w:top w:val="single" w:sz="8" w:color="CCEEFF"/>
            </w:tcBorders>
          </w:tcPr>
          <w:p>
            <w:pPr>
              <w:spacing w:after="0"/>
              <w:rPr>
                <w:sz w:val="14"/>
                <w:szCs w:val="14"/>
                <w:color w:val="auto"/>
              </w:rPr>
            </w:pPr>
          </w:p>
        </w:tc>
        <w:tc>
          <w:tcPr>
            <w:tcW w:w="8880" w:type="dxa"/>
            <w:vAlign w:val="bottom"/>
            <w:tcBorders>
              <w:top w:val="single" w:sz="8" w:color="0000EE"/>
            </w:tcBorders>
            <w:gridSpan w:val="8"/>
          </w:tcPr>
          <w:p>
            <w:pPr>
              <w:spacing w:after="0" w:line="161" w:lineRule="exact"/>
              <w:rPr>
                <w:sz w:val="20"/>
                <w:szCs w:val="20"/>
                <w:color w:val="auto"/>
              </w:rPr>
            </w:pPr>
            <w:r>
              <w:rPr>
                <w:rFonts w:ascii="Arial" w:cs="Arial" w:eastAsia="Arial" w:hAnsi="Arial"/>
                <w:sz w:val="17"/>
                <w:szCs w:val="17"/>
                <w:color w:val="0000EE"/>
              </w:rPr>
              <w:t>Rule 13(a)-14(a)/15(d)-14(a) Certification of principal executive officer and principal financial and accounting officer</w:t>
            </w:r>
          </w:p>
        </w:tc>
        <w:tc>
          <w:tcPr>
            <w:tcW w:w="1120" w:type="dxa"/>
            <w:vAlign w:val="bottom"/>
            <w:tcBorders>
              <w:top w:val="single" w:sz="8" w:color="CCEEFF"/>
            </w:tcBorders>
            <w:gridSpan w:val="10"/>
          </w:tcPr>
          <w:p>
            <w:pPr>
              <w:spacing w:after="0"/>
              <w:rPr>
                <w:sz w:val="14"/>
                <w:szCs w:val="14"/>
                <w:color w:val="auto"/>
              </w:rPr>
            </w:pPr>
          </w:p>
        </w:tc>
      </w:tr>
      <w:tr>
        <w:trPr>
          <w:trHeight w:val="196"/>
        </w:trPr>
        <w:tc>
          <w:tcPr>
            <w:tcW w:w="112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top w:val="single" w:sz="8" w:color="0000EE"/>
              <w:bottom w:val="single" w:sz="8" w:color="0000EE"/>
            </w:tcBorders>
            <w:gridSpan w:val="3"/>
            <w:shd w:val="clear" w:color="auto" w:fill="CCEEFF"/>
          </w:tcPr>
          <w:p>
            <w:pPr>
              <w:spacing w:after="0" w:line="179" w:lineRule="exact"/>
              <w:rPr>
                <w:sz w:val="20"/>
                <w:szCs w:val="20"/>
                <w:color w:val="auto"/>
              </w:rPr>
            </w:pPr>
            <w:r>
              <w:rPr>
                <w:rFonts w:ascii="Arial" w:cs="Arial" w:eastAsia="Arial" w:hAnsi="Arial"/>
                <w:sz w:val="17"/>
                <w:szCs w:val="17"/>
                <w:color w:val="0000EE"/>
                <w:w w:val="90"/>
              </w:rPr>
              <w:t>Section 1350 Certification of principal executive officer and principal financial and acccounting officer</w:t>
            </w:r>
          </w:p>
        </w:tc>
        <w:tc>
          <w:tcPr>
            <w:tcW w:w="96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2200" w:type="dxa"/>
            <w:vAlign w:val="bottom"/>
            <w:tcBorders>
              <w:bottom w:val="single" w:sz="8" w:color="CCEEFF"/>
            </w:tcBorders>
            <w:gridSpan w:val="12"/>
            <w:shd w:val="clear" w:color="auto" w:fill="CCEEFF"/>
          </w:tcPr>
          <w:p>
            <w:pPr>
              <w:spacing w:after="0"/>
              <w:rPr>
                <w:sz w:val="17"/>
                <w:szCs w:val="17"/>
                <w:color w:val="auto"/>
              </w:rPr>
            </w:pPr>
          </w:p>
        </w:tc>
      </w:tr>
      <w:tr>
        <w:trPr>
          <w:trHeight w:val="198"/>
        </w:trPr>
        <w:tc>
          <w:tcPr>
            <w:tcW w:w="12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10000" w:type="dxa"/>
            <w:vAlign w:val="bottom"/>
            <w:gridSpan w:val="18"/>
          </w:tcPr>
          <w:p>
            <w:pPr>
              <w:spacing w:after="0"/>
              <w:rPr>
                <w:sz w:val="20"/>
                <w:szCs w:val="20"/>
                <w:color w:val="auto"/>
              </w:rPr>
            </w:pPr>
            <w:r>
              <w:rPr>
                <w:rFonts w:ascii="Arial" w:cs="Arial" w:eastAsia="Arial" w:hAnsi="Arial"/>
                <w:sz w:val="17"/>
                <w:szCs w:val="17"/>
                <w:color w:val="auto"/>
              </w:rPr>
              <w:t>Inline XBRL Instance Document</w:t>
            </w:r>
          </w:p>
        </w:tc>
      </w:tr>
      <w:tr>
        <w:trPr>
          <w:trHeight w:val="198"/>
        </w:trPr>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00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198"/>
        </w:trPr>
        <w:tc>
          <w:tcPr>
            <w:tcW w:w="12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10000" w:type="dxa"/>
            <w:vAlign w:val="bottom"/>
            <w:gridSpan w:val="18"/>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198"/>
        </w:trPr>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00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198"/>
        </w:trPr>
        <w:tc>
          <w:tcPr>
            <w:tcW w:w="12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10000" w:type="dxa"/>
            <w:vAlign w:val="bottom"/>
            <w:gridSpan w:val="18"/>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198"/>
        </w:trPr>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00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ind w:left="1" w:right="3960" w:hanging="1"/>
        <w:spacing w:after="0" w:line="479" w:lineRule="auto"/>
        <w:tabs>
          <w:tab w:leader="none" w:pos="1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Filed herewith.</w:t>
      </w:r>
    </w:p>
    <w:p>
      <w:pPr>
        <w:spacing w:after="0" w:line="1"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7"/>
          <w:szCs w:val="17"/>
          <w:color w:val="auto"/>
        </w:rPr>
        <w:t>**  Furnished herewith in accordance with Item 601 (b)(32) of Regulation S-K.</w:t>
      </w:r>
    </w:p>
    <w:p>
      <w:pPr>
        <w:spacing w:after="0" w:line="201"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7"/>
          <w:szCs w:val="17"/>
          <w:color w:val="auto"/>
        </w:rPr>
        <w:t>†   Indicates a management contract or compensatory plan, contract or arrangement.</w:t>
      </w:r>
    </w:p>
    <w:p>
      <w:pPr>
        <w:spacing w:after="0" w:line="201" w:lineRule="exact"/>
        <w:rPr>
          <w:sz w:val="20"/>
          <w:szCs w:val="20"/>
          <w:color w:val="auto"/>
        </w:rPr>
      </w:pPr>
    </w:p>
    <w:p>
      <w:pPr>
        <w:ind w:left="301" w:right="300" w:hanging="301"/>
        <w:spacing w:after="0" w:line="260" w:lineRule="auto"/>
        <w:tabs>
          <w:tab w:leader="none" w:pos="3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817" w:right="339" w:bottom="1440" w:gutter="0" w:footer="0" w:header="0"/>
        </w:sectPr>
      </w:pPr>
    </w:p>
    <w:bookmarkStart w:id="89" w:name="page90"/>
    <w:bookmarkEnd w:id="89"/>
    <w:p>
      <w:pPr>
        <w:jc w:val="center"/>
        <w:ind w:right="-299"/>
        <w:spacing w:after="0"/>
        <w:rPr>
          <w:sz w:val="20"/>
          <w:szCs w:val="20"/>
          <w:color w:val="auto"/>
        </w:rPr>
      </w:pPr>
      <w:r>
        <w:rPr>
          <w:rFonts w:ascii="Arial" w:cs="Arial" w:eastAsia="Arial" w:hAnsi="Arial"/>
          <w:sz w:val="17"/>
          <w:szCs w:val="17"/>
          <w:b w:val="1"/>
          <w:bCs w:val="1"/>
          <w:color w:val="auto"/>
        </w:rPr>
        <w:t>SIGNATURES</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AGRIFY CORPORATION</w:t>
      </w:r>
    </w:p>
    <w:p>
      <w:pPr>
        <w:spacing w:after="0" w:line="20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7"/>
          <w:szCs w:val="17"/>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9525</wp:posOffset>
            </wp:positionV>
            <wp:extent cx="256730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567305" cy="15875"/>
                    </a:xfrm>
                    <a:prstGeom prst="rect">
                      <a:avLst/>
                    </a:prstGeom>
                    <a:noFill/>
                  </pic:spPr>
                </pic:pic>
              </a:graphicData>
            </a:graphic>
          </wp:anchor>
        </w:drawing>
      </w:r>
    </w:p>
    <w:p>
      <w:pPr>
        <w:spacing w:after="0" w:line="8"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Raymond Chang</w:t>
      </w:r>
    </w:p>
    <w:p>
      <w:pPr>
        <w:spacing w:after="0" w:line="1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w:t>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(Principal Executive Officer and Principal Financial and</w:t>
      </w:r>
    </w:p>
    <w:p>
      <w:pPr>
        <w:spacing w:after="0" w:line="26"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Accounting Officer)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October 2, 2023</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960"/>
          </w:cols>
          <w:pgMar w:left="320" w:top="818" w:right="61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31.1</w:t>
      </w:r>
    </w:p>
    <w:p>
      <w:pPr>
        <w:spacing w:after="0" w:line="201" w:lineRule="exact"/>
        <w:rPr>
          <w:sz w:val="20"/>
          <w:szCs w:val="20"/>
          <w:color w:val="auto"/>
        </w:rPr>
      </w:pPr>
    </w:p>
    <w:p>
      <w:pPr>
        <w:jc w:val="center"/>
        <w:ind w:left="320" w:right="2320"/>
        <w:spacing w:after="0" w:line="254" w:lineRule="auto"/>
        <w:rPr>
          <w:sz w:val="20"/>
          <w:szCs w:val="20"/>
          <w:color w:val="auto"/>
        </w:rPr>
      </w:pPr>
      <w:r>
        <w:rPr>
          <w:rFonts w:ascii="Arial" w:cs="Arial" w:eastAsia="Arial" w:hAnsi="Arial"/>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color w:val="auto"/>
        </w:rPr>
        <w:t>I, Raymond Chang, certify that:</w:t>
      </w:r>
    </w:p>
    <w:p>
      <w:pPr>
        <w:spacing w:after="0" w:line="201" w:lineRule="exact"/>
        <w:rPr>
          <w:sz w:val="20"/>
          <w:szCs w:val="20"/>
          <w:color w:val="auto"/>
        </w:rPr>
      </w:pPr>
    </w:p>
    <w:p>
      <w:pPr>
        <w:ind w:left="301" w:right="80" w:hanging="301"/>
        <w:spacing w:after="0" w:line="260"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Amendment No. 1 to the Quarterly Report on Form 10-Q of Agrify Corporation (the “Company”) for the quarterly period ended September 30, 2022;</w:t>
      </w:r>
    </w:p>
    <w:p>
      <w:pPr>
        <w:spacing w:after="0" w:line="171" w:lineRule="exact"/>
        <w:rPr>
          <w:rFonts w:ascii="Arial" w:cs="Arial" w:eastAsia="Arial" w:hAnsi="Arial"/>
          <w:sz w:val="17"/>
          <w:szCs w:val="17"/>
          <w:color w:val="auto"/>
        </w:rPr>
      </w:pPr>
    </w:p>
    <w:p>
      <w:pPr>
        <w:ind w:left="301" w:right="680" w:hanging="301"/>
        <w:spacing w:after="0" w:line="367" w:lineRule="auto"/>
        <w:tabs>
          <w:tab w:leader="none" w:pos="3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4"/>
          <w:szCs w:val="14"/>
          <w:color w:val="auto"/>
        </w:rPr>
      </w:pPr>
    </w:p>
    <w:p>
      <w:pPr>
        <w:ind w:left="301" w:right="680" w:hanging="301"/>
        <w:spacing w:after="0" w:line="260"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7"/>
          <w:szCs w:val="17"/>
          <w:color w:val="auto"/>
        </w:rPr>
      </w:pPr>
    </w:p>
    <w:p>
      <w:pPr>
        <w:ind w:left="301" w:hanging="301"/>
        <w:spacing w:after="0"/>
        <w:tabs>
          <w:tab w:leader="none" w:pos="301"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6" w:lineRule="exact"/>
        <w:rPr>
          <w:rFonts w:ascii="Arial" w:cs="Arial" w:eastAsia="Arial" w:hAnsi="Arial"/>
          <w:sz w:val="15"/>
          <w:szCs w:val="15"/>
          <w:color w:val="auto"/>
        </w:rPr>
      </w:pPr>
    </w:p>
    <w:p>
      <w:pPr>
        <w:ind w:left="301"/>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13" w:lineRule="exact"/>
        <w:rPr>
          <w:rFonts w:ascii="Arial" w:cs="Arial" w:eastAsia="Arial" w:hAnsi="Arial"/>
          <w:sz w:val="15"/>
          <w:szCs w:val="15"/>
          <w:color w:val="auto"/>
        </w:rPr>
      </w:pPr>
    </w:p>
    <w:p>
      <w:pPr>
        <w:ind w:left="601" w:right="20" w:hanging="303"/>
        <w:spacing w:after="0" w:line="252" w:lineRule="auto"/>
        <w:tabs>
          <w:tab w:leader="none" w:pos="6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601" w:right="20" w:hanging="303"/>
        <w:spacing w:after="0" w:line="252" w:lineRule="auto"/>
        <w:tabs>
          <w:tab w:leader="none" w:pos="6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7"/>
          <w:szCs w:val="17"/>
          <w:color w:val="auto"/>
        </w:rPr>
      </w:pPr>
    </w:p>
    <w:p>
      <w:pPr>
        <w:ind w:left="601" w:right="420" w:hanging="303"/>
        <w:spacing w:after="0" w:line="327" w:lineRule="auto"/>
        <w:tabs>
          <w:tab w:leader="none" w:pos="601"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5"/>
          <w:szCs w:val="15"/>
          <w:color w:val="auto"/>
        </w:rPr>
      </w:pPr>
    </w:p>
    <w:p>
      <w:pPr>
        <w:ind w:left="601" w:right="60" w:hanging="303"/>
        <w:spacing w:after="0" w:line="252" w:lineRule="auto"/>
        <w:tabs>
          <w:tab w:leader="none" w:pos="6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8" w:lineRule="exact"/>
        <w:rPr>
          <w:rFonts w:ascii="Arial" w:cs="Arial" w:eastAsia="Arial" w:hAnsi="Arial"/>
          <w:sz w:val="17"/>
          <w:szCs w:val="17"/>
          <w:color w:val="auto"/>
        </w:rPr>
      </w:pPr>
    </w:p>
    <w:p>
      <w:pPr>
        <w:ind w:left="301" w:right="440" w:hanging="301"/>
        <w:spacing w:after="0" w:line="260" w:lineRule="auto"/>
        <w:tabs>
          <w:tab w:leader="none" w:pos="3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7"/>
          <w:szCs w:val="17"/>
          <w:color w:val="auto"/>
        </w:rPr>
      </w:pPr>
    </w:p>
    <w:p>
      <w:pPr>
        <w:ind w:left="601" w:right="580" w:hanging="303"/>
        <w:spacing w:after="0" w:line="260" w:lineRule="auto"/>
        <w:tabs>
          <w:tab w:leader="none" w:pos="6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7"/>
          <w:szCs w:val="17"/>
          <w:color w:val="auto"/>
        </w:rPr>
      </w:pPr>
    </w:p>
    <w:p>
      <w:pPr>
        <w:ind w:left="601" w:right="180" w:hanging="303"/>
        <w:spacing w:after="0" w:line="260" w:lineRule="auto"/>
        <w:tabs>
          <w:tab w:leader="none" w:pos="60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7"/>
                <w:szCs w:val="17"/>
                <w:color w:val="auto"/>
              </w:rPr>
              <w:t>Date: October 2, 2023</w:t>
            </w:r>
          </w:p>
        </w:tc>
        <w:tc>
          <w:tcPr>
            <w:tcW w:w="3200" w:type="dxa"/>
            <w:vAlign w:val="bottom"/>
          </w:tcPr>
          <w:p>
            <w:pPr>
              <w:ind w:left="2640"/>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Raymond Chang</w:t>
            </w:r>
          </w:p>
        </w:tc>
      </w:tr>
      <w:tr>
        <w:trPr>
          <w:trHeight w:val="186"/>
        </w:trPr>
        <w:tc>
          <w:tcPr>
            <w:tcW w:w="4120" w:type="dxa"/>
            <w:vAlign w:val="bottom"/>
          </w:tcPr>
          <w:p>
            <w:pPr>
              <w:spacing w:after="0"/>
              <w:rPr>
                <w:sz w:val="16"/>
                <w:szCs w:val="16"/>
                <w:color w:val="auto"/>
              </w:rPr>
            </w:pPr>
          </w:p>
        </w:tc>
        <w:tc>
          <w:tcPr>
            <w:tcW w:w="3200" w:type="dxa"/>
            <w:vAlign w:val="bottom"/>
          </w:tcPr>
          <w:p>
            <w:pPr>
              <w:ind w:left="2640"/>
              <w:spacing w:after="0" w:line="185"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6" w:lineRule="exact"/>
              <w:rPr>
                <w:sz w:val="20"/>
                <w:szCs w:val="20"/>
                <w:color w:val="auto"/>
              </w:rPr>
            </w:pPr>
            <w:r>
              <w:rPr>
                <w:rFonts w:ascii="Arial" w:cs="Arial" w:eastAsia="Arial" w:hAnsi="Arial"/>
                <w:sz w:val="17"/>
                <w:szCs w:val="17"/>
                <w:color w:val="auto"/>
              </w:rPr>
              <w:t>Raymond Chang</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198"/>
        </w:trPr>
        <w:tc>
          <w:tcPr>
            <w:tcW w:w="4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(Principal Executive Officer and</w:t>
            </w:r>
          </w:p>
        </w:tc>
      </w:tr>
      <w:tr>
        <w:trPr>
          <w:trHeight w:val="209"/>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ectPr>
          <w:pgSz w:w="11900" w:h="16838" w:orient="portrait"/>
          <w:cols w:equalWidth="0" w:num="1">
            <w:col w:w="11241"/>
          </w:cols>
          <w:pgMar w:left="319" w:top="12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In connection with Amendment No. 1 to the Quarterly Report on Form 10-Q of Agrify Corporation (the “Company”) for the quarterly period ended September 30,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45" w:lineRule="exact"/>
        <w:rPr>
          <w:sz w:val="20"/>
          <w:szCs w:val="20"/>
          <w:color w:val="auto"/>
        </w:rPr>
      </w:pPr>
    </w:p>
    <w:p>
      <w:pPr>
        <w:ind w:left="600" w:hanging="303"/>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1" w:lineRule="exact"/>
        <w:rPr>
          <w:rFonts w:ascii="Arial" w:cs="Arial" w:eastAsia="Arial" w:hAnsi="Arial"/>
          <w:sz w:val="17"/>
          <w:szCs w:val="17"/>
          <w:color w:val="auto"/>
        </w:rPr>
      </w:pPr>
    </w:p>
    <w:p>
      <w:pPr>
        <w:ind w:left="600" w:hanging="303"/>
        <w:spacing w:after="0"/>
        <w:tabs>
          <w:tab w:leader="none" w:pos="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7"/>
                <w:szCs w:val="17"/>
                <w:color w:val="auto"/>
              </w:rPr>
              <w:t>Date: October 2, 2023</w:t>
            </w:r>
          </w:p>
        </w:tc>
        <w:tc>
          <w:tcPr>
            <w:tcW w:w="3200" w:type="dxa"/>
            <w:vAlign w:val="bottom"/>
          </w:tcPr>
          <w:p>
            <w:pPr>
              <w:ind w:left="2640"/>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Raymond Chang</w:t>
            </w:r>
          </w:p>
        </w:tc>
      </w:tr>
      <w:tr>
        <w:trPr>
          <w:trHeight w:val="186"/>
        </w:trPr>
        <w:tc>
          <w:tcPr>
            <w:tcW w:w="4120" w:type="dxa"/>
            <w:vAlign w:val="bottom"/>
          </w:tcPr>
          <w:p>
            <w:pPr>
              <w:spacing w:after="0"/>
              <w:rPr>
                <w:sz w:val="16"/>
                <w:szCs w:val="16"/>
                <w:color w:val="auto"/>
              </w:rPr>
            </w:pPr>
          </w:p>
        </w:tc>
        <w:tc>
          <w:tcPr>
            <w:tcW w:w="3200" w:type="dxa"/>
            <w:vAlign w:val="bottom"/>
          </w:tcPr>
          <w:p>
            <w:pPr>
              <w:ind w:left="2640"/>
              <w:spacing w:after="0" w:line="185"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6" w:lineRule="exact"/>
              <w:rPr>
                <w:sz w:val="20"/>
                <w:szCs w:val="20"/>
                <w:color w:val="auto"/>
              </w:rPr>
            </w:pPr>
            <w:r>
              <w:rPr>
                <w:rFonts w:ascii="Arial" w:cs="Arial" w:eastAsia="Arial" w:hAnsi="Arial"/>
                <w:sz w:val="17"/>
                <w:szCs w:val="17"/>
                <w:color w:val="auto"/>
              </w:rPr>
              <w:t>Raymond Chang</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198"/>
        </w:trPr>
        <w:tc>
          <w:tcPr>
            <w:tcW w:w="4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(Principal Executive Officer and</w:t>
            </w:r>
          </w:p>
        </w:tc>
      </w:tr>
      <w:tr>
        <w:trPr>
          <w:trHeight w:val="209"/>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lowerRoman"/>
      <w:start w:val="2"/>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ο"/>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18" Type="http://schemas.openxmlformats.org/officeDocument/2006/relationships/hyperlink" Target="http://www.sec.gov/Archives/edgar/data/1800637/000121390022039420/ea162872ex3-1_agrify.htm" TargetMode="External"/><Relationship Id="rId119" Type="http://schemas.openxmlformats.org/officeDocument/2006/relationships/hyperlink" Target="http://www.sec.gov/Archives/edgar/data/1800637/000121390022064269/ea167213ex3-1agrifycorp.htm" TargetMode="External"/><Relationship Id="rId120" Type="http://schemas.openxmlformats.org/officeDocument/2006/relationships/hyperlink" Target="http://www.sec.gov/Archives/edgar/data/1800637/000121390022049494/ea164681ex4-1_agrify.htm" TargetMode="External"/><Relationship Id="rId121" Type="http://schemas.openxmlformats.org/officeDocument/2006/relationships/hyperlink" Target="http://www.sec.gov/Archives/edgar/data/1800637/000121390022049494/ea164681ex4-2_agrify.htm" TargetMode="External"/><Relationship Id="rId122" Type="http://schemas.openxmlformats.org/officeDocument/2006/relationships/hyperlink" Target="http://www.sec.gov/Archives/edgar/data/1800637/000121390022049494/ea164681ex4-3_agrify.htm" TargetMode="External"/><Relationship Id="rId123" Type="http://schemas.openxmlformats.org/officeDocument/2006/relationships/hyperlink" Target="http://www.sec.gov/Archives/edgar/data/1800637/000121390022039420/ea162872ex10-2_agrify.htm" TargetMode="External"/><Relationship Id="rId124" Type="http://schemas.openxmlformats.org/officeDocument/2006/relationships/hyperlink" Target="http://www.sec.gov/Archives/edgar/data/1800637/000121390022039420/ea162872ex10-1_agrify.htm" TargetMode="External"/><Relationship Id="rId125" Type="http://schemas.openxmlformats.org/officeDocument/2006/relationships/hyperlink" Target="http://www.sec.gov/Archives/edgar/data/1800637/000121390022049494/ea164681ex10-1_agrify.htm" TargetMode="External"/><Relationship Id="rId126" Type="http://schemas.openxmlformats.org/officeDocument/2006/relationships/hyperlink" Target="http://www.sec.gov/Archives/edgar/data/1800637/000121390022064592/ea167238ex1-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2023-10-02T08:32:14Z</dcterms:created>
  <dcterms:modified xsi:type="dcterms:W3CDTF">2023-10-02T08:32:14Z</dcterms:modified>
</cp:coreProperties>
</file>