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17,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620" w:type="dxa"/>
            <w:vAlign w:val="bottom"/>
          </w:tcPr>
          <w:p>
            <w:pPr>
              <w:jc w:val="center"/>
              <w:ind w:left="790"/>
              <w:spacing w:after="0"/>
              <w:rPr>
                <w:sz w:val="20"/>
                <w:szCs w:val="20"/>
                <w:color w:val="auto"/>
              </w:rPr>
            </w:pPr>
            <w:r>
              <w:rPr>
                <w:rFonts w:ascii="Arial" w:cs="Arial" w:eastAsia="Arial" w:hAnsi="Arial"/>
                <w:sz w:val="18"/>
                <w:szCs w:val="18"/>
                <w:b w:val="1"/>
                <w:bCs w:val="1"/>
                <w:color w:val="auto"/>
                <w:w w:val="90"/>
              </w:rPr>
              <w:t>001-39946</w:t>
            </w:r>
          </w:p>
        </w:tc>
        <w:tc>
          <w:tcPr>
            <w:tcW w:w="6620" w:type="dxa"/>
            <w:vAlign w:val="bottom"/>
            <w:gridSpan w:val="3"/>
          </w:tcPr>
          <w:p>
            <w:pPr>
              <w:jc w:val="right"/>
              <w:ind w:right="2230"/>
              <w:spacing w:after="0"/>
              <w:rPr>
                <w:sz w:val="20"/>
                <w:szCs w:val="20"/>
                <w:color w:val="auto"/>
              </w:rPr>
            </w:pPr>
            <w:r>
              <w:rPr>
                <w:rFonts w:ascii="Arial" w:cs="Arial" w:eastAsia="Arial" w:hAnsi="Arial"/>
                <w:sz w:val="18"/>
                <w:szCs w:val="18"/>
                <w:b w:val="1"/>
                <w:bCs w:val="1"/>
                <w:color w:val="auto"/>
              </w:rPr>
              <w:t>30-0943453</w:t>
            </w:r>
          </w:p>
        </w:tc>
      </w:tr>
      <w:tr>
        <w:trPr>
          <w:trHeight w:val="230"/>
        </w:trPr>
        <w:tc>
          <w:tcPr>
            <w:tcW w:w="4620" w:type="dxa"/>
            <w:vAlign w:val="bottom"/>
            <w:tcBorders>
              <w:top w:val="single" w:sz="8" w:color="auto"/>
            </w:tcBorders>
          </w:tcPr>
          <w:p>
            <w:pPr>
              <w:jc w:val="center"/>
              <w:ind w:left="810"/>
              <w:spacing w:after="0"/>
              <w:rPr>
                <w:sz w:val="20"/>
                <w:szCs w:val="20"/>
                <w:color w:val="auto"/>
              </w:rPr>
            </w:pPr>
            <w:r>
              <w:rPr>
                <w:rFonts w:ascii="Arial" w:cs="Arial" w:eastAsia="Arial" w:hAnsi="Arial"/>
                <w:sz w:val="18"/>
                <w:szCs w:val="18"/>
                <w:color w:val="auto"/>
                <w:w w:val="93"/>
              </w:rPr>
              <w:t>(Commission File Number)</w:t>
            </w: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6"/>
        </w:trPr>
        <w:tc>
          <w:tcPr>
            <w:tcW w:w="4620" w:type="dxa"/>
            <w:vAlign w:val="bottom"/>
          </w:tcPr>
          <w:p>
            <w:pPr>
              <w:jc w:val="center"/>
              <w:ind w:left="810"/>
              <w:spacing w:after="0"/>
              <w:rPr>
                <w:sz w:val="20"/>
                <w:szCs w:val="20"/>
                <w:color w:val="auto"/>
              </w:rPr>
            </w:pPr>
            <w:r>
              <w:rPr>
                <w:rFonts w:ascii="Arial" w:cs="Arial" w:eastAsia="Arial" w:hAnsi="Arial"/>
                <w:sz w:val="18"/>
                <w:szCs w:val="18"/>
                <w:b w:val="1"/>
                <w:bCs w:val="1"/>
                <w:color w:val="auto"/>
                <w:w w:val="91"/>
              </w:rPr>
              <w:t>76 Treble Cove Rd.</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6"/>
        </w:trPr>
        <w:tc>
          <w:tcPr>
            <w:tcW w:w="4620" w:type="dxa"/>
            <w:vAlign w:val="bottom"/>
          </w:tcPr>
          <w:p>
            <w:pPr>
              <w:jc w:val="center"/>
              <w:ind w:left="810"/>
              <w:spacing w:after="0"/>
              <w:rPr>
                <w:sz w:val="20"/>
                <w:szCs w:val="20"/>
                <w:color w:val="auto"/>
              </w:rPr>
            </w:pPr>
            <w:r>
              <w:rPr>
                <w:rFonts w:ascii="Arial" w:cs="Arial" w:eastAsia="Arial" w:hAnsi="Arial"/>
                <w:sz w:val="18"/>
                <w:szCs w:val="18"/>
                <w:b w:val="1"/>
                <w:bCs w:val="1"/>
                <w:color w:val="auto"/>
                <w:w w:val="91"/>
              </w:rPr>
              <w:t>Building 3</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41"/>
        </w:trPr>
        <w:tc>
          <w:tcPr>
            <w:tcW w:w="4620" w:type="dxa"/>
            <w:vAlign w:val="bottom"/>
          </w:tcPr>
          <w:p>
            <w:pPr>
              <w:jc w:val="center"/>
              <w:ind w:left="810"/>
              <w:spacing w:after="0"/>
              <w:rPr>
                <w:sz w:val="20"/>
                <w:szCs w:val="20"/>
                <w:color w:val="auto"/>
              </w:rPr>
            </w:pPr>
            <w:r>
              <w:rPr>
                <w:rFonts w:ascii="Arial" w:cs="Arial" w:eastAsia="Arial" w:hAnsi="Arial"/>
                <w:sz w:val="18"/>
                <w:szCs w:val="18"/>
                <w:b w:val="1"/>
                <w:bCs w:val="1"/>
                <w:color w:val="auto"/>
                <w:w w:val="96"/>
              </w:rPr>
              <w:t>Billerica, MA</w:t>
            </w:r>
          </w:p>
        </w:tc>
        <w:tc>
          <w:tcPr>
            <w:tcW w:w="6620" w:type="dxa"/>
            <w:vAlign w:val="bottom"/>
            <w:gridSpan w:val="3"/>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4620" w:type="dxa"/>
            <w:vAlign w:val="bottom"/>
            <w:tcBorders>
              <w:top w:val="single" w:sz="8" w:color="auto"/>
            </w:tcBorders>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418"/>
        </w:trPr>
        <w:tc>
          <w:tcPr>
            <w:tcW w:w="4620" w:type="dxa"/>
            <w:vAlign w:val="bottom"/>
          </w:tcPr>
          <w:p>
            <w:pPr>
              <w:spacing w:after="0"/>
              <w:rPr>
                <w:sz w:val="24"/>
                <w:szCs w:val="24"/>
                <w:color w:val="auto"/>
              </w:rPr>
            </w:pPr>
          </w:p>
        </w:tc>
        <w:tc>
          <w:tcPr>
            <w:tcW w:w="6620" w:type="dxa"/>
            <w:vAlign w:val="bottom"/>
            <w:gridSpan w:val="3"/>
          </w:tcPr>
          <w:p>
            <w:pPr>
              <w:jc w:val="right"/>
              <w:ind w:right="4970"/>
              <w:spacing w:after="0"/>
              <w:rPr>
                <w:sz w:val="20"/>
                <w:szCs w:val="20"/>
                <w:color w:val="auto"/>
              </w:rPr>
            </w:pPr>
            <w:r>
              <w:rPr>
                <w:rFonts w:ascii="Arial" w:cs="Arial" w:eastAsia="Arial" w:hAnsi="Arial"/>
                <w:sz w:val="18"/>
                <w:szCs w:val="18"/>
                <w:b w:val="1"/>
                <w:bCs w:val="1"/>
                <w:color w:val="auto"/>
              </w:rPr>
              <w:t>(617) 896-5243</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22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2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16"/>
        </w:trPr>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previously disclosed in the Current Report on Form 8-K filed by Agrify Corporation (the “Company”) on April 24, 2023, the “Company received a notice (the “April Nasdaq Notice”) from The Nasdaq Stock Market LLC (“Nasdaq”) stating that because the Company had not yet filed its Annual Report on Form 10-K for the fiscal year ended December 31, 2022 (the “Form 10-K”), the Company is no longer in compliance with Nasdaq Listing Rule 5250(c)</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(1). Nasdaq Listing Rule 5250(c)(1) requires listed companies to timely file all required periodic financial reports with the Securities and Exchange Commission.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17, 2023, the Company received a second notice from Nasdaq that the Company remains noncompliant with the Nasdaq Listing Rule 5250(c)(1) as a result of its failure to file its Quarterly Report on Form 10-Q for the quarter ended March 31, 2023 (the “Form 10-Q”) with the SEC by the required due date (the “May Nasdaq Notice” and, together with the April Nasdaq Notice, the “Nasdaq Notices”). As disclosed in the Current Report on Form 8-K filed by the Company on April 17, 2023, the Company’s audit committee concluded that, as a result of inadvertent errors in the accounting for warrants previously issued by the Company, it was appropriate to restate the Company’s previously issued unaudited condensed consolidated interim financial statements as of and for the quarterly periods ended March 31, 2022, June 30, 2022 and September 30, 2022 included in the Company’s Quarterly Reports on Form 10-Q for such periods in amended quarterly reports for the affected periods. As disclosed by the Company on its Notification of Late Filing on Form 12b-25, filed with the SEC on March 31, 2023, the Company was unable to timely file the Form 10-K and the Form 10-Q without unreasonable effort or expense.</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May Nasdaq Notice requires the Company to submit a plan to regain compliance with the continued listing requirements by June 20, 2023. If Nasdaq accepts the Company’s plan, then Nasdaq may, in its discretion, grant the Company up to 180 days from the prescribed due date for filing the Form 10-K, or until October 16, 2023, to regain compliance. If Nasdaq does not accept the Company’s plan, then the Company will have the opportunity to appeal that decision to a Nasdaq Hearings Panel. The Company currently expects to file one plan to address the Nasdaq Notices. The Nasdaq Notices have no immediate effect on the listing of the Company’s common stock on The Nasdaq Stock Market LLC.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23, 2023, the Company issued a press release disclosing the receipt of the May Nasdaq Notice referenced above. A copy of the press release is furnished as Exhibit 99.1 to this Current Report on Form 8-K and is incorporated herein by reference.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shd w:val="clear" w:color="auto" w:fill="CCEEFF"/>
        </w:rPr>
        <w:t>Press Release of the Company, dated as of May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580" w:right="4300" w:hanging="5572"/>
        <w:spacing w:after="0" w:line="761" w:lineRule="auto"/>
        <w:tabs>
          <w:tab w:leader="none" w:pos="1132"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Raymond Nobu Chang</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May 23,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168910</wp:posOffset>
            </wp:positionV>
            <wp:extent cx="2194560" cy="908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945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Receives Nasdaq Notification of Non-Compliance with Listing Rule 5250(c)(1)</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BILLERICA, Mass., May 23, 2023 (GLOBE NEWSWIRE) – Agrify Corporation (Nasdaq: AGFY) (“Agrify” or the “Company”), a leading provider of innovative cultivation and extraction solutions for the cannabis industry, today announced that on May 17, 2023, it received a letter from the Listing Qualifications Department of the Nasdaq Stock Market LLC (“Nasdaq”) notifying Agrify that it was not in compliance with requirements of Nasdaq Listing Rule 5250(c)(1) as a result of not having timely filed its Quarterly Report on Form 10-Q for the fiscal quarter ended March 31, 2023, with the Securities and Exchange Commission (“SEC”).</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notification has no immediate effect on the listing of Agrify’s common stock on the Nasdaq. However, if Agrify fails to timely regain compliance with the Nasdaq Listing Rule, Agrify’s common stock will be subject to delisting from Nasdaq.</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disclosed in the Current Report on Form 8-K filed by the Company on April 17, 2023, Agrify’s audit committee concluded that, as a result of errors in the accounting for warrants previously issued by Agrify, it is appropriate to restate Agrify’s previously issued unaudited condensed consolidated financial statements as of and for the fiscal periods ended March 31, 2022, June 30, 2022 and September 30, 2022 in amended quarterly reports for the affected periods. Given the scope of the process for preparing the amended quarterly reports, Agrify was unable to complete and file the Form 10-K for the fiscal year ended December 31, 2022 and the Form 10-Q for the fiscal quarter ended March 31, 2023 by their respective due dates. On May 15, 2023, the Company filed a Form 12b-25 Notification of Late Filing with the SEC related to the Form 10-Q for the fiscal quarter ended March 31, 2023.</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Nasdaq rules, the Company has until June 20, 2023 to submit to Nasdaq a plan to regain compliance with the Nasdaq Listing Rule. If Nasdaq accepts the Company’s plan, then Nasdaq may grant the Company up to 180 days from the prescribed due date for filing the Form 10-K and Form 10-Q to regain compliance. If Nasdaq does not accept the Company’s plan, then the Company will have the opportunity to appeal that decision to a Nasdaq Hearings Panel.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working diligently and expects to file its Form 10-Q within the prescribed period, which would eliminate the need for the Company to submit a formal plan to regain compliance.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(Nasdaq: AGFY)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the timing and filing of the amended Quarterly Reports on Form 10-Q and the delayed Annual Report on Form 10-K and Quarterly Report on Form 10-Q and Agrify’s ability to regain compliance with applicable Nasdaq rules.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Agrify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Agrify’s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Inquiries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Caitlin Moakley Bricker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of Staff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caitlin.moakley@agrify.com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733-0584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Inquiries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Rachel Soulsby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rachel.soulsby@agrify.com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(978) 660-9125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2023-05-23T15:35:50Z</dcterms:created>
  <dcterms:modified xsi:type="dcterms:W3CDTF">2023-05-23T15:35:50Z</dcterms:modified>
</cp:coreProperties>
</file>