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Hayden Timothy John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4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11/01/2022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Agrify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AGFY</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AGRIFY CORPORATION</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76 TREBLE COVE ROAD,</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BUILDING 3</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BILLERICA MA</w:t>
            </w:r>
          </w:p>
        </w:tc>
        <w:tc>
          <w:tcPr>
            <w:tcW w:w="840" w:type="dxa"/>
            <w:vAlign w:val="bottom"/>
          </w:tcPr>
          <w:p>
            <w:pPr>
              <w:jc w:val="right"/>
              <w:spacing w:after="0"/>
              <w:rPr>
                <w:sz w:val="20"/>
                <w:szCs w:val="20"/>
                <w:color w:val="auto"/>
              </w:rPr>
            </w:pPr>
            <w:r>
              <w:rPr>
                <w:rFonts w:ascii="Arial" w:cs="Arial" w:eastAsia="Arial" w:hAnsi="Arial"/>
                <w:sz w:val="20"/>
                <w:szCs w:val="20"/>
                <w:color w:val="0000FF"/>
              </w:rPr>
              <w:t>01862</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83"/>
        <w:spacing w:after="0"/>
        <w:rPr>
          <w:sz w:val="20"/>
          <w:szCs w:val="20"/>
          <w:color w:val="auto"/>
        </w:rPr>
      </w:pPr>
      <w:r>
        <w:rPr>
          <w:rFonts w:ascii="Arial" w:cs="Arial" w:eastAsia="Arial" w:hAnsi="Arial"/>
          <w:sz w:val="20"/>
          <w:szCs w:val="20"/>
          <w:color w:val="0000FF"/>
        </w:rPr>
        <w:t>Chief Revenue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Restricted Stock Unit</w:t>
            </w:r>
            <w:r>
              <w:rPr>
                <w:rFonts w:ascii="Arial" w:cs="Arial" w:eastAsia="Arial" w:hAnsi="Arial"/>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(2)</w:t>
            </w:r>
          </w:p>
        </w:tc>
        <w:tc>
          <w:tcPr>
            <w:tcW w:w="880" w:type="dxa"/>
            <w:vAlign w:val="bottom"/>
            <w:tcBorders>
              <w:bottom w:val="single" w:sz="8" w:color="2C2C2C"/>
            </w:tcBorders>
          </w:tcPr>
          <w:p>
            <w:pPr>
              <w:jc w:val="right"/>
              <w:ind w:right="25"/>
              <w:spacing w:after="0"/>
              <w:rPr>
                <w:sz w:val="20"/>
                <w:szCs w:val="20"/>
                <w:color w:val="auto"/>
              </w:rPr>
            </w:pPr>
            <w:r>
              <w:rPr>
                <w:rFonts w:ascii="Arial" w:cs="Arial" w:eastAsia="Arial" w:hAnsi="Arial"/>
                <w:sz w:val="15"/>
                <w:szCs w:val="15"/>
                <w:color w:val="0000FF"/>
              </w:rPr>
              <w:t>09/29/2032</w:t>
            </w:r>
          </w:p>
        </w:tc>
        <w:tc>
          <w:tcPr>
            <w:tcW w:w="174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Borders>
              <w:bottom w:val="single" w:sz="8" w:color="2C2C2C"/>
            </w:tcBorders>
          </w:tcPr>
          <w:p>
            <w:pPr>
              <w:ind w:left="260"/>
              <w:spacing w:after="0"/>
              <w:rPr>
                <w:sz w:val="20"/>
                <w:szCs w:val="20"/>
                <w:color w:val="auto"/>
              </w:rPr>
            </w:pPr>
            <w:r>
              <w:rPr>
                <w:rFonts w:ascii="Arial" w:cs="Arial" w:eastAsia="Arial" w:hAnsi="Arial"/>
                <w:sz w:val="20"/>
                <w:szCs w:val="20"/>
                <w:color w:val="0000FF"/>
              </w:rPr>
              <w:t>7,500</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(3)</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Grant of restricted stock units under to the Agrify Corporation 2022 Omnibus Equity Incentive Plan.</w:t>
      </w:r>
    </w:p>
    <w:p>
      <w:pPr>
        <w:spacing w:after="0" w:line="52" w:lineRule="exact"/>
        <w:rPr>
          <w:rFonts w:ascii="Arial" w:cs="Arial" w:eastAsia="Arial" w:hAnsi="Arial"/>
          <w:sz w:val="15"/>
          <w:szCs w:val="15"/>
          <w:color w:val="008000"/>
        </w:rPr>
      </w:pPr>
    </w:p>
    <w:p>
      <w:pPr>
        <w:ind w:left="40" w:right="1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restricted stock units will vest in three equal installments on September 29, 2023, September 29, 2024 and September 29, 2025, subject to the reporting person's continuous service through each applicable vesting date.</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restricted stock unit represents the right to receive, at settlement, one share of common stock of the issuer.</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24.1 -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Josh Savitz, attorney-</w:t>
            </w:r>
          </w:p>
        </w:tc>
        <w:tc>
          <w:tcPr>
            <w:tcW w:w="26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11/14/2022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LIMITED POWER OF ATTORNEY</w:t>
      </w:r>
    </w:p>
    <w:p>
      <w:pPr>
        <w:spacing w:after="0" w:line="200" w:lineRule="exact"/>
        <w:rPr>
          <w:sz w:val="20"/>
          <w:szCs w:val="20"/>
          <w:color w:val="auto"/>
        </w:rPr>
      </w:pPr>
    </w:p>
    <w:p>
      <w:pPr>
        <w:spacing w:after="0" w:line="245"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The undersigned, Timothy John Hayden, hereby appoints Robert Petitt and Chad Porter of Burns &amp; Levinson LLP of Boston, Massachusetts, and other designated attorneys, and Kathrine LeBlanc and Michael Cifelli, each a paralegal of such firm, as well as Joshua Savitz, Associate General Counsel of Agrify Corporation, a Nevada corporation (the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to be his true and lawful attorney-in-fact (his “</w:t>
      </w:r>
      <w:r>
        <w:rPr>
          <w:rFonts w:ascii="Arial" w:cs="Arial" w:eastAsia="Arial" w:hAnsi="Arial"/>
          <w:sz w:val="20"/>
          <w:szCs w:val="20"/>
          <w:b w:val="1"/>
          <w:bCs w:val="1"/>
          <w:u w:val="single" w:color="auto"/>
          <w:color w:val="auto"/>
        </w:rPr>
        <w:t>Attorney</w:t>
      </w:r>
      <w:r>
        <w:rPr>
          <w:rFonts w:ascii="Arial" w:cs="Arial" w:eastAsia="Arial" w:hAnsi="Arial"/>
          <w:sz w:val="20"/>
          <w:szCs w:val="20"/>
          <w:color w:val="auto"/>
        </w:rPr>
        <w:t>”) in his name and on his behalf to:</w:t>
      </w:r>
    </w:p>
    <w:p>
      <w:pPr>
        <w:spacing w:after="0" w:line="208" w:lineRule="exact"/>
        <w:rPr>
          <w:sz w:val="20"/>
          <w:szCs w:val="20"/>
          <w:color w:val="auto"/>
        </w:rPr>
      </w:pPr>
    </w:p>
    <w:p>
      <w:pPr>
        <w:ind w:right="380" w:firstLine="720"/>
        <w:spacing w:after="0" w:line="305" w:lineRule="auto"/>
        <w:tabs>
          <w:tab w:leader="none" w:pos="1304" w:val="left"/>
        </w:tabs>
        <w:numPr>
          <w:ilvl w:val="0"/>
          <w:numId w:val="6"/>
        </w:numPr>
        <w:rPr>
          <w:rFonts w:ascii="Arial" w:cs="Arial" w:eastAsia="Arial" w:hAnsi="Arial"/>
          <w:sz w:val="19"/>
          <w:szCs w:val="19"/>
          <w:color w:val="auto"/>
        </w:rPr>
      </w:pPr>
      <w:r>
        <w:rPr>
          <w:rFonts w:ascii="Arial" w:cs="Arial" w:eastAsia="Arial" w:hAnsi="Arial"/>
          <w:sz w:val="19"/>
          <w:szCs w:val="19"/>
          <w:color w:val="auto"/>
        </w:rPr>
        <w:t>prepare, execute, acknowledge, deliver and file SEC Form ID’s and any other documents necessary with the United States Securities and Exchange Commission on behalf of the undersigned to obtain filing codes for the undersigned;</w:t>
      </w:r>
    </w:p>
    <w:p>
      <w:pPr>
        <w:spacing w:after="0" w:line="165" w:lineRule="exact"/>
        <w:rPr>
          <w:rFonts w:ascii="Arial" w:cs="Arial" w:eastAsia="Arial" w:hAnsi="Arial"/>
          <w:sz w:val="19"/>
          <w:szCs w:val="19"/>
          <w:color w:val="auto"/>
        </w:rPr>
      </w:pPr>
    </w:p>
    <w:p>
      <w:pPr>
        <w:jc w:val="both"/>
        <w:ind w:right="220" w:firstLine="720"/>
        <w:spacing w:after="0" w:line="277" w:lineRule="auto"/>
        <w:tabs>
          <w:tab w:leader="none" w:pos="1304" w:val="left"/>
        </w:tabs>
        <w:numPr>
          <w:ilvl w:val="0"/>
          <w:numId w:val="6"/>
        </w:numPr>
        <w:rPr>
          <w:rFonts w:ascii="Arial" w:cs="Arial" w:eastAsia="Arial" w:hAnsi="Arial"/>
          <w:sz w:val="19"/>
          <w:szCs w:val="19"/>
          <w:color w:val="auto"/>
        </w:rPr>
      </w:pPr>
      <w:r>
        <w:rPr>
          <w:rFonts w:ascii="Arial" w:cs="Arial" w:eastAsia="Arial" w:hAnsi="Arial"/>
          <w:sz w:val="19"/>
          <w:szCs w:val="19"/>
          <w:color w:val="auto"/>
        </w:rPr>
        <w:t>prepare, execute, acknowledge, deliver and file Forms 3, 4, and 5 (including any amendments thereto) with respect to the securities of the Company, with the United States Securities and Exchange Commission, any national securities exchanges and the Company, all as considered necessary or advisable under Section 16(a) of the Securities Exchange Act of 1934 and the rules and regulations promulgated thereunder, as amended from time to time (the “</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w:t>
      </w:r>
    </w:p>
    <w:p>
      <w:pPr>
        <w:spacing w:after="0" w:line="191" w:lineRule="exact"/>
        <w:rPr>
          <w:rFonts w:ascii="Arial" w:cs="Arial" w:eastAsia="Arial" w:hAnsi="Arial"/>
          <w:sz w:val="19"/>
          <w:szCs w:val="19"/>
          <w:color w:val="auto"/>
        </w:rPr>
      </w:pPr>
    </w:p>
    <w:p>
      <w:pPr>
        <w:ind w:firstLine="720"/>
        <w:spacing w:after="0" w:line="257" w:lineRule="auto"/>
        <w:tabs>
          <w:tab w:leader="none" w:pos="1304" w:val="left"/>
        </w:tabs>
        <w:numPr>
          <w:ilvl w:val="0"/>
          <w:numId w:val="6"/>
        </w:numPr>
        <w:rPr>
          <w:rFonts w:ascii="Arial" w:cs="Arial" w:eastAsia="Arial" w:hAnsi="Arial"/>
          <w:sz w:val="20"/>
          <w:szCs w:val="20"/>
          <w:color w:val="auto"/>
        </w:rPr>
      </w:pPr>
      <w:r>
        <w:rPr>
          <w:rFonts w:ascii="Arial" w:cs="Arial" w:eastAsia="Arial" w:hAnsi="Arial"/>
          <w:sz w:val="20"/>
          <w:szCs w:val="20"/>
          <w:color w:val="auto"/>
        </w:rPr>
        <w:t>seek or obtain, as the undersigned's representative and on the undersigned's behalf, if necessary or advisable in connection with performing the acts described in (1) above or under Section 16(a) of the Exchange Act,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9" w:lineRule="exact"/>
        <w:rPr>
          <w:rFonts w:ascii="Arial" w:cs="Arial" w:eastAsia="Arial" w:hAnsi="Arial"/>
          <w:sz w:val="20"/>
          <w:szCs w:val="20"/>
          <w:color w:val="auto"/>
        </w:rPr>
      </w:pPr>
    </w:p>
    <w:p>
      <w:pPr>
        <w:ind w:right="460" w:firstLine="720"/>
        <w:spacing w:after="0" w:line="277" w:lineRule="auto"/>
        <w:tabs>
          <w:tab w:leader="none" w:pos="1304" w:val="left"/>
        </w:tabs>
        <w:numPr>
          <w:ilvl w:val="0"/>
          <w:numId w:val="6"/>
        </w:numPr>
        <w:rPr>
          <w:rFonts w:ascii="Arial" w:cs="Arial" w:eastAsia="Arial" w:hAnsi="Arial"/>
          <w:sz w:val="20"/>
          <w:szCs w:val="20"/>
          <w:color w:val="auto"/>
        </w:rPr>
      </w:pPr>
      <w:r>
        <w:rPr>
          <w:rFonts w:ascii="Arial" w:cs="Arial" w:eastAsia="Arial" w:hAnsi="Arial"/>
          <w:sz w:val="20"/>
          <w:szCs w:val="20"/>
          <w:color w:val="auto"/>
        </w:rPr>
        <w:t>perform any and all other acts which in the discretion of such attorney-in-fact are necessary or desirable for and on behalf of the undersigned in connection with the foregoing.</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acknowledges and agrees that:</w:t>
      </w:r>
    </w:p>
    <w:p>
      <w:pPr>
        <w:spacing w:after="0" w:line="250" w:lineRule="exact"/>
        <w:rPr>
          <w:sz w:val="20"/>
          <w:szCs w:val="20"/>
          <w:color w:val="auto"/>
        </w:rPr>
      </w:pPr>
    </w:p>
    <w:p>
      <w:pPr>
        <w:ind w:right="240" w:firstLine="720"/>
        <w:spacing w:after="0" w:line="257" w:lineRule="auto"/>
        <w:tabs>
          <w:tab w:leader="none" w:pos="1303" w:val="left"/>
        </w:tabs>
        <w:numPr>
          <w:ilvl w:val="0"/>
          <w:numId w:val="7"/>
        </w:numPr>
        <w:rPr>
          <w:rFonts w:ascii="Arial" w:cs="Arial" w:eastAsia="Arial" w:hAnsi="Arial"/>
          <w:sz w:val="20"/>
          <w:szCs w:val="20"/>
          <w:color w:val="auto"/>
        </w:rPr>
      </w:pPr>
      <w:r>
        <w:rPr>
          <w:rFonts w:ascii="Arial" w:cs="Arial" w:eastAsia="Arial" w:hAnsi="Arial"/>
          <w:sz w:val="20"/>
          <w:szCs w:val="20"/>
          <w:color w:val="auto"/>
        </w:rPr>
        <w:t>this Limited Power of Attorney authorizes, but does not require, such attorney-in-fact to act in their discretion on information provided to such attorney-in-fact without independent verification of such information and such attorney-in-fact may presume that any such information he receives is accurate and complete and he has no obligation to independently verify such information and is not responsible for any liability based on the inaccuracy or incompleteness of such information as it is provided by the undersigned;</w:t>
      </w:r>
    </w:p>
    <w:p>
      <w:pPr>
        <w:spacing w:after="0" w:line="209" w:lineRule="exact"/>
        <w:rPr>
          <w:rFonts w:ascii="Arial" w:cs="Arial" w:eastAsia="Arial" w:hAnsi="Arial"/>
          <w:sz w:val="20"/>
          <w:szCs w:val="20"/>
          <w:color w:val="auto"/>
        </w:rPr>
      </w:pPr>
    </w:p>
    <w:p>
      <w:pPr>
        <w:ind w:right="100" w:firstLine="720"/>
        <w:spacing w:after="0" w:line="264" w:lineRule="auto"/>
        <w:tabs>
          <w:tab w:leader="none" w:pos="1303" w:val="left"/>
        </w:tabs>
        <w:numPr>
          <w:ilvl w:val="0"/>
          <w:numId w:val="7"/>
        </w:numPr>
        <w:rPr>
          <w:rFonts w:ascii="Arial" w:cs="Arial" w:eastAsia="Arial" w:hAnsi="Arial"/>
          <w:sz w:val="20"/>
          <w:szCs w:val="20"/>
          <w:color w:val="auto"/>
        </w:rPr>
      </w:pPr>
      <w:r>
        <w:rPr>
          <w:rFonts w:ascii="Arial" w:cs="Arial" w:eastAsia="Arial" w:hAnsi="Arial"/>
          <w:sz w:val="20"/>
          <w:szCs w:val="20"/>
          <w:color w:val="auto"/>
        </w:rPr>
        <w:t>any documents prepared and/or executed by such attorney-in-fact on behalf of the undersigned pursuant to this Limited Power of Attorney will be in such form and will contain such information and disclosure as such attorney-in-fact, in his or her discretion, deems necessary or desirable;</w:t>
      </w:r>
    </w:p>
    <w:p>
      <w:pPr>
        <w:spacing w:after="0" w:line="201" w:lineRule="exact"/>
        <w:rPr>
          <w:rFonts w:ascii="Arial" w:cs="Arial" w:eastAsia="Arial" w:hAnsi="Arial"/>
          <w:sz w:val="20"/>
          <w:szCs w:val="20"/>
          <w:color w:val="auto"/>
        </w:rPr>
      </w:pPr>
    </w:p>
    <w:p>
      <w:pPr>
        <w:ind w:right="100" w:firstLine="720"/>
        <w:spacing w:after="0" w:line="306" w:lineRule="auto"/>
        <w:tabs>
          <w:tab w:leader="none" w:pos="1303" w:val="left"/>
        </w:tabs>
        <w:numPr>
          <w:ilvl w:val="0"/>
          <w:numId w:val="7"/>
        </w:numPr>
        <w:rPr>
          <w:rFonts w:ascii="Arial" w:cs="Arial" w:eastAsia="Arial" w:hAnsi="Arial"/>
          <w:sz w:val="18"/>
          <w:szCs w:val="18"/>
          <w:color w:val="auto"/>
        </w:rPr>
      </w:pPr>
      <w:r>
        <w:rPr>
          <w:rFonts w:ascii="Arial" w:cs="Arial" w:eastAsia="Arial" w:hAnsi="Arial"/>
          <w:sz w:val="18"/>
          <w:szCs w:val="18"/>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68" w:lineRule="exact"/>
        <w:rPr>
          <w:rFonts w:ascii="Arial" w:cs="Arial" w:eastAsia="Arial" w:hAnsi="Arial"/>
          <w:sz w:val="18"/>
          <w:szCs w:val="18"/>
          <w:color w:val="auto"/>
        </w:rPr>
      </w:pPr>
    </w:p>
    <w:p>
      <w:pPr>
        <w:ind w:right="500" w:firstLine="720"/>
        <w:spacing w:after="0" w:line="264" w:lineRule="auto"/>
        <w:tabs>
          <w:tab w:leader="none" w:pos="1303" w:val="left"/>
        </w:tabs>
        <w:numPr>
          <w:ilvl w:val="0"/>
          <w:numId w:val="7"/>
        </w:numPr>
        <w:rPr>
          <w:rFonts w:ascii="Arial" w:cs="Arial" w:eastAsia="Arial" w:hAnsi="Arial"/>
          <w:sz w:val="20"/>
          <w:szCs w:val="20"/>
          <w:color w:val="auto"/>
        </w:rPr>
      </w:pPr>
      <w:r>
        <w:rPr>
          <w:rFonts w:ascii="Arial" w:cs="Arial" w:eastAsia="Arial" w:hAnsi="Arial"/>
          <w:sz w:val="20"/>
          <w:szCs w:val="20"/>
          <w:color w:val="auto"/>
        </w:rPr>
        <w:t>this Limited Power of Attorney does not relieve the undersigned from responsibility for compliance with the undersigned's obligations under the Exchange Act, including without limitation the reporting requirements under Section 16 of the Exchange Act; and</w:t>
      </w:r>
    </w:p>
    <w:p>
      <w:pPr>
        <w:spacing w:after="0" w:line="201" w:lineRule="exact"/>
        <w:rPr>
          <w:rFonts w:ascii="Arial" w:cs="Arial" w:eastAsia="Arial" w:hAnsi="Arial"/>
          <w:sz w:val="20"/>
          <w:szCs w:val="20"/>
          <w:color w:val="auto"/>
        </w:rPr>
      </w:pPr>
    </w:p>
    <w:p>
      <w:pPr>
        <w:ind w:right="360" w:firstLine="720"/>
        <w:spacing w:after="0" w:line="277" w:lineRule="auto"/>
        <w:tabs>
          <w:tab w:leader="none" w:pos="1303"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undersigned also hereby agrees that the Attorney shall not be liable for any error of judgment or for any act reasonably done or step reasonably taken or omitted in good faith, and that the undersigned agrees to indemnify, defend on a current basis, and hold harmless the Attorney from and against any and all claims, obligations, liabilities or causes of action asserted by any person relating to or arising out of, or as a consequence of, any such action or omission hereunder.</w:t>
      </w:r>
    </w:p>
    <w:p>
      <w:pPr>
        <w:spacing w:after="0" w:line="177" w:lineRule="exact"/>
        <w:rPr>
          <w:sz w:val="20"/>
          <w:szCs w:val="20"/>
          <w:color w:val="auto"/>
        </w:rPr>
      </w:pPr>
    </w:p>
    <w:p>
      <w:pPr>
        <w:ind w:right="280" w:firstLine="720"/>
        <w:spacing w:after="0" w:line="292" w:lineRule="auto"/>
        <w:rPr>
          <w:sz w:val="20"/>
          <w:szCs w:val="20"/>
          <w:color w:val="auto"/>
        </w:rPr>
      </w:pPr>
      <w:r>
        <w:rPr>
          <w:rFonts w:ascii="Arial" w:cs="Arial" w:eastAsia="Arial" w:hAnsi="Arial"/>
          <w:sz w:val="18"/>
          <w:szCs w:val="18"/>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 on behalf of the undersigned, shall lawfully do or cause to be done by virtue of this Limited Power of Attorney. This Limited Power of Attorney shall remain in full force and effect until revoked by the undersigned in a signed writing delivered to such attorney-in-fact.</w:t>
      </w:r>
    </w:p>
    <w:p>
      <w:pPr>
        <w:spacing w:after="0" w:line="181" w:lineRule="exact"/>
        <w:rPr>
          <w:sz w:val="20"/>
          <w:szCs w:val="20"/>
          <w:color w:val="auto"/>
        </w:rPr>
      </w:pPr>
    </w:p>
    <w:p>
      <w:pPr>
        <w:ind w:firstLine="720"/>
        <w:spacing w:after="0" w:line="305" w:lineRule="auto"/>
        <w:rPr>
          <w:sz w:val="20"/>
          <w:szCs w:val="20"/>
          <w:color w:val="auto"/>
        </w:rPr>
      </w:pPr>
      <w:r>
        <w:rPr>
          <w:rFonts w:ascii="Arial" w:cs="Arial" w:eastAsia="Arial" w:hAnsi="Arial"/>
          <w:sz w:val="19"/>
          <w:szCs w:val="19"/>
          <w:color w:val="auto"/>
        </w:rPr>
        <w:t>This Limited Power of Attorney may be filed with the United States Securities and Exchange Commission, any other federal, state or foreign securities regulators, and other entities as a confirming statement of the authority granted herein.</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 WITNESS whereof this Limited Power of Attorney has been duly executed this 7th day of November, 2022.</w:t>
      </w:r>
    </w:p>
    <w:p>
      <w:pPr>
        <w:spacing w:after="0" w:line="200" w:lineRule="exact"/>
        <w:rPr>
          <w:sz w:val="20"/>
          <w:szCs w:val="20"/>
          <w:color w:val="auto"/>
        </w:rPr>
      </w:pPr>
    </w:p>
    <w:p>
      <w:pPr>
        <w:spacing w:after="0" w:line="260"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/s/ Timothy John Hayden</w:t>
      </w:r>
    </w:p>
    <w:p>
      <w:pPr>
        <w:spacing w:after="0" w:line="26"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Timothy John Hayden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4030980</wp:posOffset>
            </wp:positionH>
            <wp:positionV relativeFrom="paragraph">
              <wp:posOffset>-145415</wp:posOffset>
            </wp:positionV>
            <wp:extent cx="291592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915920" cy="9525"/>
                    </a:xfrm>
                    <a:prstGeom prst="rect">
                      <a:avLst/>
                    </a:prstGeom>
                    <a:noFill/>
                  </pic:spPr>
                </pic:pic>
              </a:graphicData>
            </a:graphic>
          </wp:anchor>
        </w:drawing>
      </w:r>
    </w:p>
    <w:p>
      <w:pPr>
        <w:sectPr>
          <w:pgSz w:w="11900" w:h="16838" w:orient="portrait"/>
          <w:cols w:equalWidth="0" w:num="1">
            <w:col w:w="10940"/>
          </w:cols>
          <w:pgMar w:left="480" w:top="110" w:right="479" w:bottom="327"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54000" TargetMode="External"/><Relationship Id="rId11"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2022-11-15T03:03:35Z</dcterms:created>
  <dcterms:modified xsi:type="dcterms:W3CDTF">2022-11-15T03:03:35Z</dcterms:modified>
</cp:coreProperties>
</file>