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Agrify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AGFY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6"/>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0000EE"/>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vMerge w:val="restart"/>
          </w:tcPr>
          <w:p>
            <w:pPr>
              <w:spacing w:after="0"/>
              <w:rPr>
                <w:sz w:val="9"/>
                <w:szCs w:val="9"/>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325 WEST HURON STREET,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05/27/2025</w:t>
            </w: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0"/>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18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0000FF"/>
                <w:w w:val="99"/>
              </w:rPr>
              <w:t>IL</w:t>
            </w:r>
          </w:p>
        </w:tc>
        <w:tc>
          <w:tcPr>
            <w:tcW w:w="900" w:type="dxa"/>
            <w:vAlign w:val="bottom"/>
          </w:tcPr>
          <w:p>
            <w:pPr>
              <w:spacing w:after="0"/>
              <w:rPr>
                <w:sz w:val="16"/>
                <w:szCs w:val="16"/>
                <w:color w:val="auto"/>
              </w:rPr>
            </w:pPr>
          </w:p>
        </w:tc>
        <w:tc>
          <w:tcPr>
            <w:tcW w:w="1340" w:type="dxa"/>
            <w:vAlign w:val="bottom"/>
            <w:gridSpan w:val="2"/>
          </w:tcPr>
          <w:p>
            <w:pPr>
              <w:ind w:left="140"/>
              <w:spacing w:after="0" w:line="189" w:lineRule="exact"/>
              <w:rPr>
                <w:sz w:val="20"/>
                <w:szCs w:val="20"/>
                <w:color w:val="auto"/>
              </w:rPr>
            </w:pPr>
            <w:r>
              <w:rPr>
                <w:rFonts w:ascii="Times New Roman" w:cs="Times New Roman" w:eastAsia="Times New Roman" w:hAnsi="Times New Roman"/>
                <w:sz w:val="17"/>
                <w:szCs w:val="17"/>
                <w:color w:val="0000FF"/>
              </w:rPr>
              <w:t>60654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18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gridSpan w:val="2"/>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820" w:type="dxa"/>
            <w:vAlign w:val="bottom"/>
            <w:tcBorders>
              <w:top w:val="single" w:sz="8" w:color="2C2C2C"/>
            </w:tcBorders>
            <w:gridSpan w:val="23"/>
          </w:tcPr>
          <w:p>
            <w:pPr>
              <w:ind w:left="6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 w:type="dxa"/>
            <w:vAlign w:val="bottom"/>
          </w:tcPr>
          <w:p>
            <w:pPr>
              <w:spacing w:after="0"/>
              <w:rPr>
                <w:sz w:val="15"/>
                <w:szCs w:val="15"/>
                <w:color w:val="auto"/>
              </w:rPr>
            </w:pPr>
          </w:p>
        </w:tc>
        <w:tc>
          <w:tcPr>
            <w:tcW w:w="1620" w:type="dxa"/>
            <w:vAlign w:val="bottom"/>
            <w:gridSpan w:val="5"/>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9"/>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gridSpan w:val="5"/>
          </w:tcPr>
          <w:p>
            <w:pPr>
              <w:jc w:val="center"/>
              <w:ind w:left="41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jc w:val="center"/>
              <w:ind w:left="558"/>
              <w:spacing w:after="0"/>
              <w:rPr>
                <w:sz w:val="20"/>
                <w:szCs w:val="20"/>
                <w:color w:val="auto"/>
              </w:rPr>
            </w:pPr>
            <w:r>
              <w:rPr>
                <w:rFonts w:ascii="Times New Roman" w:cs="Times New Roman" w:eastAsia="Times New Roman" w:hAnsi="Times New Roman"/>
                <w:sz w:val="17"/>
                <w:szCs w:val="17"/>
                <w:color w:val="0000FF"/>
              </w:rPr>
              <w:t>05/27/2025</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3"/>
          </w:tcPr>
          <w:p>
            <w:pPr>
              <w:jc w:val="center"/>
              <w:ind w:left="211"/>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25</w:t>
            </w: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691,661</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jc w:val="center"/>
              <w:ind w:left="558"/>
              <w:spacing w:after="0"/>
              <w:rPr>
                <w:sz w:val="20"/>
                <w:szCs w:val="20"/>
                <w:color w:val="auto"/>
              </w:rPr>
            </w:pPr>
            <w:r>
              <w:rPr>
                <w:rFonts w:ascii="Times New Roman" w:cs="Times New Roman" w:eastAsia="Times New Roman" w:hAnsi="Times New Roman"/>
                <w:sz w:val="17"/>
                <w:szCs w:val="17"/>
                <w:color w:val="0000FF"/>
              </w:rPr>
              <w:t>05/28/2025</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6,200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25.66</w:t>
            </w:r>
            <w:r>
              <w:rPr>
                <w:rFonts w:ascii="Times New Roman" w:cs="Times New Roman" w:eastAsia="Times New Roman" w:hAnsi="Times New Roman"/>
                <w:sz w:val="22"/>
                <w:szCs w:val="22"/>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697,861</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6"/>
          </w:tcPr>
          <w:p>
            <w:pPr>
              <w:jc w:val="center"/>
              <w:ind w:left="558"/>
              <w:spacing w:after="0"/>
              <w:rPr>
                <w:sz w:val="20"/>
                <w:szCs w:val="20"/>
                <w:color w:val="auto"/>
              </w:rPr>
            </w:pPr>
            <w:r>
              <w:rPr>
                <w:rFonts w:ascii="Times New Roman" w:cs="Times New Roman" w:eastAsia="Times New Roman" w:hAnsi="Times New Roman"/>
                <w:sz w:val="17"/>
                <w:szCs w:val="17"/>
                <w:color w:val="0000FF"/>
              </w:rPr>
              <w:t>05/28/2025</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4"/>
          </w:tcPr>
          <w:p>
            <w:pPr>
              <w:jc w:val="center"/>
              <w:ind w:left="11"/>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27.07</w:t>
            </w:r>
            <w:r>
              <w:rPr>
                <w:rFonts w:ascii="Times New Roman" w:cs="Times New Roman" w:eastAsia="Times New Roman" w:hAnsi="Times New Roman"/>
                <w:sz w:val="22"/>
                <w:szCs w:val="22"/>
                <w:color w:val="008000"/>
                <w:w w:val="95"/>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698,961</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22"/>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360" w:type="dxa"/>
            <w:vAlign w:val="bottom"/>
            <w:gridSpan w:val="17"/>
          </w:tcPr>
          <w:p>
            <w:pPr>
              <w:jc w:val="center"/>
              <w:ind w:left="51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w w:val="98"/>
              </w:rPr>
              <w:t>3. Transaction</w:t>
            </w:r>
          </w:p>
        </w:tc>
        <w:tc>
          <w:tcPr>
            <w:tcW w:w="16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ind w:right="31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Borders>
              <w:bottom w:val="single" w:sz="8" w:color="0000EE"/>
            </w:tcBorders>
            <w:gridSpan w:val="2"/>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RSLGH, LLC</w:t>
              </w:r>
            </w:hyperlink>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0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325 WEST HURON STREET,</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60654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(State)</w:t>
            </w:r>
          </w:p>
        </w:tc>
        <w:tc>
          <w:tcPr>
            <w:tcW w:w="16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gridSpan w:val="2"/>
          </w:tcPr>
          <w:p>
            <w:pPr>
              <w:spacing w:after="0"/>
              <w:rPr>
                <w:sz w:val="7"/>
                <w:szCs w:val="7"/>
                <w:color w:val="auto"/>
              </w:rPr>
            </w:pPr>
          </w:p>
        </w:tc>
        <w:tc>
          <w:tcPr>
            <w:tcW w:w="1240" w:type="dxa"/>
            <w:vAlign w:val="bottom"/>
            <w:tcBorders>
              <w:bottom w:val="single" w:sz="8" w:color="2C2C2C"/>
            </w:tcBorders>
            <w:gridSpan w:val="3"/>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Green Thumb Industries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(First)</w:t>
            </w:r>
          </w:p>
        </w:tc>
        <w:tc>
          <w:tcPr>
            <w:tcW w:w="160" w:type="dxa"/>
            <w:vAlign w:val="bottom"/>
          </w:tcPr>
          <w:p>
            <w:pPr>
              <w:spacing w:after="0"/>
              <w:rPr>
                <w:sz w:val="24"/>
                <w:szCs w:val="24"/>
                <w:color w:val="auto"/>
              </w:rPr>
            </w:pPr>
          </w:p>
        </w:tc>
        <w:tc>
          <w:tcPr>
            <w:tcW w:w="1180" w:type="dxa"/>
            <w:vAlign w:val="bottom"/>
          </w:tcPr>
          <w:p>
            <w:pPr>
              <w:ind w:left="3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325 WEST HURON STREET</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700</w:t>
      </w: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7"/>
          <w:szCs w:val="17"/>
          <w:color w:val="0000FF"/>
        </w:rPr>
        <w:t>60654</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80"/>
        <w:spacing w:after="0"/>
        <w:tabs>
          <w:tab w:leader="none" w:pos="1460" w:val="left"/>
          <w:tab w:leader="none" w:pos="28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-85090</wp:posOffset>
            </wp:positionV>
            <wp:extent cx="2809240" cy="182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8224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Investor is the direct beneficial owner of the Common Stock. The Investor is an indirectly wholly-owned subsidiary of Green Thumb Industries Inc. ("Green Thumb"). Green Thumb is the sole shareholder of GTI23, Inc., which is the sole member of VCP23, LLC, which is the sole shareholder of For Success Holding Company. For Success Holding Company is the sole member of Wellness Mgmt, LLC, which is the sole member of Investor.</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$25.50 to $26.00, inclusive. The reporting person hereby undertakes to provide to the issuer, any security holder of the issuer, or the staff of the Securities and Exchange Commission, upon request, full information regarding the number of shares purchased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$27.00 to $27.75, inclusive.</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Secretary, on behalf of</w:t>
      </w:r>
      <w:r>
        <w:rPr>
          <w:sz w:val="20"/>
          <w:szCs w:val="20"/>
          <w:color w:val="auto"/>
        </w:rPr>
        <w:tab/>
      </w:r>
      <w:r>
        <w:rPr>
          <w:rFonts w:ascii="Times New Roman" w:cs="Times New Roman" w:eastAsia="Times New Roman" w:hAnsi="Times New Roman"/>
          <w:sz w:val="17"/>
          <w:szCs w:val="17"/>
          <w:color w:val="0000FF"/>
        </w:rPr>
        <w:t>05/29/2025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RSLGH,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6229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62293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728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172845"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Secretary, on behalf of Green</w:t>
        <w:tab/>
        <w:t>05/29/2025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47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00"/>
      </w:cols>
      <w:pgMar w:left="500" w:top="125"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2025-05-29T17:17:20Z</dcterms:created>
  <dcterms:modified xsi:type="dcterms:W3CDTF">2025-05-29T17:17:20Z</dcterms:modified>
</cp:coreProperties>
</file>