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83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83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Chang Raymond Nobu</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BILLERICA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01862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05/16/2022</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10,000</w:t>
            </w:r>
          </w:p>
        </w:tc>
        <w:tc>
          <w:tcPr>
            <w:tcW w:w="46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w:t>
            </w:r>
            <w:r>
              <w:rPr>
                <w:rFonts w:ascii="Times New Roman" w:cs="Times New Roman" w:eastAsia="Times New Roman" w:hAnsi="Times New Roman"/>
                <w:sz w:val="22"/>
                <w:szCs w:val="22"/>
                <w:color w:val="008000"/>
                <w:vertAlign w:val="superscript"/>
              </w:rPr>
              <w:t>(1)</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10,000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RTC3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05/13/2022</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7"/>
                <w:szCs w:val="17"/>
                <w:color w:val="0000FF"/>
              </w:rPr>
              <w:t>34,600</w:t>
            </w:r>
          </w:p>
        </w:tc>
        <w:tc>
          <w:tcPr>
            <w:tcW w:w="46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2.6296</w:t>
            </w:r>
            <w:r>
              <w:rPr>
                <w:rFonts w:ascii="Times New Roman" w:cs="Times New Roman" w:eastAsia="Times New Roman" w:hAnsi="Times New Roman"/>
                <w:sz w:val="22"/>
                <w:szCs w:val="22"/>
                <w:color w:val="008000"/>
                <w:w w:val="95"/>
                <w:vertAlign w:val="superscript"/>
              </w:rPr>
              <w:t>(2)</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538,454</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NXT3J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129,548</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4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represents the weighted average purchase price of the shares acquired ranging from $2.60 to $2.62 per share. Upon request by the staff of the Securities and Exchange Commission, the issuer, or a security holder of the issuer, the reporting person will provide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represents the weighted average purchase price of the shares acquired ranging from $2.35 to $2.77 per share. Upon request by the staff of the Securities and Exchange Commission, the issuer, or a security holder of the issuer, the reporting person will provide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RTC3 2020 Irrevocable Family Trust, of which Mr. Chang retains the authority to remove the independent trustee. Mr. Chang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NXT3J Capital, LLC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Savitz,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05/17/2022</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2022-05-17T20:04:03Z</dcterms:created>
  <dcterms:modified xsi:type="dcterms:W3CDTF">2022-05-17T20:04:03Z</dcterms:modified>
</cp:coreProperties>
</file>