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0" w:type="dxa"/>
        <w:tblCellMar>
          <w:top w:w="0" w:type="dxa"/>
          <w:left w:w="0" w:type="dxa"/>
          <w:bottom w:w="0" w:type="dxa"/>
          <w:right w:w="0" w:type="dxa"/>
        </w:tblCellMar>
      </w:tblPr>
      <w:tr>
        <w:trPr>
          <w:trHeight w:val="207"/>
        </w:trPr>
        <w:tc>
          <w:tcPr>
            <w:tcW w:w="1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640" w:type="dxa"/>
            <w:vAlign w:val="bottom"/>
          </w:tcPr>
          <w:p>
            <w:pPr>
              <w:jc w:val="center"/>
              <w:ind w:right="1679"/>
              <w:spacing w:after="0"/>
              <w:rPr>
                <w:sz w:val="20"/>
                <w:szCs w:val="20"/>
                <w:color w:val="auto"/>
              </w:rPr>
            </w:pPr>
            <w:r>
              <w:rPr>
                <w:rFonts w:ascii="Arial" w:cs="Arial" w:eastAsia="Arial" w:hAnsi="Arial"/>
                <w:sz w:val="18"/>
                <w:szCs w:val="18"/>
                <w:b w:val="1"/>
                <w:bCs w:val="1"/>
                <w:color w:val="auto"/>
                <w:w w:val="97"/>
              </w:rPr>
              <w:t>UNITED STATES</w:t>
            </w:r>
          </w:p>
        </w:tc>
        <w:tc>
          <w:tcPr>
            <w:tcW w:w="10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6640" w:type="dxa"/>
            <w:vAlign w:val="bottom"/>
            <w:gridSpan w:val="2"/>
          </w:tcPr>
          <w:p>
            <w:pPr>
              <w:jc w:val="center"/>
              <w:ind w:left="1170"/>
              <w:spacing w:after="0" w:line="195" w:lineRule="exact"/>
              <w:rPr>
                <w:sz w:val="20"/>
                <w:szCs w:val="20"/>
                <w:color w:val="auto"/>
              </w:rPr>
            </w:pPr>
            <w:r>
              <w:rPr>
                <w:rFonts w:ascii="Arial" w:cs="Arial" w:eastAsia="Arial" w:hAnsi="Arial"/>
                <w:sz w:val="18"/>
                <w:szCs w:val="18"/>
                <w:b w:val="1"/>
                <w:bCs w:val="1"/>
                <w:color w:val="auto"/>
              </w:rPr>
              <w:t>SECURITIES AND EXCHANGE COMMISSION</w:t>
            </w:r>
          </w:p>
        </w:tc>
        <w:tc>
          <w:tcPr>
            <w:tcW w:w="108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4"/>
              </w:rPr>
              <w:t>SEC File Number</w:t>
            </w:r>
          </w:p>
        </w:tc>
        <w:tc>
          <w:tcPr>
            <w:tcW w:w="0" w:type="dxa"/>
            <w:vAlign w:val="bottom"/>
          </w:tcPr>
          <w:p>
            <w:pPr>
              <w:spacing w:after="0"/>
              <w:rPr>
                <w:sz w:val="1"/>
                <w:szCs w:val="1"/>
                <w:color w:val="auto"/>
              </w:rPr>
            </w:pPr>
          </w:p>
        </w:tc>
      </w:tr>
      <w:tr>
        <w:trPr>
          <w:trHeight w:val="244"/>
        </w:trPr>
        <w:tc>
          <w:tcPr>
            <w:tcW w:w="1560" w:type="dxa"/>
            <w:vAlign w:val="bottom"/>
          </w:tcPr>
          <w:p>
            <w:pPr>
              <w:spacing w:after="0"/>
              <w:rPr>
                <w:sz w:val="21"/>
                <w:szCs w:val="21"/>
                <w:color w:val="auto"/>
              </w:rPr>
            </w:pPr>
          </w:p>
        </w:tc>
        <w:tc>
          <w:tcPr>
            <w:tcW w:w="3000" w:type="dxa"/>
            <w:vAlign w:val="bottom"/>
          </w:tcPr>
          <w:p>
            <w:pPr>
              <w:spacing w:after="0"/>
              <w:rPr>
                <w:sz w:val="21"/>
                <w:szCs w:val="21"/>
                <w:color w:val="auto"/>
              </w:rPr>
            </w:pPr>
          </w:p>
        </w:tc>
        <w:tc>
          <w:tcPr>
            <w:tcW w:w="3640" w:type="dxa"/>
            <w:vAlign w:val="bottom"/>
          </w:tcPr>
          <w:p>
            <w:pPr>
              <w:ind w:left="20"/>
              <w:spacing w:after="0"/>
              <w:rPr>
                <w:sz w:val="20"/>
                <w:szCs w:val="20"/>
                <w:color w:val="auto"/>
              </w:rPr>
            </w:pPr>
            <w:r>
              <w:rPr>
                <w:rFonts w:ascii="Arial" w:cs="Arial" w:eastAsia="Arial" w:hAnsi="Arial"/>
                <w:sz w:val="18"/>
                <w:szCs w:val="18"/>
                <w:b w:val="1"/>
                <w:bCs w:val="1"/>
                <w:color w:val="auto"/>
              </w:rPr>
              <w:t>Washington, D.C. 20549</w:t>
            </w:r>
          </w:p>
        </w:tc>
        <w:tc>
          <w:tcPr>
            <w:tcW w:w="1080" w:type="dxa"/>
            <w:vAlign w:val="bottom"/>
            <w:tcBorders>
              <w:right w:val="single" w:sz="8" w:color="auto"/>
            </w:tcBorders>
          </w:tcPr>
          <w:p>
            <w:pPr>
              <w:spacing w:after="0"/>
              <w:rPr>
                <w:sz w:val="21"/>
                <w:szCs w:val="21"/>
                <w:color w:val="auto"/>
              </w:rPr>
            </w:pPr>
          </w:p>
        </w:tc>
        <w:tc>
          <w:tcPr>
            <w:tcW w:w="18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001-39946</w:t>
            </w:r>
          </w:p>
        </w:tc>
        <w:tc>
          <w:tcPr>
            <w:tcW w:w="0" w:type="dxa"/>
            <w:vAlign w:val="bottom"/>
          </w:tcPr>
          <w:p>
            <w:pPr>
              <w:spacing w:after="0"/>
              <w:rPr>
                <w:sz w:val="1"/>
                <w:szCs w:val="1"/>
                <w:color w:val="auto"/>
              </w:rPr>
            </w:pPr>
          </w:p>
        </w:tc>
      </w:tr>
      <w:tr>
        <w:trPr>
          <w:trHeight w:val="203"/>
        </w:trPr>
        <w:tc>
          <w:tcPr>
            <w:tcW w:w="15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640" w:type="dxa"/>
            <w:vAlign w:val="bottom"/>
            <w:vMerge w:val="restart"/>
          </w:tcPr>
          <w:p>
            <w:pPr>
              <w:jc w:val="center"/>
              <w:ind w:right="1679"/>
              <w:spacing w:after="0"/>
              <w:rPr>
                <w:sz w:val="20"/>
                <w:szCs w:val="20"/>
                <w:color w:val="auto"/>
              </w:rPr>
            </w:pPr>
            <w:r>
              <w:rPr>
                <w:rFonts w:ascii="Arial" w:cs="Arial" w:eastAsia="Arial" w:hAnsi="Arial"/>
                <w:sz w:val="18"/>
                <w:szCs w:val="18"/>
                <w:b w:val="1"/>
                <w:bCs w:val="1"/>
                <w:color w:val="auto"/>
                <w:w w:val="97"/>
              </w:rPr>
              <w:t>FORM 12b-25</w:t>
            </w:r>
          </w:p>
        </w:tc>
        <w:tc>
          <w:tcPr>
            <w:tcW w:w="1080" w:type="dxa"/>
            <w:vAlign w:val="bottom"/>
            <w:tcBorders>
              <w:right w:val="single" w:sz="8" w:color="auto"/>
            </w:tcBorders>
          </w:tcPr>
          <w:p>
            <w:pPr>
              <w:spacing w:after="0"/>
              <w:rPr>
                <w:sz w:val="17"/>
                <w:szCs w:val="17"/>
                <w:color w:val="auto"/>
              </w:rPr>
            </w:pPr>
          </w:p>
        </w:tc>
        <w:tc>
          <w:tcPr>
            <w:tcW w:w="180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364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5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3640" w:type="dxa"/>
            <w:vAlign w:val="bottom"/>
            <w:vMerge w:val="continue"/>
          </w:tcPr>
          <w:p>
            <w:pPr>
              <w:spacing w:after="0"/>
              <w:rPr>
                <w:sz w:val="16"/>
                <w:szCs w:val="16"/>
                <w:color w:val="auto"/>
              </w:rPr>
            </w:pPr>
          </w:p>
        </w:tc>
        <w:tc>
          <w:tcPr>
            <w:tcW w:w="1080" w:type="dxa"/>
            <w:vAlign w:val="bottom"/>
            <w:tcBorders>
              <w:right w:val="single" w:sz="8" w:color="auto"/>
            </w:tcBorders>
          </w:tcPr>
          <w:p>
            <w:pPr>
              <w:spacing w:after="0"/>
              <w:rPr>
                <w:sz w:val="16"/>
                <w:szCs w:val="16"/>
                <w:color w:val="auto"/>
              </w:rPr>
            </w:pPr>
          </w:p>
        </w:tc>
        <w:tc>
          <w:tcPr>
            <w:tcW w:w="18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b w:val="1"/>
                <w:bCs w:val="1"/>
                <w:color w:val="auto"/>
                <w:w w:val="95"/>
              </w:rPr>
              <w:t>CUSIP Number</w:t>
            </w: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6640" w:type="dxa"/>
            <w:vAlign w:val="bottom"/>
            <w:gridSpan w:val="2"/>
            <w:vMerge w:val="restart"/>
          </w:tcPr>
          <w:p>
            <w:pPr>
              <w:jc w:val="center"/>
              <w:ind w:left="1150"/>
              <w:spacing w:after="0"/>
              <w:rPr>
                <w:sz w:val="20"/>
                <w:szCs w:val="20"/>
                <w:color w:val="auto"/>
              </w:rPr>
            </w:pPr>
            <w:r>
              <w:rPr>
                <w:rFonts w:ascii="Arial" w:cs="Arial" w:eastAsia="Arial" w:hAnsi="Arial"/>
                <w:sz w:val="18"/>
                <w:szCs w:val="18"/>
                <w:b w:val="1"/>
                <w:bCs w:val="1"/>
                <w:color w:val="auto"/>
              </w:rPr>
              <w:t>NOTIFICATION OF LATE FILING</w:t>
            </w:r>
          </w:p>
        </w:tc>
        <w:tc>
          <w:tcPr>
            <w:tcW w:w="1080" w:type="dxa"/>
            <w:vAlign w:val="bottom"/>
            <w:tcBorders>
              <w:right w:val="single" w:sz="8" w:color="auto"/>
            </w:tcBorders>
          </w:tcPr>
          <w:p>
            <w:pPr>
              <w:spacing w:after="0"/>
              <w:rPr>
                <w:sz w:val="20"/>
                <w:szCs w:val="20"/>
                <w:color w:val="auto"/>
              </w:rPr>
            </w:pPr>
          </w:p>
        </w:tc>
        <w:tc>
          <w:tcPr>
            <w:tcW w:w="1800" w:type="dxa"/>
            <w:vAlign w:val="bottom"/>
            <w:tcBorders>
              <w:bottom w:val="single" w:sz="8" w:color="auto"/>
              <w:right w:val="single" w:sz="8" w:color="auto"/>
            </w:tcBorders>
          </w:tcPr>
          <w:p>
            <w:pPr>
              <w:ind w:left="420"/>
              <w:spacing w:after="0"/>
              <w:rPr>
                <w:sz w:val="20"/>
                <w:szCs w:val="20"/>
                <w:color w:val="auto"/>
              </w:rPr>
            </w:pPr>
            <w:r>
              <w:rPr>
                <w:rFonts w:ascii="Arial" w:cs="Arial" w:eastAsia="Arial" w:hAnsi="Arial"/>
                <w:sz w:val="18"/>
                <w:szCs w:val="18"/>
                <w:color w:val="auto"/>
              </w:rPr>
              <w:t>00853E206</w:t>
            </w:r>
          </w:p>
        </w:tc>
        <w:tc>
          <w:tcPr>
            <w:tcW w:w="0" w:type="dxa"/>
            <w:vAlign w:val="bottom"/>
          </w:tcPr>
          <w:p>
            <w:pPr>
              <w:spacing w:after="0"/>
              <w:rPr>
                <w:sz w:val="1"/>
                <w:szCs w:val="1"/>
                <w:color w:val="auto"/>
              </w:rPr>
            </w:pPr>
          </w:p>
        </w:tc>
      </w:tr>
      <w:tr>
        <w:trPr>
          <w:trHeight w:val="210"/>
        </w:trPr>
        <w:tc>
          <w:tcPr>
            <w:tcW w:w="1560" w:type="dxa"/>
            <w:vAlign w:val="bottom"/>
          </w:tcPr>
          <w:p>
            <w:pPr>
              <w:spacing w:after="0"/>
              <w:rPr>
                <w:sz w:val="18"/>
                <w:szCs w:val="18"/>
                <w:color w:val="auto"/>
              </w:rPr>
            </w:pPr>
          </w:p>
        </w:tc>
        <w:tc>
          <w:tcPr>
            <w:tcW w:w="6640" w:type="dxa"/>
            <w:vAlign w:val="bottom"/>
            <w:gridSpan w:val="2"/>
            <w:vMerge w:val="continue"/>
          </w:tcPr>
          <w:p>
            <w:pPr>
              <w:spacing w:after="0"/>
              <w:rPr>
                <w:sz w:val="18"/>
                <w:szCs w:val="18"/>
                <w:color w:val="auto"/>
              </w:rPr>
            </w:pP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560" w:type="dxa"/>
            <w:vAlign w:val="bottom"/>
          </w:tcPr>
          <w:p>
            <w:pPr>
              <w:spacing w:after="0"/>
              <w:rPr>
                <w:sz w:val="20"/>
                <w:szCs w:val="20"/>
                <w:color w:val="auto"/>
              </w:rPr>
            </w:pPr>
            <w:r>
              <w:rPr>
                <w:rFonts w:ascii="Arial" w:cs="Arial" w:eastAsia="Arial" w:hAnsi="Arial"/>
                <w:sz w:val="18"/>
                <w:szCs w:val="18"/>
                <w:i w:val="1"/>
                <w:iCs w:val="1"/>
                <w:color w:val="auto"/>
              </w:rPr>
              <w:t>(Check One)</w:t>
            </w:r>
          </w:p>
        </w:tc>
        <w:tc>
          <w:tcPr>
            <w:tcW w:w="3000" w:type="dxa"/>
            <w:vAlign w:val="bottom"/>
          </w:tcPr>
          <w:p>
            <w:pPr>
              <w:ind w:left="6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10-K   </w:t>
            </w:r>
            <w:r>
              <w:rPr>
                <w:rFonts w:ascii="MS PGothic" w:cs="MS PGothic" w:eastAsia="MS PGothic" w:hAnsi="MS PGothic"/>
                <w:sz w:val="18"/>
                <w:szCs w:val="18"/>
                <w:color w:val="auto"/>
              </w:rPr>
              <w:t>☐</w:t>
            </w:r>
            <w:r>
              <w:rPr>
                <w:rFonts w:ascii="Arial" w:cs="Arial" w:eastAsia="Arial" w:hAnsi="Arial"/>
                <w:sz w:val="18"/>
                <w:szCs w:val="18"/>
                <w:color w:val="auto"/>
              </w:rPr>
              <w:t xml:space="preserve"> Form 20-F</w:t>
            </w:r>
          </w:p>
        </w:tc>
        <w:tc>
          <w:tcPr>
            <w:tcW w:w="3640" w:type="dxa"/>
            <w:vAlign w:val="bottom"/>
          </w:tcPr>
          <w:p>
            <w:pPr>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Form 11-K   </w:t>
            </w:r>
            <w:r>
              <w:rPr>
                <w:rFonts w:ascii="MS PGothic" w:cs="MS PGothic" w:eastAsia="MS PGothic" w:hAnsi="MS PGothic"/>
                <w:sz w:val="18"/>
                <w:szCs w:val="18"/>
                <w:color w:val="auto"/>
                <w:w w:val="91"/>
              </w:rPr>
              <w:t>☒</w:t>
            </w:r>
            <w:r>
              <w:rPr>
                <w:rFonts w:ascii="Arial" w:cs="Arial" w:eastAsia="Arial" w:hAnsi="Arial"/>
                <w:sz w:val="18"/>
                <w:szCs w:val="18"/>
                <w:color w:val="auto"/>
                <w:w w:val="91"/>
              </w:rPr>
              <w:t xml:space="preserve"> Form 10-Q</w:t>
            </w:r>
            <w:r>
              <w:rPr>
                <w:rFonts w:ascii="MS PGothic" w:cs="MS PGothic" w:eastAsia="MS PGothic" w:hAnsi="MS PGothic"/>
                <w:sz w:val="18"/>
                <w:szCs w:val="18"/>
                <w:color w:val="auto"/>
                <w:w w:val="91"/>
              </w:rPr>
              <w:t xml:space="preserve">☐ </w:t>
            </w:r>
            <w:r>
              <w:rPr>
                <w:rFonts w:ascii="Arial" w:cs="Arial" w:eastAsia="Arial" w:hAnsi="Arial"/>
                <w:sz w:val="18"/>
                <w:szCs w:val="18"/>
                <w:color w:val="auto"/>
                <w:w w:val="91"/>
              </w:rPr>
              <w:t>Form 10-D</w:t>
            </w:r>
          </w:p>
        </w:tc>
        <w:tc>
          <w:tcPr>
            <w:tcW w:w="2880" w:type="dxa"/>
            <w:vAlign w:val="bottom"/>
            <w:gridSpan w:val="2"/>
          </w:tcPr>
          <w:p>
            <w:pPr>
              <w:ind w:left="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Form N-CEN   </w:t>
            </w:r>
            <w:r>
              <w:rPr>
                <w:rFonts w:ascii="MS PGothic" w:cs="MS PGothic" w:eastAsia="MS PGothic" w:hAnsi="MS PGothic"/>
                <w:sz w:val="18"/>
                <w:szCs w:val="18"/>
                <w:color w:val="auto"/>
              </w:rPr>
              <w:t>☐</w:t>
            </w:r>
            <w:r>
              <w:rPr>
                <w:rFonts w:ascii="Arial" w:cs="Arial" w:eastAsia="Arial" w:hAnsi="Arial"/>
                <w:sz w:val="18"/>
                <w:szCs w:val="18"/>
                <w:color w:val="auto"/>
              </w:rPr>
              <w:t xml:space="preserve"> Form N-CSR</w:t>
            </w:r>
          </w:p>
        </w:tc>
        <w:tc>
          <w:tcPr>
            <w:tcW w:w="0" w:type="dxa"/>
            <w:vAlign w:val="bottom"/>
          </w:tcPr>
          <w:p>
            <w:pPr>
              <w:spacing w:after="0"/>
              <w:rPr>
                <w:sz w:val="1"/>
                <w:szCs w:val="1"/>
                <w:color w:val="auto"/>
              </w:rPr>
            </w:pPr>
          </w:p>
        </w:tc>
      </w:tr>
      <w:tr>
        <w:trPr>
          <w:trHeight w:val="234"/>
        </w:trPr>
        <w:tc>
          <w:tcPr>
            <w:tcW w:w="1560" w:type="dxa"/>
            <w:vAlign w:val="bottom"/>
          </w:tcPr>
          <w:p>
            <w:pPr>
              <w:spacing w:after="0"/>
              <w:rPr>
                <w:sz w:val="20"/>
                <w:szCs w:val="20"/>
                <w:color w:val="auto"/>
              </w:rPr>
            </w:pPr>
          </w:p>
        </w:tc>
        <w:tc>
          <w:tcPr>
            <w:tcW w:w="6640" w:type="dxa"/>
            <w:vAlign w:val="bottom"/>
            <w:gridSpan w:val="2"/>
          </w:tcPr>
          <w:p>
            <w:pPr>
              <w:ind w:left="640"/>
              <w:spacing w:after="0"/>
              <w:rPr>
                <w:sz w:val="20"/>
                <w:szCs w:val="20"/>
                <w:color w:val="auto"/>
              </w:rPr>
            </w:pPr>
            <w:r>
              <w:rPr>
                <w:rFonts w:ascii="Arial" w:cs="Arial" w:eastAsia="Arial" w:hAnsi="Arial"/>
                <w:sz w:val="18"/>
                <w:szCs w:val="18"/>
                <w:color w:val="auto"/>
              </w:rPr>
              <w:t xml:space="preserve">For Period Ended: </w:t>
            </w:r>
            <w:r>
              <w:rPr>
                <w:rFonts w:ascii="Arial" w:cs="Arial" w:eastAsia="Arial" w:hAnsi="Arial"/>
                <w:sz w:val="18"/>
                <w:szCs w:val="18"/>
                <w:b w:val="1"/>
                <w:bCs w:val="1"/>
                <w:color w:val="auto"/>
              </w:rPr>
              <w:t>March 31, 2023</w:t>
            </w:r>
          </w:p>
        </w:tc>
        <w:tc>
          <w:tcPr>
            <w:tcW w:w="1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560" w:type="dxa"/>
            <w:vAlign w:val="bottom"/>
          </w:tcPr>
          <w:p>
            <w:pPr>
              <w:spacing w:after="0"/>
              <w:rPr>
                <w:sz w:val="24"/>
                <w:szCs w:val="24"/>
                <w:color w:val="auto"/>
              </w:rPr>
            </w:pPr>
          </w:p>
        </w:tc>
        <w:tc>
          <w:tcPr>
            <w:tcW w:w="3000" w:type="dxa"/>
            <w:vAlign w:val="bottom"/>
          </w:tcPr>
          <w:p>
            <w:pPr>
              <w:ind w:left="64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Transition Report on Form</w:t>
            </w:r>
          </w:p>
        </w:tc>
        <w:tc>
          <w:tcPr>
            <w:tcW w:w="3640" w:type="dxa"/>
            <w:vAlign w:val="bottom"/>
          </w:tcPr>
          <w:p>
            <w:pPr>
              <w:spacing w:after="0"/>
              <w:rPr>
                <w:sz w:val="20"/>
                <w:szCs w:val="20"/>
                <w:color w:val="auto"/>
              </w:rPr>
            </w:pPr>
            <w:r>
              <w:rPr>
                <w:rFonts w:ascii="Arial" w:cs="Arial" w:eastAsia="Arial" w:hAnsi="Arial"/>
                <w:sz w:val="18"/>
                <w:szCs w:val="18"/>
                <w:color w:val="auto"/>
              </w:rPr>
              <w:t>10-K</w:t>
            </w:r>
          </w:p>
        </w:tc>
        <w:tc>
          <w:tcPr>
            <w:tcW w:w="1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0" w:type="dxa"/>
            <w:vAlign w:val="bottom"/>
          </w:tcPr>
          <w:p>
            <w:pPr>
              <w:ind w:left="64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Transition Report on Form</w:t>
            </w:r>
          </w:p>
        </w:tc>
        <w:tc>
          <w:tcPr>
            <w:tcW w:w="3640" w:type="dxa"/>
            <w:vAlign w:val="bottom"/>
          </w:tcPr>
          <w:p>
            <w:pPr>
              <w:spacing w:after="0"/>
              <w:rPr>
                <w:sz w:val="20"/>
                <w:szCs w:val="20"/>
                <w:color w:val="auto"/>
              </w:rPr>
            </w:pPr>
            <w:r>
              <w:rPr>
                <w:rFonts w:ascii="Arial" w:cs="Arial" w:eastAsia="Arial" w:hAnsi="Arial"/>
                <w:sz w:val="18"/>
                <w:szCs w:val="18"/>
                <w:color w:val="auto"/>
              </w:rPr>
              <w:t>20-F</w:t>
            </w: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18"/>
                <w:szCs w:val="18"/>
                <w:color w:val="auto"/>
              </w:rPr>
            </w:pPr>
          </w:p>
        </w:tc>
        <w:tc>
          <w:tcPr>
            <w:tcW w:w="3000" w:type="dxa"/>
            <w:vAlign w:val="bottom"/>
          </w:tcPr>
          <w:p>
            <w:pPr>
              <w:ind w:left="64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Transition Report on Form</w:t>
            </w:r>
          </w:p>
        </w:tc>
        <w:tc>
          <w:tcPr>
            <w:tcW w:w="3640" w:type="dxa"/>
            <w:vAlign w:val="bottom"/>
          </w:tcPr>
          <w:p>
            <w:pPr>
              <w:spacing w:after="0"/>
              <w:rPr>
                <w:sz w:val="20"/>
                <w:szCs w:val="20"/>
                <w:color w:val="auto"/>
              </w:rPr>
            </w:pPr>
            <w:r>
              <w:rPr>
                <w:rFonts w:ascii="Arial" w:cs="Arial" w:eastAsia="Arial" w:hAnsi="Arial"/>
                <w:sz w:val="18"/>
                <w:szCs w:val="18"/>
                <w:color w:val="auto"/>
              </w:rPr>
              <w:t>11-K</w:t>
            </w:r>
          </w:p>
        </w:tc>
        <w:tc>
          <w:tcPr>
            <w:tcW w:w="1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560" w:type="dxa"/>
            <w:vAlign w:val="bottom"/>
          </w:tcPr>
          <w:p>
            <w:pPr>
              <w:spacing w:after="0"/>
              <w:rPr>
                <w:sz w:val="22"/>
                <w:szCs w:val="22"/>
                <w:color w:val="auto"/>
              </w:rPr>
            </w:pPr>
          </w:p>
        </w:tc>
        <w:tc>
          <w:tcPr>
            <w:tcW w:w="3000" w:type="dxa"/>
            <w:vAlign w:val="bottom"/>
          </w:tcPr>
          <w:p>
            <w:pPr>
              <w:ind w:left="640"/>
              <w:spacing w:after="0" w:line="207" w:lineRule="exact"/>
              <w:rPr>
                <w:sz w:val="20"/>
                <w:szCs w:val="20"/>
                <w:color w:val="auto"/>
              </w:rPr>
            </w:pPr>
            <w:r>
              <w:rPr>
                <w:rFonts w:ascii="MS PGothic" w:cs="MS PGothic" w:eastAsia="MS PGothic" w:hAnsi="MS PGothic"/>
                <w:sz w:val="18"/>
                <w:szCs w:val="18"/>
                <w:color w:val="auto"/>
                <w:w w:val="98"/>
              </w:rPr>
              <w:t>☐</w:t>
            </w:r>
            <w:r>
              <w:rPr>
                <w:rFonts w:ascii="Arial" w:cs="Arial" w:eastAsia="Arial" w:hAnsi="Arial"/>
                <w:sz w:val="18"/>
                <w:szCs w:val="18"/>
                <w:color w:val="auto"/>
                <w:w w:val="98"/>
              </w:rPr>
              <w:t xml:space="preserve">  Transition Report on Form</w:t>
            </w:r>
          </w:p>
        </w:tc>
        <w:tc>
          <w:tcPr>
            <w:tcW w:w="3640" w:type="dxa"/>
            <w:vAlign w:val="bottom"/>
          </w:tcPr>
          <w:p>
            <w:pPr>
              <w:spacing w:after="0"/>
              <w:rPr>
                <w:sz w:val="20"/>
                <w:szCs w:val="20"/>
                <w:color w:val="auto"/>
              </w:rPr>
            </w:pPr>
            <w:r>
              <w:rPr>
                <w:rFonts w:ascii="Arial" w:cs="Arial" w:eastAsia="Arial" w:hAnsi="Arial"/>
                <w:sz w:val="18"/>
                <w:szCs w:val="18"/>
                <w:color w:val="auto"/>
              </w:rPr>
              <w:t>10-Q</w:t>
            </w:r>
          </w:p>
        </w:tc>
        <w:tc>
          <w:tcPr>
            <w:tcW w:w="10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560" w:type="dxa"/>
            <w:vAlign w:val="bottom"/>
          </w:tcPr>
          <w:p>
            <w:pPr>
              <w:spacing w:after="0"/>
              <w:rPr>
                <w:sz w:val="20"/>
                <w:szCs w:val="20"/>
                <w:color w:val="auto"/>
              </w:rPr>
            </w:pPr>
          </w:p>
        </w:tc>
        <w:tc>
          <w:tcPr>
            <w:tcW w:w="3000" w:type="dxa"/>
            <w:vAlign w:val="bottom"/>
          </w:tcPr>
          <w:p>
            <w:pPr>
              <w:ind w:left="640"/>
              <w:spacing w:after="0"/>
              <w:rPr>
                <w:sz w:val="20"/>
                <w:szCs w:val="20"/>
                <w:color w:val="auto"/>
              </w:rPr>
            </w:pPr>
            <w:r>
              <w:rPr>
                <w:rFonts w:ascii="Arial" w:cs="Arial" w:eastAsia="Arial" w:hAnsi="Arial"/>
                <w:sz w:val="18"/>
                <w:szCs w:val="18"/>
                <w:color w:val="auto"/>
                <w:w w:val="89"/>
              </w:rPr>
              <w:t>For the Transition Period Ended:</w:t>
            </w:r>
          </w:p>
        </w:tc>
        <w:tc>
          <w:tcPr>
            <w:tcW w:w="36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1428115</wp:posOffset>
            </wp:positionH>
            <wp:positionV relativeFrom="paragraph">
              <wp:posOffset>137160</wp:posOffset>
            </wp:positionV>
            <wp:extent cx="5709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9285"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i w:val="1"/>
          <w:iCs w:val="1"/>
          <w:color w:val="auto"/>
        </w:rPr>
        <w:t>Read Instruction (on back page) Before Preparing Form. Please print or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the notification relates to a portion of the filing checked above, identify the Item(s) to which the notification relates: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Full Name of Registrant</w:t>
      </w:r>
    </w:p>
    <w:p>
      <w:pPr>
        <w:spacing w:after="0" w:line="200" w:lineRule="exact"/>
        <w:rPr>
          <w:sz w:val="24"/>
          <w:szCs w:val="24"/>
          <w:color w:val="auto"/>
        </w:rPr>
      </w:pPr>
    </w:p>
    <w:p>
      <w:pPr>
        <w:spacing w:after="0" w:line="223"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Former Name if Applicable</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76 Treble Cove Road, Building 3</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Billerica, MA 01862</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 xml:space="preserve">Address of Principal Executive Office </w:t>
      </w:r>
      <w:r>
        <w:rPr>
          <w:rFonts w:ascii="Arial" w:cs="Arial" w:eastAsia="Arial" w:hAnsi="Arial"/>
          <w:sz w:val="18"/>
          <w:szCs w:val="18"/>
          <w:b w:val="1"/>
          <w:bCs w:val="1"/>
          <w:i w:val="1"/>
          <w:iCs w:val="1"/>
          <w:color w:val="auto"/>
        </w:rPr>
        <w:t>(Street and Number)</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634"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1140" w:hanging="387"/>
        <w:spacing w:after="0"/>
        <w:tabs>
          <w:tab w:leader="none" w:pos="114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reasons described in reasonable detail in Part III of this form could not be eliminated without unreasonable effort or expense;</w:t>
      </w:r>
    </w:p>
    <w:p>
      <w:pPr>
        <w:spacing w:after="0" w:line="34" w:lineRule="exact"/>
        <w:rPr>
          <w:rFonts w:ascii="Arial" w:cs="Arial" w:eastAsia="Arial" w:hAnsi="Arial"/>
          <w:sz w:val="17"/>
          <w:szCs w:val="17"/>
          <w:color w:val="auto"/>
        </w:rPr>
      </w:pPr>
    </w:p>
    <w:p>
      <w:pPr>
        <w:ind w:left="1140" w:hanging="392"/>
        <w:spacing w:after="0"/>
        <w:tabs>
          <w:tab w:leader="none" w:pos="1140" w:val="left"/>
        </w:tabs>
        <w:numPr>
          <w:ilvl w:val="1"/>
          <w:numId w:val="1"/>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32" w:lineRule="exact"/>
        <w:rPr>
          <w:rFonts w:ascii="Arial" w:cs="Arial" w:eastAsia="Arial" w:hAnsi="Arial"/>
          <w:sz w:val="16"/>
          <w:szCs w:val="16"/>
          <w:color w:val="auto"/>
        </w:rPr>
      </w:pPr>
    </w:p>
    <w:p>
      <w:pPr>
        <w:ind w:left="1140" w:right="200" w:hanging="936"/>
        <w:spacing w:after="0" w:line="200" w:lineRule="auto"/>
        <w:tabs>
          <w:tab w:leader="none" w:pos="1140" w:val="left"/>
        </w:tabs>
        <w:numPr>
          <w:ilvl w:val="0"/>
          <w:numId w:val="1"/>
        </w:numPr>
        <w:rPr>
          <w:rFonts w:ascii="MS PGothic" w:cs="MS PGothic" w:eastAsia="MS PGothic" w:hAnsi="MS PGothic"/>
          <w:sz w:val="36"/>
          <w:szCs w:val="36"/>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3" w:lineRule="exact"/>
        <w:rPr>
          <w:rFonts w:ascii="MS PGothic" w:cs="MS PGothic" w:eastAsia="MS PGothic" w:hAnsi="MS PGothic"/>
          <w:sz w:val="36"/>
          <w:szCs w:val="36"/>
          <w:color w:val="auto"/>
          <w:vertAlign w:val="subscript"/>
        </w:rPr>
      </w:pPr>
    </w:p>
    <w:p>
      <w:pPr>
        <w:ind w:left="1140" w:hanging="387"/>
        <w:spacing w:after="0"/>
        <w:tabs>
          <w:tab w:leader="none" w:pos="1140" w:val="left"/>
        </w:tabs>
        <w:numPr>
          <w:ilvl w:val="1"/>
          <w:numId w:val="2"/>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-816610</wp:posOffset>
            </wp:positionV>
            <wp:extent cx="8255" cy="8229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296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State below in reasonable detail the reasons why Forms 10-K, 20-F, 11-K, 10-Q, 10-D, N-CEN, N-CSR or the transition report or portion thereof, could not be filed within the prescribed time period.</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 previously disclosed by Agrify Corporation (the “Company”) in its Current Report on Form 8-K, as filed on April 17, 2023 (the “Prior 8-K”), the Audit Committee of the Company’s Board of Directors (the “Audit Committee”) has determined that it is necessary to restate the Company’s unaudited condensed consolidated interim financial statements as of and for the fiscal periods ended March 31, 2022, June 30, 2022 and September 30, 2022 included in the Quarterly Reports on Form 10-Q with respect to such periods (such restatements, the “Restatements”). The Restatements are being made as a result of errors in the accounting for warrants previously issued by the Company. Specifically, the Audit Committee concluded 301,575 warrants issued in a private placement on January 28, 2022 and 688,111 warrants issued in a private placement on March 23, 2022 (collectively, the “Warrants”) should have been classified as a liability measured at fair value, with changes in fair value each period reported in earnings, rather than as a component of equity. The change in fair value of the Warrants is a non-cash charge and will be reflected in the Company’s statement of operations.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a result of the Restatements described above, the Company is unable to complete its unaudited condensed consolidated financial statements and file its Quarterly Report on Form 10-Q for the quarter ended March 31, 2023 (the “Form 10-Q”) by the prescribed due date for such filing. The Company plans to file the Form 10-Q as soon as practicable following the completion of the Restatements.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80" w:type="dxa"/>
            <w:vAlign w:val="bottom"/>
          </w:tcPr>
          <w:p>
            <w:pPr>
              <w:ind w:left="180"/>
              <w:spacing w:after="0"/>
              <w:rPr>
                <w:sz w:val="20"/>
                <w:szCs w:val="20"/>
                <w:color w:val="auto"/>
              </w:rPr>
            </w:pPr>
            <w:r>
              <w:rPr>
                <w:rFonts w:ascii="Arial" w:cs="Arial" w:eastAsia="Arial" w:hAnsi="Arial"/>
                <w:sz w:val="18"/>
                <w:szCs w:val="18"/>
                <w:b w:val="1"/>
                <w:bCs w:val="1"/>
                <w:color w:val="auto"/>
              </w:rPr>
              <w:t>PART IV — OTHER INFORMATION</w:t>
            </w:r>
          </w:p>
        </w:tc>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2"/>
        </w:trPr>
        <w:tc>
          <w:tcPr>
            <w:tcW w:w="7520" w:type="dxa"/>
            <w:vAlign w:val="bottom"/>
            <w:gridSpan w:val="3"/>
          </w:tcPr>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439"/>
        </w:trPr>
        <w:tc>
          <w:tcPr>
            <w:tcW w:w="3820" w:type="dxa"/>
            <w:vAlign w:val="bottom"/>
          </w:tcPr>
          <w:p>
            <w:pPr>
              <w:jc w:val="center"/>
              <w:spacing w:after="0"/>
              <w:rPr>
                <w:sz w:val="20"/>
                <w:szCs w:val="20"/>
                <w:color w:val="auto"/>
              </w:rPr>
            </w:pPr>
            <w:r>
              <w:rPr>
                <w:rFonts w:ascii="Arial" w:cs="Arial" w:eastAsia="Arial" w:hAnsi="Arial"/>
                <w:sz w:val="18"/>
                <w:szCs w:val="18"/>
                <w:b w:val="1"/>
                <w:bCs w:val="1"/>
                <w:color w:val="auto"/>
                <w:w w:val="91"/>
              </w:rPr>
              <w:t>Raymond N. Chang</w:t>
            </w:r>
          </w:p>
        </w:tc>
        <w:tc>
          <w:tcPr>
            <w:tcW w:w="3700" w:type="dxa"/>
            <w:vAlign w:val="bottom"/>
            <w:gridSpan w:val="2"/>
          </w:tcPr>
          <w:p>
            <w:pPr>
              <w:jc w:val="right"/>
              <w:ind w:right="1490"/>
              <w:spacing w:after="0"/>
              <w:rPr>
                <w:sz w:val="20"/>
                <w:szCs w:val="20"/>
                <w:color w:val="auto"/>
              </w:rPr>
            </w:pPr>
            <w:r>
              <w:rPr>
                <w:rFonts w:ascii="Arial" w:cs="Arial" w:eastAsia="Arial" w:hAnsi="Arial"/>
                <w:sz w:val="18"/>
                <w:szCs w:val="18"/>
                <w:b w:val="1"/>
                <w:bCs w:val="1"/>
                <w:color w:val="auto"/>
              </w:rPr>
              <w:t>(617)</w:t>
            </w:r>
          </w:p>
        </w:tc>
        <w:tc>
          <w:tcPr>
            <w:tcW w:w="3720" w:type="dxa"/>
            <w:vAlign w:val="bottom"/>
            <w:gridSpan w:val="2"/>
          </w:tcPr>
          <w:p>
            <w:pPr>
              <w:jc w:val="right"/>
              <w:ind w:right="1370"/>
              <w:spacing w:after="0"/>
              <w:rPr>
                <w:sz w:val="20"/>
                <w:szCs w:val="20"/>
                <w:color w:val="auto"/>
              </w:rPr>
            </w:pPr>
            <w:r>
              <w:rPr>
                <w:rFonts w:ascii="Arial" w:cs="Arial" w:eastAsia="Arial" w:hAnsi="Arial"/>
                <w:sz w:val="18"/>
                <w:szCs w:val="18"/>
                <w:b w:val="1"/>
                <w:bCs w:val="1"/>
                <w:color w:val="auto"/>
              </w:rPr>
              <w:t>896-5243</w:t>
            </w:r>
          </w:p>
        </w:tc>
      </w:tr>
      <w:tr>
        <w:trPr>
          <w:trHeight w:val="230"/>
        </w:trPr>
        <w:tc>
          <w:tcPr>
            <w:tcW w:w="38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(Name)</w:t>
            </w:r>
          </w:p>
        </w:tc>
        <w:tc>
          <w:tcPr>
            <w:tcW w:w="120" w:type="dxa"/>
            <w:vAlign w:val="bottom"/>
          </w:tcPr>
          <w:p>
            <w:pPr>
              <w:spacing w:after="0"/>
              <w:rPr>
                <w:sz w:val="20"/>
                <w:szCs w:val="20"/>
                <w:color w:val="auto"/>
              </w:rPr>
            </w:pPr>
          </w:p>
        </w:tc>
        <w:tc>
          <w:tcPr>
            <w:tcW w:w="3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(Area Code)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ind w:right="20" w:firstLine="8"/>
        <w:spacing w:after="0" w:line="230" w:lineRule="exact"/>
        <w:tabs>
          <w:tab w:leader="none" w:pos="25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not yet filed in Annual Report on Form 10-K for the fiscal year ended December 31, 2022, due to the reasons described in Part III above.</w:t>
      </w:r>
    </w:p>
    <w:p>
      <w:pPr>
        <w:spacing w:after="0" w:line="248" w:lineRule="exact"/>
        <w:rPr>
          <w:sz w:val="20"/>
          <w:szCs w:val="20"/>
          <w:color w:val="auto"/>
        </w:rPr>
      </w:pPr>
    </w:p>
    <w:p>
      <w:pPr>
        <w:ind w:firstLine="8"/>
        <w:spacing w:after="0" w:line="258"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 w:lineRule="exact"/>
        <w:rPr>
          <w:rFonts w:ascii="Arial" w:cs="Arial" w:eastAsia="Arial" w:hAnsi="Arial"/>
          <w:sz w:val="18"/>
          <w:szCs w:val="18"/>
          <w:color w:val="auto"/>
        </w:rPr>
      </w:pPr>
    </w:p>
    <w:p>
      <w:pPr>
        <w:spacing w:after="0" w:line="207" w:lineRule="exact"/>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1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As described in Part III above, the Company continues work on the Restatements that were disclosed in the Prior 8-K. The Company anticipates that the adjustments included in the Restatements will affect the Company’s unaudited condensed consolidated interim financial statements as of and for the fiscal period ended March 31, 2023, which will be included in the Form 10-Q, but is not currently able to provide a reasonable estimate regarding the results as of the date of this filing.</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Certain matters discussed in this Form 12b-25 constitute forward-looking statements within the meaning of the federal securities laws. All statements contained in this Form 12b-25 that do not relate to matters of historical fact should be considered forward-looking statements. These forward-looking statements are based on management’s current expectation and include, but are not limited to, statements regarding the Company’s beliefs and expectations relating to the filing of the Form 10-Q and the results of the ongoing review.</w:t>
      </w:r>
    </w:p>
    <w:p>
      <w:pPr>
        <w:spacing w:after="0" w:line="11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These forward-looking statements are not guarantees of future results and are subject to a number of risks and uncertainties, many of which are difficult to predict and beyond the Company’s control. Important factors that may cause actual results to differ materially from those in the forward-looking statements include, but are not limited to, a material delay in the Company’s financial reporting, including the possibility that the Company will not be able to file its Form 10-Q within the five-day extension permitted by the rules of the U.S. Securities and Exchange Commission, and the possibility that the ongoing audit may identify errors or control deficiencies in the Company’s accounting practices. The Company disclaims and does not undertake any obligation to update or revise any forward-looking statement in this report, except as required by applicable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936"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Agrify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Charter)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Arial" w:cs="Arial" w:eastAsia="Arial" w:hAnsi="Arial"/>
                <w:sz w:val="18"/>
                <w:szCs w:val="18"/>
                <w:color w:val="auto"/>
              </w:rPr>
              <w:t>Date: May 15, 2023</w:t>
            </w:r>
          </w:p>
        </w:tc>
        <w:tc>
          <w:tcPr>
            <w:tcW w:w="7600" w:type="dxa"/>
            <w:vAlign w:val="bottom"/>
            <w:gridSpan w:val="2"/>
          </w:tcPr>
          <w:p>
            <w:pPr>
              <w:ind w:left="2180"/>
              <w:spacing w:after="0"/>
              <w:rPr>
                <w:sz w:val="20"/>
                <w:szCs w:val="20"/>
                <w:color w:val="auto"/>
              </w:rPr>
            </w:pPr>
            <w:r>
              <w:rPr>
                <w:rFonts w:ascii="Arial" w:cs="Arial" w:eastAsia="Arial" w:hAnsi="Arial"/>
                <w:sz w:val="18"/>
                <w:szCs w:val="18"/>
                <w:color w:val="auto"/>
              </w:rPr>
              <w:t xml:space="preserve">By:/s/ </w:t>
            </w:r>
            <w:r>
              <w:rPr>
                <w:rFonts w:ascii="Arial" w:cs="Arial" w:eastAsia="Arial" w:hAnsi="Arial"/>
                <w:sz w:val="18"/>
                <w:szCs w:val="18"/>
                <w:b w:val="1"/>
                <w:bCs w:val="1"/>
                <w:color w:val="auto"/>
              </w:rPr>
              <w:t>Raymond N. Chang</w:t>
            </w:r>
          </w:p>
        </w:tc>
      </w:tr>
      <w:tr>
        <w:trPr>
          <w:trHeight w:val="195"/>
        </w:trPr>
        <w:tc>
          <w:tcPr>
            <w:tcW w:w="36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51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Raymond N. Chang</w:t>
            </w:r>
          </w:p>
        </w:tc>
      </w:tr>
      <w:tr>
        <w:trPr>
          <w:trHeight w:val="230"/>
        </w:trPr>
        <w:tc>
          <w:tcPr>
            <w:tcW w:w="36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 CONSTITUTE FEDERAL CRIMINAL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2)"/>
      <w:numFmt w:val="lowerLetter"/>
      <w:start w:val="1"/>
    </w:lvl>
  </w:abstractNum>
  <w:abstractNum w:abstractNumId="1">
    <w:nsid w:val="19495CFF"/>
    <w:multiLevelType w:val="hybridMultilevel"/>
    <w:lvl w:ilvl="0">
      <w:lvlJc w:val="left"/>
      <w:lvlText w:val="☐"/>
      <w:numFmt w:val="bullet"/>
      <w:start w:val="1"/>
    </w:lvl>
    <w:lvl w:ilvl="1">
      <w:lvlJc w:val="left"/>
      <w:lvlText w:val="(%2)"/>
      <w:numFmt w:val="lowerLetter"/>
      <w:start w:val="3"/>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2023-05-15T15:44:12Z</dcterms:created>
  <dcterms:modified xsi:type="dcterms:W3CDTF">2023-05-15T15:44:12Z</dcterms:modified>
</cp:coreProperties>
</file>