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483235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Washington, D.C. 20549</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Pursuant to Section 13 or 15(d) of the Securities Exchange Act of 1934</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22, 2021</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340" w:type="dxa"/>
            <w:vAlign w:val="bottom"/>
            <w:gridSpan w:val="4"/>
          </w:tcPr>
          <w:p>
            <w:pPr>
              <w:jc w:val="center"/>
              <w:ind w:right="980"/>
              <w:spacing w:after="0"/>
              <w:rPr>
                <w:sz w:val="20"/>
                <w:szCs w:val="20"/>
                <w:color w:val="auto"/>
              </w:rPr>
            </w:pPr>
            <w:r>
              <w:rPr>
                <w:rFonts w:ascii="Arial" w:cs="Arial" w:eastAsia="Arial" w:hAnsi="Arial"/>
                <w:sz w:val="18"/>
                <w:szCs w:val="18"/>
                <w:b w:val="1"/>
                <w:bCs w:val="1"/>
                <w:color w:val="auto"/>
              </w:rPr>
              <w:t>AGRIFY CORPORATION</w:t>
            </w:r>
          </w:p>
        </w:tc>
        <w:tc>
          <w:tcPr>
            <w:tcW w:w="3460" w:type="dxa"/>
            <w:vAlign w:val="bottom"/>
          </w:tcPr>
          <w:p>
            <w:pPr>
              <w:spacing w:after="0"/>
              <w:rPr>
                <w:sz w:val="20"/>
                <w:szCs w:val="20"/>
                <w:color w:val="auto"/>
              </w:rPr>
            </w:pPr>
          </w:p>
        </w:tc>
      </w:tr>
      <w:tr>
        <w:trPr>
          <w:trHeight w:val="432"/>
        </w:trPr>
        <w:tc>
          <w:tcPr>
            <w:tcW w:w="7780" w:type="dxa"/>
            <w:vAlign w:val="bottom"/>
            <w:gridSpan w:val="7"/>
          </w:tcPr>
          <w:p>
            <w:pPr>
              <w:jc w:val="center"/>
              <w:ind w:left="3370"/>
              <w:spacing w:after="0"/>
              <w:rPr>
                <w:sz w:val="20"/>
                <w:szCs w:val="20"/>
                <w:color w:val="auto"/>
              </w:rPr>
            </w:pPr>
            <w:r>
              <w:rPr>
                <w:rFonts w:ascii="Arial" w:cs="Arial" w:eastAsia="Arial" w:hAnsi="Arial"/>
                <w:sz w:val="18"/>
                <w:szCs w:val="18"/>
                <w:color w:val="auto"/>
                <w:w w:val="90"/>
              </w:rPr>
              <w:t>(Exact name of registrant as specified in its charter)</w:t>
            </w:r>
          </w:p>
        </w:tc>
        <w:tc>
          <w:tcPr>
            <w:tcW w:w="3460" w:type="dxa"/>
            <w:vAlign w:val="bottom"/>
          </w:tcPr>
          <w:p>
            <w:pPr>
              <w:spacing w:after="0"/>
              <w:rPr>
                <w:sz w:val="24"/>
                <w:szCs w:val="24"/>
                <w:color w:val="auto"/>
              </w:rPr>
            </w:pPr>
          </w:p>
        </w:tc>
      </w:tr>
      <w:tr>
        <w:trPr>
          <w:trHeight w:val="439"/>
        </w:trPr>
        <w:tc>
          <w:tcPr>
            <w:tcW w:w="4440" w:type="dxa"/>
            <w:vAlign w:val="bottom"/>
            <w:gridSpan w:val="3"/>
          </w:tcPr>
          <w:p>
            <w:pPr>
              <w:jc w:val="center"/>
              <w:ind w:right="620"/>
              <w:spacing w:after="0"/>
              <w:rPr>
                <w:sz w:val="20"/>
                <w:szCs w:val="20"/>
                <w:color w:val="auto"/>
              </w:rPr>
            </w:pPr>
            <w:r>
              <w:rPr>
                <w:rFonts w:ascii="Arial" w:cs="Arial" w:eastAsia="Arial" w:hAnsi="Arial"/>
                <w:sz w:val="18"/>
                <w:szCs w:val="18"/>
                <w:b w:val="1"/>
                <w:bCs w:val="1"/>
                <w:color w:val="auto"/>
                <w:w w:val="90"/>
              </w:rPr>
              <w:t>Nevada</w:t>
            </w:r>
          </w:p>
        </w:tc>
        <w:tc>
          <w:tcPr>
            <w:tcW w:w="3220" w:type="dxa"/>
            <w:vAlign w:val="bottom"/>
            <w:gridSpan w:val="3"/>
          </w:tcPr>
          <w:p>
            <w:pPr>
              <w:jc w:val="right"/>
              <w:ind w:right="1460"/>
              <w:spacing w:after="0"/>
              <w:rPr>
                <w:sz w:val="20"/>
                <w:szCs w:val="20"/>
                <w:color w:val="auto"/>
              </w:rPr>
            </w:pPr>
            <w:r>
              <w:rPr>
                <w:rFonts w:ascii="Arial" w:cs="Arial" w:eastAsia="Arial" w:hAnsi="Arial"/>
                <w:sz w:val="18"/>
                <w:szCs w:val="18"/>
                <w:b w:val="1"/>
                <w:bCs w:val="1"/>
                <w:color w:val="auto"/>
              </w:rPr>
              <w:t>001-39946</w:t>
            </w:r>
          </w:p>
        </w:tc>
        <w:tc>
          <w:tcPr>
            <w:tcW w:w="120" w:type="dxa"/>
            <w:vAlign w:val="bottom"/>
          </w:tcPr>
          <w:p>
            <w:pPr>
              <w:spacing w:after="0"/>
              <w:rPr>
                <w:sz w:val="24"/>
                <w:szCs w:val="24"/>
                <w:color w:val="auto"/>
              </w:rPr>
            </w:pPr>
          </w:p>
        </w:tc>
        <w:tc>
          <w:tcPr>
            <w:tcW w:w="3460" w:type="dxa"/>
            <w:vAlign w:val="bottom"/>
          </w:tcPr>
          <w:p>
            <w:pPr>
              <w:jc w:val="center"/>
              <w:spacing w:after="0"/>
              <w:rPr>
                <w:sz w:val="20"/>
                <w:szCs w:val="20"/>
                <w:color w:val="auto"/>
              </w:rPr>
            </w:pPr>
            <w:r>
              <w:rPr>
                <w:rFonts w:ascii="Arial" w:cs="Arial" w:eastAsia="Arial" w:hAnsi="Arial"/>
                <w:sz w:val="18"/>
                <w:szCs w:val="18"/>
                <w:b w:val="1"/>
                <w:bCs w:val="1"/>
                <w:color w:val="auto"/>
                <w:w w:val="89"/>
              </w:rPr>
              <w:t>30-0943453</w:t>
            </w:r>
          </w:p>
        </w:tc>
      </w:tr>
      <w:tr>
        <w:trPr>
          <w:trHeight w:val="202"/>
        </w:trPr>
        <w:tc>
          <w:tcPr>
            <w:tcW w:w="382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(State or other jurisdiction of</w:t>
            </w:r>
          </w:p>
        </w:tc>
        <w:tc>
          <w:tcPr>
            <w:tcW w:w="120" w:type="dxa"/>
            <w:vAlign w:val="bottom"/>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3220" w:type="dxa"/>
            <w:vAlign w:val="bottom"/>
            <w:tcBorders>
              <w:top w:val="single" w:sz="8" w:color="auto"/>
            </w:tcBorders>
            <w:gridSpan w:val="3"/>
          </w:tcPr>
          <w:p>
            <w:pPr>
              <w:jc w:val="center"/>
              <w:ind w:right="480"/>
              <w:spacing w:after="0" w:line="201" w:lineRule="exact"/>
              <w:rPr>
                <w:sz w:val="20"/>
                <w:szCs w:val="20"/>
                <w:color w:val="auto"/>
              </w:rPr>
            </w:pPr>
            <w:r>
              <w:rPr>
                <w:rFonts w:ascii="Arial" w:cs="Arial" w:eastAsia="Arial" w:hAnsi="Arial"/>
                <w:sz w:val="18"/>
                <w:szCs w:val="18"/>
                <w:color w:val="auto"/>
                <w:w w:val="92"/>
              </w:rPr>
              <w:t>(Commission File Number)</w:t>
            </w:r>
          </w:p>
        </w:tc>
        <w:tc>
          <w:tcPr>
            <w:tcW w:w="120" w:type="dxa"/>
            <w:vAlign w:val="bottom"/>
          </w:tcPr>
          <w:p>
            <w:pPr>
              <w:spacing w:after="0"/>
              <w:rPr>
                <w:sz w:val="17"/>
                <w:szCs w:val="17"/>
                <w:color w:val="auto"/>
              </w:rPr>
            </w:pPr>
          </w:p>
        </w:tc>
        <w:tc>
          <w:tcPr>
            <w:tcW w:w="346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(I.R.S. Employer</w:t>
            </w:r>
          </w:p>
        </w:tc>
      </w:tr>
      <w:tr>
        <w:trPr>
          <w:trHeight w:val="230"/>
        </w:trPr>
        <w:tc>
          <w:tcPr>
            <w:tcW w:w="4440" w:type="dxa"/>
            <w:vAlign w:val="bottom"/>
            <w:gridSpan w:val="3"/>
          </w:tcPr>
          <w:p>
            <w:pPr>
              <w:jc w:val="center"/>
              <w:ind w:right="600"/>
              <w:spacing w:after="0"/>
              <w:rPr>
                <w:sz w:val="20"/>
                <w:szCs w:val="20"/>
                <w:color w:val="auto"/>
              </w:rPr>
            </w:pPr>
            <w:r>
              <w:rPr>
                <w:rFonts w:ascii="Arial" w:cs="Arial" w:eastAsia="Arial" w:hAnsi="Arial"/>
                <w:sz w:val="18"/>
                <w:szCs w:val="18"/>
                <w:color w:val="auto"/>
                <w:w w:val="92"/>
              </w:rPr>
              <w:t>incorporation or organization)</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spacing w:after="0"/>
              <w:rPr>
                <w:sz w:val="20"/>
                <w:szCs w:val="20"/>
                <w:color w:val="auto"/>
              </w:rPr>
            </w:pPr>
            <w:r>
              <w:rPr>
                <w:rFonts w:ascii="Arial" w:cs="Arial" w:eastAsia="Arial" w:hAnsi="Arial"/>
                <w:sz w:val="18"/>
                <w:szCs w:val="18"/>
                <w:color w:val="auto"/>
                <w:w w:val="94"/>
              </w:rPr>
              <w:t>Identification Number)</w:t>
            </w:r>
          </w:p>
        </w:tc>
      </w:tr>
      <w:tr>
        <w:trPr>
          <w:trHeight w:val="414"/>
        </w:trPr>
        <w:tc>
          <w:tcPr>
            <w:tcW w:w="4440" w:type="dxa"/>
            <w:vAlign w:val="bottom"/>
            <w:gridSpan w:val="3"/>
          </w:tcPr>
          <w:p>
            <w:pPr>
              <w:jc w:val="center"/>
              <w:ind w:left="1210"/>
              <w:spacing w:after="0"/>
              <w:rPr>
                <w:sz w:val="20"/>
                <w:szCs w:val="20"/>
                <w:color w:val="auto"/>
              </w:rPr>
            </w:pPr>
            <w:r>
              <w:rPr>
                <w:rFonts w:ascii="Arial" w:cs="Arial" w:eastAsia="Arial" w:hAnsi="Arial"/>
                <w:sz w:val="18"/>
                <w:szCs w:val="18"/>
                <w:b w:val="1"/>
                <w:bCs w:val="1"/>
                <w:color w:val="auto"/>
                <w:w w:val="91"/>
              </w:rPr>
              <w:t>101 Middlesex Turnpike</w:t>
            </w: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16"/>
        </w:trPr>
        <w:tc>
          <w:tcPr>
            <w:tcW w:w="4440" w:type="dxa"/>
            <w:vAlign w:val="bottom"/>
            <w:gridSpan w:val="3"/>
          </w:tcPr>
          <w:p>
            <w:pPr>
              <w:jc w:val="center"/>
              <w:ind w:left="1230"/>
              <w:spacing w:after="0"/>
              <w:rPr>
                <w:sz w:val="20"/>
                <w:szCs w:val="20"/>
                <w:color w:val="auto"/>
              </w:rPr>
            </w:pPr>
            <w:r>
              <w:rPr>
                <w:rFonts w:ascii="Arial" w:cs="Arial" w:eastAsia="Arial" w:hAnsi="Arial"/>
                <w:sz w:val="18"/>
                <w:szCs w:val="18"/>
                <w:b w:val="1"/>
                <w:bCs w:val="1"/>
                <w:color w:val="auto"/>
                <w:w w:val="91"/>
              </w:rPr>
              <w:t>Suite 6, PMB 326</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r>
      <w:tr>
        <w:trPr>
          <w:trHeight w:val="241"/>
        </w:trPr>
        <w:tc>
          <w:tcPr>
            <w:tcW w:w="4440" w:type="dxa"/>
            <w:vAlign w:val="bottom"/>
            <w:tcBorders>
              <w:bottom w:val="single" w:sz="8" w:color="auto"/>
            </w:tcBorders>
            <w:gridSpan w:val="3"/>
          </w:tcPr>
          <w:p>
            <w:pPr>
              <w:jc w:val="center"/>
              <w:ind w:left="1230"/>
              <w:spacing w:after="0"/>
              <w:rPr>
                <w:sz w:val="20"/>
                <w:szCs w:val="20"/>
                <w:color w:val="auto"/>
              </w:rPr>
            </w:pPr>
            <w:r>
              <w:rPr>
                <w:rFonts w:ascii="Arial" w:cs="Arial" w:eastAsia="Arial" w:hAnsi="Arial"/>
                <w:sz w:val="18"/>
                <w:szCs w:val="18"/>
                <w:b w:val="1"/>
                <w:bCs w:val="1"/>
                <w:color w:val="auto"/>
                <w:w w:val="96"/>
              </w:rPr>
              <w:t>Burlington, MA</w:t>
            </w:r>
          </w:p>
        </w:tc>
        <w:tc>
          <w:tcPr>
            <w:tcW w:w="13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tcPr>
          <w:p>
            <w:pPr>
              <w:jc w:val="right"/>
              <w:ind w:right="2350"/>
              <w:spacing w:after="0"/>
              <w:rPr>
                <w:sz w:val="20"/>
                <w:szCs w:val="20"/>
                <w:color w:val="auto"/>
              </w:rPr>
            </w:pPr>
            <w:r>
              <w:rPr>
                <w:rFonts w:ascii="Arial" w:cs="Arial" w:eastAsia="Arial" w:hAnsi="Arial"/>
                <w:sz w:val="18"/>
                <w:szCs w:val="18"/>
                <w:b w:val="1"/>
                <w:bCs w:val="1"/>
                <w:color w:val="auto"/>
              </w:rPr>
              <w:t>01803</w:t>
            </w:r>
          </w:p>
        </w:tc>
      </w:tr>
      <w:tr>
        <w:trPr>
          <w:trHeight w:val="230"/>
        </w:trPr>
        <w:tc>
          <w:tcPr>
            <w:tcW w:w="4440" w:type="dxa"/>
            <w:vAlign w:val="bottom"/>
            <w:gridSpan w:val="3"/>
          </w:tcPr>
          <w:p>
            <w:pPr>
              <w:jc w:val="center"/>
              <w:ind w:left="1210"/>
              <w:spacing w:after="0"/>
              <w:rPr>
                <w:sz w:val="20"/>
                <w:szCs w:val="20"/>
                <w:color w:val="auto"/>
              </w:rPr>
            </w:pPr>
            <w:r>
              <w:rPr>
                <w:rFonts w:ascii="Arial" w:cs="Arial" w:eastAsia="Arial" w:hAnsi="Arial"/>
                <w:sz w:val="18"/>
                <w:szCs w:val="18"/>
                <w:color w:val="auto"/>
                <w:w w:val="92"/>
              </w:rPr>
              <w:t>(Address of principal executive offices)</w:t>
            </w:r>
          </w:p>
        </w:tc>
        <w:tc>
          <w:tcPr>
            <w:tcW w:w="1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60" w:type="dxa"/>
            <w:vAlign w:val="bottom"/>
          </w:tcPr>
          <w:p>
            <w:pPr>
              <w:jc w:val="center"/>
              <w:ind w:right="1850"/>
              <w:spacing w:after="0"/>
              <w:rPr>
                <w:sz w:val="20"/>
                <w:szCs w:val="20"/>
                <w:color w:val="auto"/>
              </w:rPr>
            </w:pPr>
            <w:r>
              <w:rPr>
                <w:rFonts w:ascii="Arial" w:cs="Arial" w:eastAsia="Arial" w:hAnsi="Arial"/>
                <w:sz w:val="18"/>
                <w:szCs w:val="18"/>
                <w:color w:val="auto"/>
                <w:w w:val="94"/>
              </w:rPr>
              <w:t>(Zip Code)</w:t>
            </w:r>
          </w:p>
        </w:tc>
      </w:tr>
    </w:tbl>
    <w:p>
      <w:pPr>
        <w:spacing w:after="0" w:line="183"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896-5243</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8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right="2860" w:firstLine="8"/>
        <w:spacing w:after="0" w:line="500" w:lineRule="auto"/>
        <w:tabs>
          <w:tab w:leader="none" w:pos="324"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0" w:type="dxa"/>
        <w:tblCellMar>
          <w:top w:w="0" w:type="dxa"/>
          <w:left w:w="0" w:type="dxa"/>
          <w:bottom w:w="0" w:type="dxa"/>
          <w:right w:w="0" w:type="dxa"/>
        </w:tblCellMar>
      </w:tblPr>
      <w:tr>
        <w:trPr>
          <w:trHeight w:val="237"/>
        </w:trPr>
        <w:tc>
          <w:tcPr>
            <w:tcW w:w="5080" w:type="dxa"/>
            <w:vAlign w:val="bottom"/>
            <w:gridSpan w:val="2"/>
          </w:tcPr>
          <w:p>
            <w:pPr>
              <w:ind w:left="1840"/>
              <w:spacing w:after="0"/>
              <w:rPr>
                <w:sz w:val="20"/>
                <w:szCs w:val="20"/>
                <w:color w:val="auto"/>
              </w:rPr>
            </w:pPr>
            <w:r>
              <w:rPr>
                <w:rFonts w:ascii="Arial" w:cs="Arial" w:eastAsia="Arial" w:hAnsi="Arial"/>
                <w:sz w:val="18"/>
                <w:szCs w:val="18"/>
                <w:color w:val="auto"/>
              </w:rPr>
              <w:t>Title of each class</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color w:val="auto"/>
                <w:w w:val="93"/>
              </w:rPr>
              <w:t>Ticker symbol(s)</w:t>
            </w:r>
          </w:p>
        </w:tc>
        <w:tc>
          <w:tcPr>
            <w:tcW w:w="3700" w:type="dxa"/>
            <w:vAlign w:val="bottom"/>
          </w:tcPr>
          <w:p>
            <w:pPr>
              <w:ind w:left="260"/>
              <w:spacing w:after="0"/>
              <w:rPr>
                <w:sz w:val="20"/>
                <w:szCs w:val="20"/>
                <w:color w:val="auto"/>
              </w:rPr>
            </w:pPr>
            <w:r>
              <w:rPr>
                <w:rFonts w:ascii="Arial" w:cs="Arial" w:eastAsia="Arial" w:hAnsi="Arial"/>
                <w:sz w:val="18"/>
                <w:szCs w:val="18"/>
                <w:color w:val="auto"/>
                <w:w w:val="96"/>
              </w:rPr>
              <w:t>Name of each exchange on which registered</w:t>
            </w:r>
          </w:p>
        </w:tc>
      </w:tr>
      <w:tr>
        <w:trPr>
          <w:trHeight w:val="216"/>
        </w:trPr>
        <w:tc>
          <w:tcPr>
            <w:tcW w:w="4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Common Stock, par value $0.001 per share</w:t>
            </w:r>
          </w:p>
        </w:tc>
        <w:tc>
          <w:tcPr>
            <w:tcW w:w="12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b w:val="1"/>
                <w:bCs w:val="1"/>
                <w:color w:val="auto"/>
              </w:rPr>
              <w:t>AGFY</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The NASDAQ Capital Market</w:t>
            </w:r>
          </w:p>
        </w:tc>
      </w:tr>
    </w:tbl>
    <w:p>
      <w:pPr>
        <w:spacing w:after="0" w:line="202" w:lineRule="exact"/>
        <w:rPr>
          <w:sz w:val="24"/>
          <w:szCs w:val="24"/>
          <w:color w:val="auto"/>
        </w:rPr>
      </w:pPr>
    </w:p>
    <w:p>
      <w:pPr>
        <w:ind w:right="5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9060"/>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right="16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828675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46"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As previously disclosed, on February 19, 2021, Agrify Corporation (the “Company”) consummated an underwritten public offering (the “Offering”) of 5,555,555 shares of its common stock for a price of $13.50 per share, less certain underwriting discounts and commissions. Pursuant to an Underwriting Agreement, dated as of February 16, 2021 (the “Underwriting Agreement”), between the Company and Maxim Group LLC, as representative of the underwriters named therein (collectively, the “Underwriters”), the Company granted the Underwriters a 45-day option to purchase up to 833,333 additional shares of the Company’s common stock on the same terms and conditions for the purpose of covering any over-allotments in connection with the Offering.</w:t>
      </w:r>
    </w:p>
    <w:p>
      <w:pPr>
        <w:spacing w:after="0" w:line="161" w:lineRule="exact"/>
        <w:rPr>
          <w:sz w:val="20"/>
          <w:szCs w:val="20"/>
          <w:color w:val="auto"/>
        </w:rPr>
      </w:pPr>
    </w:p>
    <w:p>
      <w:pPr>
        <w:ind w:right="360"/>
        <w:spacing w:after="0" w:line="301" w:lineRule="auto"/>
        <w:rPr>
          <w:sz w:val="20"/>
          <w:szCs w:val="20"/>
          <w:color w:val="auto"/>
        </w:rPr>
      </w:pPr>
      <w:r>
        <w:rPr>
          <w:rFonts w:ascii="Arial" w:cs="Arial" w:eastAsia="Arial" w:hAnsi="Arial"/>
          <w:sz w:val="16"/>
          <w:szCs w:val="16"/>
          <w:color w:val="auto"/>
        </w:rPr>
        <w:t>Subsequently, the Underwriters exercised the over-allotment option, and on March 22, 2021, the Company closed on the sale of an additional 833,333 shares of common stock for a price of $13.50 per share, less a 7% underwriting commission. The exercise of the over-allotment option brings the total number of shares of common stock sold by the Company in connection with the Offering to 6,388,888 shares and the total net proceeds received in connection with the Offering to approximately $80 million, after deducting underwriting discounts and estimated offering expenses.</w:t>
      </w:r>
    </w:p>
    <w:p>
      <w:pPr>
        <w:spacing w:after="0" w:line="157"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The Offering was made pursuant to the Company’s registration statement on Form S-1 (File No. 333-253005), which was declared effective by the Securities and Exchange Commission (the “SEC”) on February 16, 2021 under the Securities Act of 1933, as amended. A final prospectus describing the terms of the Offering was filed with the SEC and is available on the SEC’s website located at http://www.sec.gov.</w:t>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12" w:right="399" w:bottom="1440" w:gutter="0" w:footer="0" w:header="0"/>
        </w:sectPr>
      </w:pPr>
    </w:p>
    <w:bookmarkStart w:id="2" w:name="page3"/>
    <w:bookmarkEnd w:id="2"/>
    <w:p>
      <w:pPr>
        <w:jc w:val="center"/>
        <w:ind w:right="-3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AGRIFY CORPORATION</w:t>
      </w:r>
    </w:p>
    <w:p>
      <w:pPr>
        <w:spacing w:after="0" w:line="229" w:lineRule="exact"/>
        <w:rPr>
          <w:sz w:val="20"/>
          <w:szCs w:val="20"/>
          <w:color w:val="auto"/>
        </w:rPr>
      </w:pPr>
    </w:p>
    <w:p>
      <w:pPr>
        <w:spacing w:after="0"/>
        <w:tabs>
          <w:tab w:leader="none" w:pos="6740" w:val="left"/>
          <w:tab w:leader="none" w:pos="7300" w:val="left"/>
        </w:tabs>
        <w:rPr>
          <w:sz w:val="20"/>
          <w:szCs w:val="20"/>
          <w:color w:val="auto"/>
        </w:rPr>
      </w:pPr>
      <w:r>
        <w:rPr>
          <w:rFonts w:ascii="Arial" w:cs="Arial" w:eastAsia="Arial" w:hAnsi="Arial"/>
          <w:sz w:val="18"/>
          <w:szCs w:val="18"/>
          <w:color w:val="auto"/>
        </w:rPr>
        <w:t>Date: March 22,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Niv Krikov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Niv Krikov</w:t>
      </w:r>
    </w:p>
    <w:p>
      <w:pPr>
        <w:spacing w:after="0" w:line="23" w:lineRule="exact"/>
        <w:rPr>
          <w:sz w:val="20"/>
          <w:szCs w:val="20"/>
          <w:color w:val="auto"/>
        </w:rPr>
      </w:pPr>
    </w:p>
    <w:p>
      <w:pPr>
        <w:ind w:left="6760"/>
        <w:spacing w:after="0"/>
        <w:tabs>
          <w:tab w:leader="none" w:pos="73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Chief Financial Officer</w:t>
      </w:r>
    </w:p>
    <w:p>
      <w:pPr>
        <w:spacing w:after="0" w:line="200" w:lineRule="exact"/>
        <w:rPr>
          <w:sz w:val="20"/>
          <w:szCs w:val="20"/>
          <w:color w:val="auto"/>
        </w:rPr>
      </w:pPr>
    </w:p>
    <w:p>
      <w:pPr>
        <w:spacing w:after="0" w:line="33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0920"/>
      </w:cols>
      <w:pgMar w:left="320" w:top="1161"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2021-03-22T15:31:30Z</dcterms:created>
  <dcterms:modified xsi:type="dcterms:W3CDTF">2021-03-22T15:31:30Z</dcterms:modified>
</cp:coreProperties>
</file>