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7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182880</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10" w:lineRule="exact"/>
        <w:rPr>
          <w:sz w:val="24"/>
          <w:szCs w:val="24"/>
          <w:color w:val="auto"/>
        </w:rPr>
      </w:pPr>
    </w:p>
    <w:p>
      <w:pPr>
        <w:ind w:left="4861"/>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5" w:lineRule="exact"/>
        <w:rPr>
          <w:sz w:val="24"/>
          <w:szCs w:val="24"/>
          <w:color w:val="auto"/>
        </w:rPr>
      </w:pPr>
    </w:p>
    <w:p>
      <w:pPr>
        <w:ind w:left="4461"/>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March 8,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AGRIFY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1" w:type="dxa"/>
        <w:tblCellMar>
          <w:top w:w="0" w:type="dxa"/>
          <w:left w:w="0" w:type="dxa"/>
          <w:bottom w:w="0" w:type="dxa"/>
          <w:right w:w="0" w:type="dxa"/>
        </w:tblCellMar>
      </w:tblPr>
      <w:tr>
        <w:trPr>
          <w:trHeight w:val="235"/>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040" w:type="dxa"/>
            <w:vAlign w:val="bottom"/>
            <w:gridSpan w:val="3"/>
          </w:tcPr>
          <w:p>
            <w:pPr>
              <w:jc w:val="right"/>
              <w:ind w:right="1440"/>
              <w:spacing w:after="0"/>
              <w:rPr>
                <w:sz w:val="20"/>
                <w:szCs w:val="20"/>
                <w:color w:val="auto"/>
              </w:rPr>
            </w:pPr>
            <w:r>
              <w:rPr>
                <w:rFonts w:ascii="Times New Roman" w:cs="Times New Roman" w:eastAsia="Times New Roman" w:hAnsi="Times New Roman"/>
                <w:sz w:val="16"/>
                <w:szCs w:val="16"/>
                <w:b w:val="1"/>
                <w:bCs w:val="1"/>
                <w:color w:val="auto"/>
              </w:rPr>
              <w:t>001-39946</w:t>
            </w:r>
          </w:p>
        </w:tc>
        <w:tc>
          <w:tcPr>
            <w:tcW w:w="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30-0943453</w:t>
            </w:r>
          </w:p>
        </w:tc>
      </w:tr>
      <w:tr>
        <w:trPr>
          <w:trHeight w:val="181"/>
        </w:trPr>
        <w:tc>
          <w:tcPr>
            <w:tcW w:w="36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(State or other jurisdiction</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580"/>
              <w:spacing w:after="0" w:line="181" w:lineRule="exact"/>
              <w:rPr>
                <w:sz w:val="20"/>
                <w:szCs w:val="20"/>
                <w:color w:val="auto"/>
              </w:rPr>
            </w:pPr>
            <w:r>
              <w:rPr>
                <w:rFonts w:ascii="Times New Roman" w:cs="Times New Roman" w:eastAsia="Times New Roman" w:hAnsi="Times New Roman"/>
                <w:sz w:val="16"/>
                <w:szCs w:val="16"/>
                <w:color w:val="auto"/>
              </w:rPr>
              <w:t>(Commission File Number)</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(IRS Employer</w:t>
            </w:r>
          </w:p>
        </w:tc>
      </w:tr>
      <w:tr>
        <w:trPr>
          <w:trHeight w:val="215"/>
        </w:trPr>
        <w:tc>
          <w:tcPr>
            <w:tcW w:w="440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of incorporation)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4"/>
        </w:trPr>
        <w:tc>
          <w:tcPr>
            <w:tcW w:w="4400" w:type="dxa"/>
            <w:vAlign w:val="bottom"/>
            <w:gridSpan w:val="3"/>
          </w:tcPr>
          <w:p>
            <w:pPr>
              <w:jc w:val="center"/>
              <w:ind w:left="1038"/>
              <w:spacing w:after="0"/>
              <w:rPr>
                <w:sz w:val="20"/>
                <w:szCs w:val="20"/>
                <w:color w:val="auto"/>
              </w:rPr>
            </w:pPr>
            <w:r>
              <w:rPr>
                <w:rFonts w:ascii="Times New Roman" w:cs="Times New Roman" w:eastAsia="Times New Roman" w:hAnsi="Times New Roman"/>
                <w:sz w:val="16"/>
                <w:szCs w:val="16"/>
                <w:b w:val="1"/>
                <w:bCs w:val="1"/>
                <w:color w:val="auto"/>
              </w:rPr>
              <w:t>76 Treble Cove Rd.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98"/>
        </w:trPr>
        <w:tc>
          <w:tcPr>
            <w:tcW w:w="4400" w:type="dxa"/>
            <w:vAlign w:val="bottom"/>
            <w:gridSpan w:val="3"/>
          </w:tcPr>
          <w:p>
            <w:pPr>
              <w:jc w:val="center"/>
              <w:ind w:left="1038"/>
              <w:spacing w:after="0"/>
              <w:rPr>
                <w:sz w:val="20"/>
                <w:szCs w:val="20"/>
                <w:color w:val="auto"/>
              </w:rPr>
            </w:pPr>
            <w:r>
              <w:rPr>
                <w:rFonts w:ascii="Times New Roman" w:cs="Times New Roman" w:eastAsia="Times New Roman" w:hAnsi="Times New Roman"/>
                <w:sz w:val="16"/>
                <w:szCs w:val="16"/>
                <w:b w:val="1"/>
                <w:bCs w:val="1"/>
                <w:color w:val="auto"/>
              </w:rPr>
              <w:t>Building 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3"/>
        </w:trPr>
        <w:tc>
          <w:tcPr>
            <w:tcW w:w="4400" w:type="dxa"/>
            <w:vAlign w:val="bottom"/>
            <w:tcBorders>
              <w:bottom w:val="single" w:sz="8" w:color="auto"/>
            </w:tcBorders>
            <w:gridSpan w:val="3"/>
          </w:tcPr>
          <w:p>
            <w:pPr>
              <w:jc w:val="center"/>
              <w:ind w:left="1038"/>
              <w:spacing w:after="0"/>
              <w:rPr>
                <w:sz w:val="20"/>
                <w:szCs w:val="20"/>
                <w:color w:val="auto"/>
              </w:rPr>
            </w:pPr>
            <w:r>
              <w:rPr>
                <w:rFonts w:ascii="Times New Roman" w:cs="Times New Roman" w:eastAsia="Times New Roman" w:hAnsi="Times New Roman"/>
                <w:sz w:val="16"/>
                <w:szCs w:val="16"/>
                <w:b w:val="1"/>
                <w:bCs w:val="1"/>
                <w:color w:val="auto"/>
              </w:rPr>
              <w:t>Billerica, MA 01862</w:t>
            </w: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jc w:val="right"/>
              <w:ind w:right="2458"/>
              <w:spacing w:after="0"/>
              <w:rPr>
                <w:sz w:val="20"/>
                <w:szCs w:val="20"/>
                <w:color w:val="auto"/>
              </w:rPr>
            </w:pPr>
            <w:r>
              <w:rPr>
                <w:rFonts w:ascii="Times New Roman" w:cs="Times New Roman" w:eastAsia="Times New Roman" w:hAnsi="Times New Roman"/>
                <w:sz w:val="16"/>
                <w:szCs w:val="16"/>
                <w:b w:val="1"/>
                <w:bCs w:val="1"/>
                <w:color w:val="auto"/>
              </w:rPr>
              <w:t>01862</w:t>
            </w:r>
          </w:p>
        </w:tc>
      </w:tr>
      <w:tr>
        <w:trPr>
          <w:trHeight w:val="215"/>
        </w:trPr>
        <w:tc>
          <w:tcPr>
            <w:tcW w:w="4400" w:type="dxa"/>
            <w:vAlign w:val="bottom"/>
            <w:gridSpan w:val="3"/>
          </w:tcPr>
          <w:p>
            <w:pPr>
              <w:jc w:val="center"/>
              <w:ind w:left="1038"/>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ind w:right="1818"/>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896-5243</w:t>
      </w:r>
    </w:p>
    <w:p>
      <w:pPr>
        <w:spacing w:after="0" w:line="215"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1" w:lineRule="exact"/>
        <w:rPr>
          <w:rFonts w:ascii="MS PGothic" w:cs="MS PGothic" w:eastAsia="MS PGothic" w:hAnsi="MS PGothic"/>
          <w:sz w:val="16"/>
          <w:szCs w:val="16"/>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1" w:lineRule="exact"/>
        <w:rPr>
          <w:rFonts w:ascii="MS PGothic" w:cs="MS PGothic" w:eastAsia="MS PGothic" w:hAnsi="MS PGothic"/>
          <w:sz w:val="16"/>
          <w:szCs w:val="16"/>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1" w:lineRule="exact"/>
        <w:rPr>
          <w:rFonts w:ascii="MS PGothic" w:cs="MS PGothic" w:eastAsia="MS PGothic" w:hAnsi="MS PGothic"/>
          <w:sz w:val="16"/>
          <w:szCs w:val="16"/>
          <w:color w:val="auto"/>
        </w:rPr>
      </w:pPr>
    </w:p>
    <w:p>
      <w:pPr>
        <w:ind w:left="1" w:right="3600" w:hanging="1"/>
        <w:spacing w:after="0" w:line="512" w:lineRule="auto"/>
        <w:tabs>
          <w:tab w:leader="none" w:pos="2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 w:type="dxa"/>
        <w:tblCellMar>
          <w:top w:w="0" w:type="dxa"/>
          <w:left w:w="0" w:type="dxa"/>
          <w:bottom w:w="0" w:type="dxa"/>
          <w:right w:w="0" w:type="dxa"/>
        </w:tblCellMar>
      </w:tblPr>
      <w:tr>
        <w:trPr>
          <w:trHeight w:val="21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9"/>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98"/>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4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AGFY</w:t>
            </w:r>
          </w:p>
        </w:tc>
        <w:tc>
          <w:tcPr>
            <w:tcW w:w="2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jc w:val="both"/>
        <w:ind w:left="1"/>
        <w:spacing w:after="0" w:line="29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jc w:val="both"/>
        <w:ind w:left="1"/>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3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714375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453" w:right="339" w:bottom="1440" w:gutter="0" w:footer="0" w:header="0"/>
        </w:sectPr>
      </w:pPr>
    </w:p>
    <w:bookmarkStart w:id="1" w:name="page2"/>
    <w:bookmarkEnd w:id="1"/>
    <w:p>
      <w:pPr>
        <w:ind w:left="1"/>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Securities Exchange Agreement</w:t>
      </w:r>
    </w:p>
    <w:p>
      <w:pPr>
        <w:spacing w:after="0" w:line="213" w:lineRule="exact"/>
        <w:rPr>
          <w:sz w:val="20"/>
          <w:szCs w:val="20"/>
          <w:color w:val="auto"/>
        </w:rPr>
      </w:pPr>
    </w:p>
    <w:p>
      <w:pPr>
        <w:jc w:val="both"/>
        <w:ind w:left="1"/>
        <w:spacing w:after="0" w:line="260" w:lineRule="auto"/>
        <w:rPr>
          <w:sz w:val="20"/>
          <w:szCs w:val="20"/>
          <w:color w:val="auto"/>
        </w:rPr>
      </w:pPr>
      <w:r>
        <w:rPr>
          <w:rFonts w:ascii="Times New Roman" w:cs="Times New Roman" w:eastAsia="Times New Roman" w:hAnsi="Times New Roman"/>
          <w:sz w:val="16"/>
          <w:szCs w:val="16"/>
          <w:color w:val="auto"/>
        </w:rPr>
        <w:t>As previously reported, on March 14, 2022, Agrify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 Securities Purchase Agreement (the “</w:t>
      </w:r>
      <w:r>
        <w:rPr>
          <w:rFonts w:ascii="Times New Roman" w:cs="Times New Roman" w:eastAsia="Times New Roman" w:hAnsi="Times New Roman"/>
          <w:sz w:val="16"/>
          <w:szCs w:val="16"/>
          <w:u w:val="single" w:color="auto"/>
          <w:color w:val="auto"/>
        </w:rPr>
        <w:t>Securities Purchase Agreement</w:t>
      </w:r>
      <w:r>
        <w:rPr>
          <w:rFonts w:ascii="Times New Roman" w:cs="Times New Roman" w:eastAsia="Times New Roman" w:hAnsi="Times New Roman"/>
          <w:sz w:val="16"/>
          <w:szCs w:val="16"/>
          <w:color w:val="auto"/>
        </w:rPr>
        <w:t>”) with an accredited investor (the “</w:t>
      </w:r>
      <w:r>
        <w:rPr>
          <w:rFonts w:ascii="Times New Roman" w:cs="Times New Roman" w:eastAsia="Times New Roman" w:hAnsi="Times New Roman"/>
          <w:sz w:val="16"/>
          <w:szCs w:val="16"/>
          <w:u w:val="single" w:color="auto"/>
          <w:color w:val="auto"/>
        </w:rPr>
        <w:t>Lender</w:t>
      </w:r>
      <w:r>
        <w:rPr>
          <w:rFonts w:ascii="Times New Roman" w:cs="Times New Roman" w:eastAsia="Times New Roman" w:hAnsi="Times New Roman"/>
          <w:sz w:val="16"/>
          <w:szCs w:val="16"/>
          <w:color w:val="auto"/>
        </w:rPr>
        <w:t>”), pursuant to which, among other things, the Company agreed to issue and sell to the Lender, in a private placement transaction, in exchange for the payment by the Lender of $65,000,000, less applicable expenses as set forth in the Securities Purchase Agreement, (i) a senior secured promissory note in an aggregate principal amount of $65,000,000 (the “</w:t>
      </w:r>
      <w:r>
        <w:rPr>
          <w:rFonts w:ascii="Times New Roman" w:cs="Times New Roman" w:eastAsia="Times New Roman" w:hAnsi="Times New Roman"/>
          <w:sz w:val="16"/>
          <w:szCs w:val="16"/>
          <w:u w:val="single" w:color="auto"/>
          <w:color w:val="auto"/>
        </w:rPr>
        <w:t>Original Note</w:t>
      </w:r>
      <w:r>
        <w:rPr>
          <w:rFonts w:ascii="Times New Roman" w:cs="Times New Roman" w:eastAsia="Times New Roman" w:hAnsi="Times New Roman"/>
          <w:sz w:val="16"/>
          <w:szCs w:val="16"/>
          <w:color w:val="auto"/>
        </w:rPr>
        <w:t>”), and (ii) a warrant (the “</w:t>
      </w:r>
      <w:r>
        <w:rPr>
          <w:rFonts w:ascii="Times New Roman" w:cs="Times New Roman" w:eastAsia="Times New Roman" w:hAnsi="Times New Roman"/>
          <w:sz w:val="16"/>
          <w:szCs w:val="16"/>
          <w:u w:val="single" w:color="auto"/>
          <w:color w:val="auto"/>
        </w:rPr>
        <w:t>Original Warrant</w:t>
      </w:r>
      <w:r>
        <w:rPr>
          <w:rFonts w:ascii="Times New Roman" w:cs="Times New Roman" w:eastAsia="Times New Roman" w:hAnsi="Times New Roman"/>
          <w:sz w:val="16"/>
          <w:szCs w:val="16"/>
          <w:color w:val="auto"/>
        </w:rPr>
        <w:t>”) to purchase up to an aggregate of 688,111 shares of common stock of the Company, par value $0.001 per share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As also previously reported, on August 18, 2022, the Company entered into a Securities Exchange Agreement. Pursuant to that agreement, the Company made a payment of approximately $35.2 million as a prepayment under the Original Note and exchanged the remaining balance of the Original Note for (i) a new senior secured note (the “</w:t>
      </w:r>
      <w:r>
        <w:rPr>
          <w:rFonts w:ascii="Times New Roman" w:cs="Times New Roman" w:eastAsia="Times New Roman" w:hAnsi="Times New Roman"/>
          <w:sz w:val="16"/>
          <w:szCs w:val="16"/>
          <w:u w:val="single" w:color="auto"/>
          <w:color w:val="auto"/>
        </w:rPr>
        <w:t>August 2022 Note</w:t>
      </w:r>
      <w:r>
        <w:rPr>
          <w:rFonts w:ascii="Times New Roman" w:cs="Times New Roman" w:eastAsia="Times New Roman" w:hAnsi="Times New Roman"/>
          <w:sz w:val="16"/>
          <w:szCs w:val="16"/>
          <w:color w:val="auto"/>
        </w:rPr>
        <w:t>”) with an aggregate original principal amount of $35.0 million and</w:t>
      </w:r>
    </w:p>
    <w:p>
      <w:pPr>
        <w:spacing w:after="0" w:line="5" w:lineRule="exact"/>
        <w:rPr>
          <w:sz w:val="20"/>
          <w:szCs w:val="20"/>
          <w:color w:val="auto"/>
        </w:rPr>
      </w:pPr>
    </w:p>
    <w:p>
      <w:pPr>
        <w:jc w:val="both"/>
        <w:ind w:left="1" w:hanging="1"/>
        <w:spacing w:after="0" w:line="266" w:lineRule="auto"/>
        <w:tabs>
          <w:tab w:leader="none" w:pos="24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warrant to purchase 1,422,765 shares of Common Stock. Additionally, the Company exchanged the Original Warrant for a new warrant for the same number of underlying shares but with a reduced exercise price. The closing under the Securities Purchase Agreement is expected to occur on or around March 9, 2023, subject to customary closing conditions.</w:t>
      </w:r>
    </w:p>
    <w:p>
      <w:pPr>
        <w:spacing w:after="0" w:line="162"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On March 8, 2023, the Company entered into a new Securities Exchange Agreement (the “</w:t>
      </w:r>
      <w:r>
        <w:rPr>
          <w:rFonts w:ascii="Times New Roman" w:cs="Times New Roman" w:eastAsia="Times New Roman" w:hAnsi="Times New Roman"/>
          <w:sz w:val="16"/>
          <w:szCs w:val="16"/>
          <w:u w:val="single" w:color="auto"/>
          <w:color w:val="auto"/>
        </w:rPr>
        <w:t>Exchange Agreement</w:t>
      </w:r>
      <w:r>
        <w:rPr>
          <w:rFonts w:ascii="Times New Roman" w:cs="Times New Roman" w:eastAsia="Times New Roman" w:hAnsi="Times New Roman"/>
          <w:sz w:val="16"/>
          <w:szCs w:val="16"/>
          <w:color w:val="auto"/>
        </w:rPr>
        <w:t>”) with the Lender. Pursuant to the Exchange Agreement, at closing the Company will prepay approximately $10.3 million in principal amount under the August 2022 Note and exchange $10.0 in principal amount of the remaining balance of the August 2022 Note for a new senior secured convertible note (the “</w:t>
      </w:r>
      <w:r>
        <w:rPr>
          <w:rFonts w:ascii="Times New Roman" w:cs="Times New Roman" w:eastAsia="Times New Roman" w:hAnsi="Times New Roman"/>
          <w:sz w:val="16"/>
          <w:szCs w:val="16"/>
          <w:u w:val="single" w:color="auto"/>
          <w:color w:val="auto"/>
        </w:rPr>
        <w:t>Convertible Note</w:t>
      </w:r>
      <w:r>
        <w:rPr>
          <w:rFonts w:ascii="Times New Roman" w:cs="Times New Roman" w:eastAsia="Times New Roman" w:hAnsi="Times New Roman"/>
          <w:sz w:val="16"/>
          <w:szCs w:val="16"/>
          <w:color w:val="auto"/>
        </w:rPr>
        <w:t>”) with an original principal amount of $10.0 million.</w:t>
      </w:r>
    </w:p>
    <w:p>
      <w:pPr>
        <w:spacing w:after="0" w:line="153"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6"/>
          <w:szCs w:val="16"/>
          <w:color w:val="auto"/>
        </w:rPr>
        <w:t>The Convertible Note will be a senior secured obligation of the Company and will rank senior to all indebtedness of the Company. The Convertible Note will mature on August 19, 2025 (the “</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and will contain a 9.0% annualized interest rate, with interest to be paid monthly, in cash, beginning April 1, 2023. The principal amount of the Convertible Note will be payable on the Maturity Date, provided that the Lender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62"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6"/>
          <w:szCs w:val="16"/>
          <w:color w:val="auto"/>
        </w:rPr>
        <w:t>At any time, the Company may prepay all of the Convertible Note by redemption at a price equal to 102.5% of the then-outstanding principal amount under the Convertible Note plus accrued but unpaid interest. The Lender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at a price equal to 102.5% of the then-outstanding principal amount under the Convertible Note plus accrued but unpaid interest.</w:t>
      </w:r>
    </w:p>
    <w:p>
      <w:pPr>
        <w:spacing w:after="0" w:line="364"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6"/>
          <w:szCs w:val="16"/>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w:t>
      </w:r>
      <w:r>
        <w:rPr>
          <w:rFonts w:ascii="Times New Roman" w:cs="Times New Roman" w:eastAsia="Times New Roman" w:hAnsi="Times New Roman"/>
          <w:sz w:val="16"/>
          <w:szCs w:val="16"/>
          <w:u w:val="single" w:color="auto"/>
          <w:color w:val="auto"/>
        </w:rPr>
        <w:t>VWAP</w:t>
      </w:r>
      <w:r>
        <w:rPr>
          <w:rFonts w:ascii="Times New Roman" w:cs="Times New Roman" w:eastAsia="Times New Roman" w:hAnsi="Times New Roman"/>
          <w:sz w:val="16"/>
          <w:szCs w:val="16"/>
          <w:color w:val="auto"/>
        </w:rPr>
        <w:t>”)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2" w:name="page3"/>
    <w:bookmarkEnd w:id="2"/>
    <w:p>
      <w:pPr>
        <w:jc w:val="both"/>
        <w:spacing w:after="0" w:line="277" w:lineRule="auto"/>
        <w:rPr>
          <w:sz w:val="20"/>
          <w:szCs w:val="20"/>
          <w:color w:val="auto"/>
        </w:rPr>
      </w:pPr>
      <w:r>
        <w:rPr>
          <w:rFonts w:ascii="Times New Roman" w:cs="Times New Roman" w:eastAsia="Times New Roman" w:hAnsi="Times New Roman"/>
          <w:sz w:val="16"/>
          <w:szCs w:val="16"/>
          <w:color w:val="auto"/>
        </w:rPr>
        <w:t>Until the date the Convertible Note is fully repaid, the Lender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If the Lender elects to convert the Convertible Note, the conversion price per share will be $0.3820,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Amendment</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Concurrently with the closing under the Exchange Agreement, the Company and the Lender will enter into an Amendment to the August 2022 Note (the “</w:t>
      </w:r>
      <w:r>
        <w:rPr>
          <w:rFonts w:ascii="Times New Roman" w:cs="Times New Roman" w:eastAsia="Times New Roman" w:hAnsi="Times New Roman"/>
          <w:sz w:val="16"/>
          <w:szCs w:val="16"/>
          <w:u w:val="single" w:color="auto"/>
          <w:color w:val="auto"/>
        </w:rPr>
        <w:t>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Pursuant to the Note Amendment, the August 2022 Note will be amended to, among other changes, remove covenants that require the Company not to exceed maximum levels of allowable cash spend while the August 2022 Note is outstanding and require the Company to maintain minimum amounts of cash on hand. The Note Amendment will also increase the cash sweep percentage applicable to proceeds from at-the-market equity offerings to 30% and revise the covenants regarding permitted acquisitions and permitted Total Turnkey Investments to broaden the scope of permissible investments, and will provide that the right of the Lender to redeem the August 2022 Note on August 19, 2023 will not be exercisable if the Company raises at least $8.0 million in gross proceeds from equity offerings prior to such date. The Note Amendment will add a new covenant to the August 2022 Note that will require the Company to prepay at least $3.0 million in principal amount under the August 2022 Note on or before December 31, 2023, inclusive of any cash sweep amounts.</w:t>
      </w:r>
    </w:p>
    <w:p>
      <w:pPr>
        <w:spacing w:after="0" w:line="1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foregoing summaries of the Exchange Agreement, the form of Convertible Note and the form of Note Amendment do not purport to be complete and are qualified in their entirety by reference to the copies of the Exchange Agreement, the form of Convertible Note and the form of Note Amendment that are filed herewith as Exhibits 10.1, 4.1 and 4.2, respectively.</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representations, warranties and covenants contained in the Exchange Agreement were made only for purposes of such agreement and as of specific dates, were solely for the benefit of the parties to the Exchange Agreement, and may be subject to limitations agreed upon by the contracting parties. Accordingly, the Exchange Agreement is incorporated herein by reference only to provide investors with information regarding the terms of the Exchange Agreement, and not to provide investors with any other factual information regarding the Company or its business, and should be read in conjunction with the disclosures in the Company’s periodic reports and other filings with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2.03. Creation of a Direct Financial Obligation.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in Item 1.01 of this Current Report on Form 8-K regarding the Convertible Note is incorporated herein by reference into this Item 2.03.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in Item 1.01 of this Current Report on Form 8-K regarding the Exchange is incorporated herein by reference into this Item 3.02.</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Convertible Note and the shares of Common Stock issuable upon its conversion (collectively, the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will be offered and sold to the Lender in a transaction exempt from registration under the Securities Act in reliance on Section 3(a)(9) thereof. The Lender represented that it was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Neither this Current Report on Form 8-K nor the exhibits attached hereto is an offer to sell or the solicitation of an offer to buy shares of Common Stock, notes, warrants or any other securities of the Company.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15" w:lineRule="exact"/>
        <w:rPr>
          <w:sz w:val="20"/>
          <w:szCs w:val="20"/>
          <w:color w:val="auto"/>
        </w:rPr>
      </w:pPr>
    </w:p>
    <w:p>
      <w:pPr>
        <w:ind w:left="1"/>
        <w:spacing w:after="0" w:line="297" w:lineRule="auto"/>
        <w:rPr>
          <w:sz w:val="20"/>
          <w:szCs w:val="20"/>
          <w:color w:val="auto"/>
        </w:rPr>
      </w:pPr>
      <w:r>
        <w:rPr>
          <w:rFonts w:ascii="Times New Roman" w:cs="Times New Roman" w:eastAsia="Times New Roman" w:hAnsi="Times New Roman"/>
          <w:sz w:val="16"/>
          <w:szCs w:val="16"/>
          <w:color w:val="auto"/>
        </w:rPr>
        <w:t>On March 9, 2023, the Company issued a press release announcing its entry into the Exchange Agreement. A copy of the press release is attached as Exhibit 99.1 to this Current Report on Form 8-K and is incorporated herein by reference.</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 Exhibits.</w:t>
      </w:r>
    </w:p>
    <w:p>
      <w:pPr>
        <w:spacing w:after="0" w:line="2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Company hereby files or furnishes, as applicable, the following exhibits:</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8"/>
        </w:trPr>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r>
      <w:tr>
        <w:trPr>
          <w:trHeight w:val="178"/>
        </w:trPr>
        <w:tc>
          <w:tcPr>
            <w:tcW w:w="1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Form of Senior Secured Convertible Note</w:t>
            </w:r>
          </w:p>
        </w:tc>
      </w:tr>
      <w:tr>
        <w:trPr>
          <w:trHeight w:val="198"/>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374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r>
      <w:tr>
        <w:trPr>
          <w:trHeight w:val="178"/>
        </w:trPr>
        <w:tc>
          <w:tcPr>
            <w:tcW w:w="1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Form of Amendment of Senior Secured Note</w:t>
            </w:r>
          </w:p>
        </w:tc>
      </w:tr>
      <w:tr>
        <w:trPr>
          <w:trHeight w:val="198"/>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374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r>
      <w:tr>
        <w:trPr>
          <w:trHeight w:val="178"/>
        </w:trPr>
        <w:tc>
          <w:tcPr>
            <w:tcW w:w="1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Exchange Agreement, dated as of March 8, 2023, by and among Agrify Corporation and the investor listed therein</w:t>
            </w:r>
          </w:p>
        </w:tc>
      </w:tr>
      <w:tr>
        <w:trPr>
          <w:trHeight w:val="198"/>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r>
      <w:tr>
        <w:trPr>
          <w:trHeight w:val="178"/>
        </w:trPr>
        <w:tc>
          <w:tcPr>
            <w:tcW w:w="1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EE"/>
              </w:rPr>
              <w:t>Press Release of Agrify Corporation dated March 9, 2023</w:t>
            </w:r>
          </w:p>
        </w:tc>
      </w:tr>
      <w:tr>
        <w:trPr>
          <w:trHeight w:val="198"/>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74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81" w:lineRule="exact"/>
        <w:rPr>
          <w:sz w:val="20"/>
          <w:szCs w:val="20"/>
          <w:color w:val="auto"/>
        </w:rPr>
      </w:pPr>
    </w:p>
    <w:p>
      <w:pPr>
        <w:ind w:left="301" w:hanging="301"/>
        <w:spacing w:after="0" w:line="297" w:lineRule="auto"/>
        <w:tabs>
          <w:tab w:leader="none" w:pos="3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37" w:lineRule="exact"/>
        <w:rPr>
          <w:sz w:val="20"/>
          <w:szCs w:val="20"/>
          <w:color w:val="auto"/>
        </w:rPr>
      </w:pPr>
    </w:p>
    <w:p>
      <w:pPr>
        <w:ind w:left="1"/>
        <w:spacing w:after="0"/>
        <w:tabs>
          <w:tab w:leader="none" w:pos="281" w:val="left"/>
        </w:tabs>
        <w:rPr>
          <w:sz w:val="20"/>
          <w:szCs w:val="20"/>
          <w:color w:val="auto"/>
        </w:rPr>
      </w:pPr>
      <w:r>
        <w:rPr>
          <w:rFonts w:ascii="Times New Roman" w:cs="Times New Roman" w:eastAsia="Times New Roman" w:hAnsi="Times New Roman"/>
          <w:sz w:val="16"/>
          <w:szCs w:val="16"/>
          <w:color w:val="auto"/>
        </w:rPr>
        <w:t>**</w:t>
        <w:tab/>
        <w:t>Furnished but not filed.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5" w:lineRule="exact"/>
        <w:rPr>
          <w:sz w:val="20"/>
          <w:szCs w:val="20"/>
          <w:color w:val="auto"/>
        </w:rPr>
      </w:pPr>
    </w:p>
    <w:p>
      <w:pPr>
        <w:ind w:firstLine="593"/>
        <w:spacing w:after="0" w:line="29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6"/>
          <w:szCs w:val="16"/>
          <w:color w:val="auto"/>
        </w:rPr>
        <w:t>Date: March 9, 2023</w:t>
      </w:r>
      <w:r>
        <w:rPr>
          <w:sz w:val="20"/>
          <w:szCs w:val="20"/>
          <w:color w:val="auto"/>
        </w:rPr>
        <w:tab/>
      </w:r>
      <w:r>
        <w:rPr>
          <w:rFonts w:ascii="Times New Roman" w:cs="Times New Roman" w:eastAsia="Times New Roman" w:hAnsi="Times New Roman"/>
          <w:sz w:val="16"/>
          <w:szCs w:val="16"/>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19050</wp:posOffset>
            </wp:positionV>
            <wp:extent cx="256413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1587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Raymond Nobu Chang</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Senior Secured Convertible Note due 2025</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ONE (1) YEAR AFTER MARCH 23, 2022,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Senior Secured Convertible Note due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Certificate No. C-1</w:t>
      </w:r>
    </w:p>
    <w:p>
      <w:pPr>
        <w:spacing w:after="0" w:line="207" w:lineRule="exact"/>
        <w:rPr>
          <w:sz w:val="20"/>
          <w:szCs w:val="20"/>
          <w:color w:val="auto"/>
        </w:rPr>
      </w:pPr>
    </w:p>
    <w:p>
      <w:pPr>
        <w:jc w:val="both"/>
        <w:ind w:firstLine="593"/>
        <w:spacing w:after="0" w:line="272" w:lineRule="auto"/>
        <w:rPr>
          <w:sz w:val="20"/>
          <w:szCs w:val="20"/>
          <w:color w:val="auto"/>
        </w:rPr>
      </w:pPr>
      <w:r>
        <w:rPr>
          <w:rFonts w:ascii="Times New Roman" w:cs="Times New Roman" w:eastAsia="Times New Roman" w:hAnsi="Times New Roman"/>
          <w:sz w:val="16"/>
          <w:szCs w:val="16"/>
          <w:color w:val="auto"/>
        </w:rPr>
        <w:t>Agrify Corporation,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for value received, promises to pay to High Trail Special Situations LLC (the “</w:t>
      </w:r>
      <w:r>
        <w:rPr>
          <w:rFonts w:ascii="Times New Roman" w:cs="Times New Roman" w:eastAsia="Times New Roman" w:hAnsi="Times New Roman"/>
          <w:sz w:val="16"/>
          <w:szCs w:val="16"/>
          <w:b w:val="1"/>
          <w:bCs w:val="1"/>
          <w:color w:val="auto"/>
        </w:rPr>
        <w:t>Initial Holder</w:t>
      </w:r>
      <w:r>
        <w:rPr>
          <w:rFonts w:ascii="Times New Roman" w:cs="Times New Roman" w:eastAsia="Times New Roman" w:hAnsi="Times New Roman"/>
          <w:sz w:val="16"/>
          <w:szCs w:val="16"/>
          <w:color w:val="auto"/>
        </w:rPr>
        <w:t>”), or its registered assigns, the principal sum of ten million dollars ($10,000,000) (such principal sum, the “</w:t>
      </w:r>
      <w:r>
        <w:rPr>
          <w:rFonts w:ascii="Times New Roman" w:cs="Times New Roman" w:eastAsia="Times New Roman" w:hAnsi="Times New Roman"/>
          <w:sz w:val="16"/>
          <w:szCs w:val="16"/>
          <w:b w:val="1"/>
          <w:bCs w:val="1"/>
          <w:color w:val="auto"/>
        </w:rPr>
        <w:t>Principal Amount</w:t>
      </w:r>
      <w:r>
        <w:rPr>
          <w:rFonts w:ascii="Times New Roman" w:cs="Times New Roman" w:eastAsia="Times New Roman" w:hAnsi="Times New Roman"/>
          <w:sz w:val="16"/>
          <w:szCs w:val="16"/>
          <w:color w:val="auto"/>
        </w:rPr>
        <w:t>”) on August 19, 2025, and to pay any outstanding interest thereon, as provided in this Note, in each case as provided in and subject to the other provisions of this Note, including the earlier redemption, repurchase or conversion of this Note.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Additional provisions of this Note are set forth on the other side of this Note.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The Remainder of This Page Intentionally Left Blank; Signature Page Follows</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Agrify Corporation has caused this instrument to be duly executed as of the date set forth below.</w:t>
      </w: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1"/>
          <w:szCs w:val="11"/>
          <w:color w:val="auto"/>
        </w:rPr>
        <w:t>grify</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1"/>
          <w:szCs w:val="11"/>
          <w:color w:val="auto"/>
        </w:rPr>
        <w:t>orporation</w:t>
      </w:r>
    </w:p>
    <w:p>
      <w:pPr>
        <w:spacing w:after="0" w:line="211"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Date: _____________</w:t>
      </w:r>
      <w:r>
        <w:rPr>
          <w:sz w:val="20"/>
          <w:szCs w:val="20"/>
          <w:color w:val="auto"/>
        </w:rPr>
        <w:tab/>
      </w: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19050</wp:posOffset>
            </wp:positionV>
            <wp:extent cx="256413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1587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Name:</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(Signature Page to Senior Secured Convertible Note due 2025, Certificate No.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411480</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39"/>
          </w:cols>
          <w:pgMar w:left="320" w:top="835"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Senior Secured Convertible Note due 2025</w:t>
      </w:r>
    </w:p>
    <w:p>
      <w:pPr>
        <w:spacing w:after="0" w:line="211"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This Note (this “</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and, collectively with any Note issued in exchange therefor or in substitution thereof,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is issued by Agrify Corporation,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designated as its “Senior Secured Convertible Notes due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 Definitions.</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has the meaning set forth in Rule 144 under the Securities Act.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ATM Issuance</w:t>
      </w:r>
      <w:r>
        <w:rPr>
          <w:rFonts w:ascii="Times New Roman" w:cs="Times New Roman" w:eastAsia="Times New Roman" w:hAnsi="Times New Roman"/>
          <w:sz w:val="16"/>
          <w:szCs w:val="16"/>
          <w:color w:val="auto"/>
        </w:rPr>
        <w:t>” means an Equity Issuance made pursuant to an ATM Program.</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ATM Program</w:t>
      </w:r>
      <w:r>
        <w:rPr>
          <w:rFonts w:ascii="Times New Roman" w:cs="Times New Roman" w:eastAsia="Times New Roman" w:hAnsi="Times New Roman"/>
          <w:sz w:val="16"/>
          <w:szCs w:val="16"/>
          <w:color w:val="auto"/>
        </w:rPr>
        <w:t>” means an “at-the-market” offering within the meaning of Rule 415(a)(4) of the Securities Act.</w:t>
      </w:r>
    </w:p>
    <w:p>
      <w:pPr>
        <w:spacing w:after="0" w:line="211" w:lineRule="exact"/>
        <w:rPr>
          <w:sz w:val="20"/>
          <w:szCs w:val="20"/>
          <w:color w:val="auto"/>
        </w:rPr>
      </w:pPr>
    </w:p>
    <w:p>
      <w:pPr>
        <w:jc w:val="both"/>
        <w:ind w:firstLine="593"/>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Attribution Parties</w:t>
      </w:r>
      <w:r>
        <w:rPr>
          <w:rFonts w:ascii="Times New Roman" w:cs="Times New Roman" w:eastAsia="Times New Roman" w:hAnsi="Times New Roman"/>
          <w:sz w:val="16"/>
          <w:szCs w:val="16"/>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60"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Authorized Denomination</w:t>
      </w:r>
      <w:r>
        <w:rPr>
          <w:rFonts w:ascii="Times New Roman" w:cs="Times New Roman" w:eastAsia="Times New Roman" w:hAnsi="Times New Roman"/>
          <w:sz w:val="16"/>
          <w:szCs w:val="16"/>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Bankruptcy Law</w:t>
      </w:r>
      <w:r>
        <w:rPr>
          <w:rFonts w:ascii="Times New Roman" w:cs="Times New Roman" w:eastAsia="Times New Roman" w:hAnsi="Times New Roman"/>
          <w:sz w:val="16"/>
          <w:szCs w:val="16"/>
          <w:color w:val="auto"/>
        </w:rPr>
        <w:t>” means Title 11, United States Code, or any similar U.S. federal or state or non-U.S. law for the relief of debtors.</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 or a committee of such board duly authorized to act on behalf of such board.</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Combination Event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10</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9" w:name="page10"/>
    <w:bookmarkEnd w:id="9"/>
    <w:p>
      <w:pPr>
        <w:jc w:val="both"/>
        <w:ind w:left="1" w:firstLine="593"/>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Lease</w:t>
      </w:r>
      <w:r>
        <w:rPr>
          <w:rFonts w:ascii="Times New Roman" w:cs="Times New Roman" w:eastAsia="Times New Roman" w:hAnsi="Times New Roman"/>
          <w:sz w:val="16"/>
          <w:szCs w:val="16"/>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341" w:lineRule="exact"/>
        <w:rPr>
          <w:sz w:val="20"/>
          <w:szCs w:val="20"/>
          <w:color w:val="auto"/>
        </w:rPr>
      </w:pPr>
    </w:p>
    <w:p>
      <w:pPr>
        <w:jc w:val="both"/>
        <w:ind w:left="1"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Lease Obligation</w:t>
      </w:r>
      <w:r>
        <w:rPr>
          <w:rFonts w:ascii="Times New Roman" w:cs="Times New Roman" w:eastAsia="Times New Roman" w:hAnsi="Times New Roman"/>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6" w:lineRule="exact"/>
        <w:rPr>
          <w:sz w:val="20"/>
          <w:szCs w:val="20"/>
          <w:color w:val="auto"/>
        </w:rPr>
      </w:pPr>
    </w:p>
    <w:p>
      <w:pPr>
        <w:jc w:val="both"/>
        <w:ind w:left="1"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3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means all cash and liquid funds.</w:t>
      </w:r>
    </w:p>
    <w:p>
      <w:pPr>
        <w:spacing w:after="0" w:line="211" w:lineRule="exact"/>
        <w:rPr>
          <w:sz w:val="20"/>
          <w:szCs w:val="20"/>
          <w:color w:val="auto"/>
        </w:rPr>
      </w:pPr>
    </w:p>
    <w:p>
      <w:pPr>
        <w:jc w:val="both"/>
        <w:ind w:left="1" w:firstLine="593"/>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of America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of America or any State,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 (A) and (B) above, (ii) has net assets of not less than $5,000,000,000, and (iii) has the highest rating obtainable from either Standard &amp; Poor’s Corporation or Moody’s Investors Service.</w:t>
      </w:r>
    </w:p>
    <w:p>
      <w:pPr>
        <w:spacing w:after="0" w:line="162"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Spend Availability</w:t>
      </w:r>
      <w:r>
        <w:rPr>
          <w:rFonts w:ascii="Times New Roman" w:cs="Times New Roman" w:eastAsia="Times New Roman" w:hAnsi="Times New Roman"/>
          <w:sz w:val="16"/>
          <w:szCs w:val="16"/>
          <w:color w:val="auto"/>
        </w:rPr>
        <w:t>” means the Cash and Cash Equivalents held by the Company.</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Amount</w:t>
      </w:r>
      <w:r>
        <w:rPr>
          <w:rFonts w:ascii="Times New Roman" w:cs="Times New Roman" w:eastAsia="Times New Roman" w:hAnsi="Times New Roman"/>
          <w:sz w:val="16"/>
          <w:szCs w:val="16"/>
          <w:color w:val="auto"/>
        </w:rPr>
        <w:t>” means an amount equal to (i) with respect to any ATM Issuance, thirty percent (30%) of the net proceeds from such ATM Issuance, and</w:t>
      </w:r>
    </w:p>
    <w:p>
      <w:pPr>
        <w:spacing w:after="0" w:line="35" w:lineRule="exact"/>
        <w:rPr>
          <w:sz w:val="20"/>
          <w:szCs w:val="20"/>
          <w:color w:val="auto"/>
        </w:rPr>
      </w:pPr>
    </w:p>
    <w:p>
      <w:pPr>
        <w:ind w:left="5581" w:right="2140" w:hanging="5581"/>
        <w:spacing w:after="0" w:line="515" w:lineRule="auto"/>
        <w:tabs>
          <w:tab w:leader="none" w:pos="23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Equity Issuance that is not an ATM Issuance, twenty percent (20%) of the net proceeds from such Equity Issuance.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10" w:name="page11"/>
    <w:bookmarkEnd w:id="10"/>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Certification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4(E)(ii)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4(E)(iv)</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Payment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4(E)(i)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means 5:00 p.m., New York City time.</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w:t>
      </w:r>
      <w:r>
        <w:rPr>
          <w:rFonts w:ascii="Times New Roman" w:cs="Times New Roman" w:eastAsia="Times New Roman" w:hAnsi="Times New Roman"/>
          <w:sz w:val="16"/>
          <w:szCs w:val="16"/>
          <w:color w:val="auto"/>
        </w:rPr>
        <w:t>” has the meaning set forth in the Security Agreements.</w:t>
      </w:r>
    </w:p>
    <w:p>
      <w:pPr>
        <w:spacing w:after="0" w:line="21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means High Trail Special Situations LLC in its capacity as collateral agent for the Holder and each Other Holder, together with any successor thereto in such capacity.</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the common stock, par value $0.001 per share, of the Company.</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 Change Event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7(H)(i)(4)</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Redemption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Redemption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Redemption Price</w:t>
      </w:r>
      <w:r>
        <w:rPr>
          <w:rFonts w:ascii="Times New Roman" w:cs="Times New Roman" w:eastAsia="Times New Roman" w:hAnsi="Times New Roman"/>
          <w:sz w:val="16"/>
          <w:szCs w:val="16"/>
          <w:color w:val="auto"/>
        </w:rPr>
        <w:t>” means a cash amount equal to one hundred and two point five percent (102.5%) of the Principal Amount then outstanding, plus accrued and unpaid interest.</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Compliance Certification</w:t>
      </w:r>
      <w:r>
        <w:rPr>
          <w:rFonts w:ascii="Times New Roman" w:cs="Times New Roman" w:eastAsia="Times New Roman" w:hAnsi="Times New Roman"/>
          <w:sz w:val="16"/>
          <w:szCs w:val="16"/>
          <w:color w:val="auto"/>
        </w:rPr>
        <w:t xml:space="preserve">” means each certification delivered pursuant to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9(K)(ii)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Contingent Obligation</w:t>
      </w:r>
      <w:r>
        <w:rPr>
          <w:rFonts w:ascii="Times New Roman" w:cs="Times New Roman" w:eastAsia="Times New Roman" w:hAnsi="Times New Roman"/>
          <w:sz w:val="16"/>
          <w:szCs w:val="16"/>
          <w:color w:val="auto"/>
        </w:rPr>
        <w:t>” means, as applied to any Person, any direct or indirect liability, contingent or otherwise, of that Person with respect to (A) 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3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7(D)(i)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 w:name="page12"/>
    <w:bookmarkEnd w:id="11"/>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xml:space="preserve">” means the first Business Day on which the requirements set forth in </w:t>
      </w:r>
      <w:r>
        <w:rPr>
          <w:rFonts w:ascii="Times New Roman" w:cs="Times New Roman" w:eastAsia="Times New Roman" w:hAnsi="Times New Roman"/>
          <w:sz w:val="16"/>
          <w:szCs w:val="16"/>
          <w:b w:val="1"/>
          <w:bCs w:val="1"/>
          <w:color w:val="auto"/>
        </w:rPr>
        <w:t>Section 7(C)(i)</w:t>
      </w:r>
      <w:r>
        <w:rPr>
          <w:rFonts w:ascii="Times New Roman" w:cs="Times New Roman" w:eastAsia="Times New Roman" w:hAnsi="Times New Roman"/>
          <w:sz w:val="16"/>
          <w:szCs w:val="16"/>
          <w:color w:val="auto"/>
        </w:rPr>
        <w:t xml:space="preserve"> to convert this Note are satisfied.</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Price</w:t>
      </w:r>
      <w:r>
        <w:rPr>
          <w:rFonts w:ascii="Times New Roman" w:cs="Times New Roman" w:eastAsia="Times New Roman" w:hAnsi="Times New Roman"/>
          <w:sz w:val="16"/>
          <w:szCs w:val="16"/>
          <w:color w:val="auto"/>
        </w:rPr>
        <w:t xml:space="preserve">” means, as of any time, an amount equal to (A) one thousand dollars ($1,000)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(B) the Conversion Rate in effect at such time.</w:t>
      </w:r>
    </w:p>
    <w:p>
      <w:pPr>
        <w:spacing w:after="0" w:line="211"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xml:space="preserve">” initially means 2,617.8010;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Conversion Rate is subject to adjustment pursuant to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whenever this Note refers to the Conversion Rate as of a particular date without setting forth a particular time on such date, such reference will be deemed to be to the Conversion Rate immediately after the Close of Business on such date.</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Settlement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7(D)(iii)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Copyright License</w:t>
      </w:r>
      <w:r>
        <w:rPr>
          <w:rFonts w:ascii="Times New Roman" w:cs="Times New Roman" w:eastAsia="Times New Roman" w:hAnsi="Times New Roman"/>
          <w:sz w:val="16"/>
          <w:szCs w:val="16"/>
          <w:color w:val="auto"/>
        </w:rPr>
        <w:t>” means any written agreement granting any right to use any Copyright or Copyright registration, now owned or hereafter acquired by the Company or in which the Company now holds or hereafter acquires any interest.</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Copyrights</w:t>
      </w:r>
      <w:r>
        <w:rPr>
          <w:rFonts w:ascii="Times New Roman" w:cs="Times New Roman" w:eastAsia="Times New Roman" w:hAnsi="Times New Roman"/>
          <w:sz w:val="16"/>
          <w:szCs w:val="16"/>
          <w:color w:val="auto"/>
        </w:rPr>
        <w:t>” means all copyrights, whether registered or unregistered, held pursuant to the laws of the United States, any State thereof, or of any other country.</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Covering Price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7(D)(iv)(1)</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any event that is (or, after notice, passage of time or both, would be) an Event of Default.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Interest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4(B)(ii)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Stock</w:t>
      </w:r>
      <w:r>
        <w:rPr>
          <w:rFonts w:ascii="Times New Roman" w:cs="Times New Roman" w:eastAsia="Times New Roman" w:hAnsi="Times New Roman"/>
          <w:sz w:val="16"/>
          <w:szCs w:val="16"/>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32" w:lineRule="exact"/>
        <w:rPr>
          <w:sz w:val="20"/>
          <w:szCs w:val="20"/>
          <w:color w:val="auto"/>
        </w:rPr>
      </w:pPr>
    </w:p>
    <w:p>
      <w:pPr>
        <w:ind w:left="1160" w:hanging="272"/>
        <w:spacing w:after="0"/>
        <w:tabs>
          <w:tab w:leader="none" w:pos="11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matures or is mandatorily redeemable pursuant to a sinking fund obligation or otherwise;</w:t>
      </w:r>
    </w:p>
    <w:p>
      <w:pPr>
        <w:spacing w:after="0" w:line="211" w:lineRule="exact"/>
        <w:rPr>
          <w:rFonts w:ascii="Times New Roman" w:cs="Times New Roman" w:eastAsia="Times New Roman" w:hAnsi="Times New Roman"/>
          <w:sz w:val="16"/>
          <w:szCs w:val="16"/>
          <w:color w:val="auto"/>
        </w:rPr>
      </w:pPr>
    </w:p>
    <w:p>
      <w:pPr>
        <w:jc w:val="both"/>
        <w:ind w:left="300" w:firstLine="588"/>
        <w:spacing w:after="0" w:line="277" w:lineRule="auto"/>
        <w:tabs>
          <w:tab w:leader="none" w:pos="11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2" w:name="page13"/>
    <w:bookmarkEnd w:id="12"/>
    <w:p>
      <w:pPr>
        <w:ind w:left="1140" w:hanging="252"/>
        <w:spacing w:after="0"/>
        <w:tabs>
          <w:tab w:leader="none" w:pos="11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redeemable at the option of the holder thereof, in whole or in part,</w:t>
      </w:r>
    </w:p>
    <w:p>
      <w:pPr>
        <w:spacing w:after="0" w:line="211" w:lineRule="exact"/>
        <w:rPr>
          <w:rFonts w:ascii="Times New Roman" w:cs="Times New Roman" w:eastAsia="Times New Roman" w:hAnsi="Times New Roman"/>
          <w:sz w:val="16"/>
          <w:szCs w:val="16"/>
          <w:color w:val="auto"/>
        </w:rPr>
      </w:pPr>
    </w:p>
    <w:p>
      <w:pPr>
        <w:ind w:left="600" w:right="1420" w:firstLine="288"/>
        <w:spacing w:after="0" w:line="512" w:lineRule="auto"/>
        <w:tabs>
          <w:tab w:leader="none" w:pos="11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of clauses (A), (B) and (C), at any point prior to the one hundred eighty-first (181st) day after the Maturity Date.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means The Depository Trust Company.</w:t>
      </w:r>
    </w:p>
    <w:p>
      <w:pPr>
        <w:spacing w:after="0" w:line="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Exchange</w:t>
      </w:r>
      <w:r>
        <w:rPr>
          <w:rFonts w:ascii="Times New Roman" w:cs="Times New Roman" w:eastAsia="Times New Roman" w:hAnsi="Times New Roman"/>
          <w:sz w:val="16"/>
          <w:szCs w:val="16"/>
          <w:color w:val="auto"/>
        </w:rPr>
        <w:t>” means any of The New York Stock Exchange, The NYSE American LLC, The Nasdaq Capital Market, The Nasdaq Global Market or The Nasdaq Global Select Market (or any of their respective successors).</w:t>
      </w:r>
    </w:p>
    <w:p>
      <w:pPr>
        <w:spacing w:after="0" w:line="128"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Equipment</w:t>
      </w:r>
      <w:r>
        <w:rPr>
          <w:rFonts w:ascii="Times New Roman" w:cs="Times New Roman" w:eastAsia="Times New Roman" w:hAnsi="Times New Roman"/>
          <w:sz w:val="16"/>
          <w:szCs w:val="16"/>
          <w:color w:val="auto"/>
        </w:rPr>
        <w:t>” means all “</w:t>
      </w:r>
      <w:r>
        <w:rPr>
          <w:rFonts w:ascii="Times New Roman" w:cs="Times New Roman" w:eastAsia="Times New Roman" w:hAnsi="Times New Roman"/>
          <w:sz w:val="16"/>
          <w:szCs w:val="16"/>
          <w:b w:val="1"/>
          <w:bCs w:val="1"/>
          <w:color w:val="auto"/>
        </w:rPr>
        <w:t>equipment</w:t>
      </w:r>
      <w:r>
        <w:rPr>
          <w:rFonts w:ascii="Times New Roman" w:cs="Times New Roman" w:eastAsia="Times New Roman" w:hAnsi="Times New Roman"/>
          <w:sz w:val="16"/>
          <w:szCs w:val="16"/>
          <w:color w:val="auto"/>
        </w:rPr>
        <w:t>” as defined in the UCC with such additions to such term as may hereafter be made, and includes without limitation all machinery, fixtures, goods, vehicles (including motor vehicles and trailers), and any interest in any of the foregoing.</w:t>
      </w:r>
    </w:p>
    <w:p>
      <w:pPr>
        <w:spacing w:after="0" w:line="130" w:lineRule="exact"/>
        <w:rPr>
          <w:sz w:val="20"/>
          <w:szCs w:val="20"/>
          <w:color w:val="auto"/>
        </w:rPr>
      </w:pPr>
    </w:p>
    <w:p>
      <w:pPr>
        <w:jc w:val="both"/>
        <w:ind w:firstLine="593"/>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shall mean,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54" w:lineRule="exact"/>
        <w:rPr>
          <w:sz w:val="20"/>
          <w:szCs w:val="20"/>
          <w:color w:val="auto"/>
        </w:rPr>
      </w:pPr>
    </w:p>
    <w:p>
      <w:pPr>
        <w:jc w:val="both"/>
        <w:ind w:firstLine="593"/>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Issuance</w:t>
      </w:r>
      <w:r>
        <w:rPr>
          <w:rFonts w:ascii="Times New Roman" w:cs="Times New Roman" w:eastAsia="Times New Roman" w:hAnsi="Times New Roman"/>
          <w:sz w:val="16"/>
          <w:szCs w:val="16"/>
          <w:color w:val="auto"/>
        </w:rPr>
        <w:t>” shall mean (a) any issuance or sale by the Company or any of its Subsidiaries of any Equity Interests (including any Equity Interests issued upon exercise or conversion of any Equity Rights) or any Equity Rights, or (b) the receipt by the Company or any of its Subsidiaries of any capital contribution (whether or not evidenced by any Equity Interest issued by the recipient of such contribution), in each case for bona fide capital-raising purposes and other than (i) Equity Interests issuable upon the exercise of Equity Rights issued pursuant to an Approved Stock Plan (as defined in the Securities Exchange Agreement) or upon the lapse of forfeiture restrictions on awards made pursuant to an Approved Stock Plan (including Equity Interests withheld by the Company for the purpose of paying on behalf of the holder thereof the exercise price of stock options or for paying taxes due as a result of such exercise or lapse of forfeiture restrictions), and (ii) Common Stock issuable upon the exercise of stock options or upon the lapse of forfeiture restrictions on awards made pursuant to, any stock option exchange program of the Company that is approved by the Board of Directors or the compensation committee thereof or the Company’s stockholders, whether now in effect or hereafter implemented. For the avoidance of doubt, the issuance of any Equity Interests to Holder pursuant to the conversion of all or a portion of this Note shall not constitute an Equity Issuance.</w:t>
      </w:r>
    </w:p>
    <w:p>
      <w:pPr>
        <w:spacing w:after="0" w:line="161"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Rights</w:t>
      </w:r>
      <w:r>
        <w:rPr>
          <w:rFonts w:ascii="Times New Roman" w:cs="Times New Roman" w:eastAsia="Times New Roman" w:hAnsi="Times New Roman"/>
          <w:sz w:val="16"/>
          <w:szCs w:val="16"/>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as amended, and the regulations promulgated thereunder.</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11(A)</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 Acceleration Amount</w:t>
      </w:r>
      <w:r>
        <w:rPr>
          <w:rFonts w:ascii="Times New Roman" w:cs="Times New Roman" w:eastAsia="Times New Roman" w:hAnsi="Times New Roman"/>
          <w:sz w:val="16"/>
          <w:szCs w:val="16"/>
          <w:color w:val="auto"/>
        </w:rPr>
        <w:t xml:space="preserve">” means, with respect to the delivery of a notice pursuant to </w:t>
      </w:r>
      <w:r>
        <w:rPr>
          <w:rFonts w:ascii="Times New Roman" w:cs="Times New Roman" w:eastAsia="Times New Roman" w:hAnsi="Times New Roman"/>
          <w:sz w:val="16"/>
          <w:szCs w:val="16"/>
          <w:b w:val="1"/>
          <w:bCs w:val="1"/>
          <w:color w:val="auto"/>
        </w:rPr>
        <w:t>Section 11(B)(ii)</w:t>
      </w:r>
      <w:r>
        <w:rPr>
          <w:rFonts w:ascii="Times New Roman" w:cs="Times New Roman" w:eastAsia="Times New Roman" w:hAnsi="Times New Roman"/>
          <w:sz w:val="16"/>
          <w:szCs w:val="16"/>
          <w:color w:val="auto"/>
        </w:rPr>
        <w:t xml:space="preserve"> declaring this Note to be due and payable immediately on account of an Event of Default, a cash amount equal to (x) with respect to an Event of Default set forth in </w:t>
      </w:r>
      <w:r>
        <w:rPr>
          <w:rFonts w:ascii="Times New Roman" w:cs="Times New Roman" w:eastAsia="Times New Roman" w:hAnsi="Times New Roman"/>
          <w:sz w:val="16"/>
          <w:szCs w:val="16"/>
          <w:b w:val="1"/>
          <w:bCs w:val="1"/>
          <w:color w:val="auto"/>
        </w:rPr>
        <w:t>Section 11(A)(iii)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11(A)(vii)</w:t>
      </w:r>
      <w:r>
        <w:rPr>
          <w:rFonts w:ascii="Times New Roman" w:cs="Times New Roman" w:eastAsia="Times New Roman" w:hAnsi="Times New Roman"/>
          <w:sz w:val="16"/>
          <w:szCs w:val="16"/>
          <w:color w:val="auto"/>
        </w:rPr>
        <w:t xml:space="preserve"> (solely with respect to a failure to comply with any covenant set forth in </w:t>
      </w:r>
      <w:r>
        <w:rPr>
          <w:rFonts w:ascii="Times New Roman" w:cs="Times New Roman" w:eastAsia="Times New Roman" w:hAnsi="Times New Roman"/>
          <w:sz w:val="16"/>
          <w:szCs w:val="16"/>
          <w:b w:val="1"/>
          <w:bCs w:val="1"/>
          <w:color w:val="auto"/>
        </w:rPr>
        <w:t>Section 9(T)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9(V)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11(A)(x)</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11(A)(xvi)</w:t>
      </w:r>
      <w:r>
        <w:rPr>
          <w:rFonts w:ascii="Times New Roman" w:cs="Times New Roman" w:eastAsia="Times New Roman" w:hAnsi="Times New Roman"/>
          <w:sz w:val="16"/>
          <w:szCs w:val="16"/>
          <w:color w:val="auto"/>
        </w:rPr>
        <w:t xml:space="preserve">, the greater of (A) one hundred fifteen percent (115%) of the then outstanding Principal Amount of this Note (or such lesser principal amount accelerated pursuant to such notice) plus accrued and unpaid interest on this Note and (B) the sum of (i) one hundred fifteen percent (115%) of the product of (a) the Conversion Rate in effect as of the Trading Day immediately preceding the date that the Holder delivers such notice pursuant to Section 11(B)(ii); (b) the total then outstanding Principal Amount (expressed in thousands) of this Note; and (c) the greater of (1) the highest Daily VWAP per share of Common Stock occurring during the fifteen (15) consecutive VWAP Trading Days ending on, and including, the VWAP Trading Day immediately before the date the Holder delivers such notice pursuant to </w:t>
      </w:r>
      <w:r>
        <w:rPr>
          <w:rFonts w:ascii="Times New Roman" w:cs="Times New Roman" w:eastAsia="Times New Roman" w:hAnsi="Times New Roman"/>
          <w:sz w:val="16"/>
          <w:szCs w:val="16"/>
          <w:b w:val="1"/>
          <w:bCs w:val="1"/>
          <w:color w:val="auto"/>
        </w:rPr>
        <w:t>Section 11(B)(ii)</w:t>
      </w:r>
      <w:r>
        <w:rPr>
          <w:rFonts w:ascii="Times New Roman" w:cs="Times New Roman" w:eastAsia="Times New Roman" w:hAnsi="Times New Roman"/>
          <w:sz w:val="16"/>
          <w:szCs w:val="16"/>
          <w:color w:val="auto"/>
        </w:rPr>
        <w:t xml:space="preserve"> and (2) the highest Daily VWAP per share of Common Stock occurring during the fifteen (15) consecutive VWAP Trading Days ending on, and including, the VWAP Trading Day immediately before the date the applicable Event of Default occurred and (ii) the accrued and unpaid interest on this Note and (y) with respect to any other Event of Default, one hundred fifteen percent (115%) of the then outstanding Principal Amount of this Note (or such lesser principal amount accelerated pursuant to such notice) plus accrued and unpaid interest on this Note.</w:t>
      </w:r>
    </w:p>
    <w:p>
      <w:pPr>
        <w:spacing w:after="0" w:line="3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11(C)</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Ex-Dividend Date</w:t>
      </w:r>
      <w:r>
        <w:rPr>
          <w:rFonts w:ascii="Times New Roman" w:cs="Times New Roman" w:eastAsia="Times New Roman" w:hAnsi="Times New Roman"/>
          <w:sz w:val="16"/>
          <w:szCs w:val="16"/>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Excess Shares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U.S. Securities Exchange Act of 1934, as amended.</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7(F)(i)(5)</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Expiration Time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7(F)(i)(5)</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Optional Holder Redemption Date</w:t>
      </w:r>
      <w:r>
        <w:rPr>
          <w:rFonts w:ascii="Times New Roman" w:cs="Times New Roman" w:eastAsia="Times New Roman" w:hAnsi="Times New Roman"/>
          <w:sz w:val="16"/>
          <w:szCs w:val="16"/>
          <w:color w:val="auto"/>
        </w:rPr>
        <w:t>” means August 19, 2023.</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Fiscal Quarter</w:t>
      </w:r>
      <w:r>
        <w:rPr>
          <w:rFonts w:ascii="Times New Roman" w:cs="Times New Roman" w:eastAsia="Times New Roman" w:hAnsi="Times New Roman"/>
          <w:sz w:val="16"/>
          <w:szCs w:val="16"/>
          <w:color w:val="auto"/>
        </w:rPr>
        <w:t>” means each three month period ending March 31, June 30, September 30, and December 31.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4" w:name="page15"/>
    <w:bookmarkEnd w:id="14"/>
    <w:p>
      <w:pPr>
        <w:jc w:val="both"/>
        <w:ind w:left="1" w:firstLine="593"/>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Freely Tradable</w:t>
      </w:r>
      <w:r>
        <w:rPr>
          <w:rFonts w:ascii="Times New Roman" w:cs="Times New Roman" w:eastAsia="Times New Roman" w:hAnsi="Times New Roman"/>
          <w:sz w:val="16"/>
          <w:szCs w:val="16"/>
          <w:color w:val="auto"/>
        </w:rPr>
        <w:t>” means, with respect to any shares of Common Stock issued or issuable pursuant to this Note, that (A) such shares would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laws;</w:t>
      </w:r>
    </w:p>
    <w:p>
      <w:pPr>
        <w:spacing w:after="0" w:line="2" w:lineRule="exact"/>
        <w:rPr>
          <w:sz w:val="20"/>
          <w:szCs w:val="20"/>
          <w:color w:val="auto"/>
        </w:rPr>
      </w:pPr>
    </w:p>
    <w:p>
      <w:pPr>
        <w:jc w:val="both"/>
        <w:ind w:left="1" w:hanging="1"/>
        <w:spacing w:after="0" w:line="262" w:lineRule="auto"/>
        <w:tabs>
          <w:tab w:leader="none" w:pos="27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shares are (or, when issued, will be) (i) represented by book-entries at DTC and identified therein by an “unrestricted” CUSIP number; (ii) not represented by any certificate that bears a legend referring to transfer restrictions under the Securities Act or other securities laws; and (iii) listed and admitted for trading, without suspension or material limitation on trading, on an Eligible Exchange; and (C) no delisting or suspension by such Eligible Exchange has been threatened (with a reasonable prospect of delisting occurring after giving effect to all applicable notice, appeal, compliance and hearing periods) or reasonably likely to occur or pending as evidenced by (x) a writing by such Eligible Exchange or (y) the Company falling below the minimum listing maintenance requirements of such Eligible Exchange.</w:t>
      </w:r>
    </w:p>
    <w:p>
      <w:pPr>
        <w:spacing w:after="0" w:line="16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w:t>
      </w:r>
      <w:r>
        <w:rPr>
          <w:rFonts w:ascii="Times New Roman" w:cs="Times New Roman" w:eastAsia="Times New Roman" w:hAnsi="Times New Roman"/>
          <w:sz w:val="16"/>
          <w:szCs w:val="16"/>
          <w:color w:val="auto"/>
        </w:rPr>
        <w:t>” means any of the following events:</w:t>
      </w:r>
    </w:p>
    <w:p>
      <w:pPr>
        <w:spacing w:after="0" w:line="215" w:lineRule="exact"/>
        <w:rPr>
          <w:sz w:val="20"/>
          <w:szCs w:val="20"/>
          <w:color w:val="auto"/>
        </w:rPr>
      </w:pPr>
    </w:p>
    <w:p>
      <w:pPr>
        <w:jc w:val="both"/>
        <w:ind w:left="301" w:firstLine="588"/>
        <w:spacing w:after="0" w:line="271" w:lineRule="auto"/>
        <w:tabs>
          <w:tab w:leader="none" w:pos="116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or “group” (within the meaning of Section 13(d)(3) of the Exchange Act), other than the Company or its Wholly Owned Subsidiaries, or the employee benefit plans of the Company or its Wholly Owned Subsidiaries, files any report with the Commission indicating that such person or group has become the direct or indirect “beneficial owner” (as defined below) of shares of the Company’s common equity representing more than fifty percent (50%) of the voting power of all of the Company’s then-outstanding common equity; or</w:t>
      </w:r>
    </w:p>
    <w:p>
      <w:pPr>
        <w:spacing w:after="0" w:line="156" w:lineRule="exact"/>
        <w:rPr>
          <w:rFonts w:ascii="Times New Roman" w:cs="Times New Roman" w:eastAsia="Times New Roman" w:hAnsi="Times New Roman"/>
          <w:sz w:val="16"/>
          <w:szCs w:val="16"/>
          <w:color w:val="auto"/>
        </w:rPr>
      </w:pPr>
    </w:p>
    <w:p>
      <w:pPr>
        <w:jc w:val="both"/>
        <w:ind w:left="301" w:firstLine="588"/>
        <w:spacing w:after="0" w:line="262" w:lineRule="auto"/>
        <w:tabs>
          <w:tab w:leader="none" w:pos="117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(other than a subdivision or combination, or solely a change in par value, of the Common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6"/>
          <w:szCs w:val="16"/>
          <w:b w:val="1"/>
          <w:bCs w:val="1"/>
          <w:color w:val="auto"/>
        </w:rPr>
        <w:t>clause (B)</w:t>
      </w:r>
      <w:r>
        <w:rPr>
          <w:rFonts w:ascii="Times New Roman" w:cs="Times New Roman" w:eastAsia="Times New Roman" w:hAnsi="Times New Roman"/>
          <w:sz w:val="16"/>
          <w:szCs w:val="16"/>
          <w:color w:val="auto"/>
        </w:rPr>
        <w:t>.</w:t>
      </w:r>
    </w:p>
    <w:p>
      <w:pPr>
        <w:spacing w:after="0" w:line="362" w:lineRule="exact"/>
        <w:rPr>
          <w:sz w:val="20"/>
          <w:szCs w:val="20"/>
          <w:color w:val="auto"/>
        </w:rPr>
      </w:pPr>
    </w:p>
    <w:p>
      <w:pPr>
        <w:jc w:val="both"/>
        <w:ind w:left="1"/>
        <w:spacing w:after="0" w:line="280" w:lineRule="auto"/>
        <w:rPr>
          <w:sz w:val="20"/>
          <w:szCs w:val="20"/>
          <w:color w:val="auto"/>
        </w:rPr>
      </w:pPr>
      <w:r>
        <w:rPr>
          <w:rFonts w:ascii="Times New Roman" w:cs="Times New Roman" w:eastAsia="Times New Roman" w:hAnsi="Times New Roman"/>
          <w:sz w:val="16"/>
          <w:szCs w:val="16"/>
          <w:color w:val="auto"/>
        </w:rPr>
        <w:t xml:space="preserve">For the purposes of this definition, (x) any transaction or event described in both </w:t>
      </w:r>
      <w:r>
        <w:rPr>
          <w:rFonts w:ascii="Times New Roman" w:cs="Times New Roman" w:eastAsia="Times New Roman" w:hAnsi="Times New Roman"/>
          <w:sz w:val="16"/>
          <w:szCs w:val="16"/>
          <w:b w:val="1"/>
          <w:bCs w:val="1"/>
          <w:color w:val="auto"/>
        </w:rPr>
        <w:t>clause (A)</w:t>
      </w:r>
      <w:r>
        <w:rPr>
          <w:rFonts w:ascii="Times New Roman" w:cs="Times New Roman" w:eastAsia="Times New Roman" w:hAnsi="Times New Roman"/>
          <w:sz w:val="16"/>
          <w:szCs w:val="16"/>
          <w:color w:val="auto"/>
        </w:rPr>
        <w:t xml:space="preserve"> and in </w:t>
      </w:r>
      <w:r>
        <w:rPr>
          <w:rFonts w:ascii="Times New Roman" w:cs="Times New Roman" w:eastAsia="Times New Roman" w:hAnsi="Times New Roman"/>
          <w:sz w:val="16"/>
          <w:szCs w:val="16"/>
          <w:b w:val="1"/>
          <w:bCs w:val="1"/>
          <w:color w:val="auto"/>
        </w:rPr>
        <w:t>clause (B)(i)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6"/>
          <w:szCs w:val="16"/>
          <w:color w:val="auto"/>
        </w:rPr>
        <w:t xml:space="preserve"> above (without regard to the proviso in </w:t>
      </w:r>
      <w:r>
        <w:rPr>
          <w:rFonts w:ascii="Times New Roman" w:cs="Times New Roman" w:eastAsia="Times New Roman" w:hAnsi="Times New Roman"/>
          <w:sz w:val="16"/>
          <w:szCs w:val="16"/>
          <w:b w:val="1"/>
          <w:bCs w:val="1"/>
          <w:color w:val="auto"/>
        </w:rPr>
        <w:t>clause (B)</w:t>
      </w:r>
      <w:r>
        <w:rPr>
          <w:rFonts w:ascii="Times New Roman" w:cs="Times New Roman" w:eastAsia="Times New Roman" w:hAnsi="Times New Roman"/>
          <w:sz w:val="16"/>
          <w:szCs w:val="16"/>
          <w:color w:val="auto"/>
        </w:rPr>
        <w:t xml:space="preserve">) will be deemed to occur solely pursuant to </w:t>
      </w:r>
      <w:r>
        <w:rPr>
          <w:rFonts w:ascii="Times New Roman" w:cs="Times New Roman" w:eastAsia="Times New Roman" w:hAnsi="Times New Roman"/>
          <w:sz w:val="16"/>
          <w:szCs w:val="16"/>
          <w:b w:val="1"/>
          <w:bCs w:val="1"/>
          <w:color w:val="auto"/>
        </w:rPr>
        <w:t>clause (B)</w:t>
      </w:r>
      <w:r>
        <w:rPr>
          <w:rFonts w:ascii="Times New Roman" w:cs="Times New Roman" w:eastAsia="Times New Roman" w:hAnsi="Times New Roman"/>
          <w:sz w:val="16"/>
          <w:szCs w:val="16"/>
          <w:color w:val="auto"/>
        </w:rPr>
        <w:t xml:space="preserve"> above (subject to such proviso); and (y) whether a Person is a “</w:t>
      </w:r>
      <w:r>
        <w:rPr>
          <w:rFonts w:ascii="Times New Roman" w:cs="Times New Roman" w:eastAsia="Times New Roman" w:hAnsi="Times New Roman"/>
          <w:sz w:val="16"/>
          <w:szCs w:val="16"/>
          <w:b w:val="1"/>
          <w:bCs w:val="1"/>
          <w:color w:val="auto"/>
        </w:rPr>
        <w:t>beneficial owner</w:t>
      </w:r>
      <w:r>
        <w:rPr>
          <w:rFonts w:ascii="Times New Roman" w:cs="Times New Roman" w:eastAsia="Times New Roman" w:hAnsi="Times New Roman"/>
          <w:sz w:val="16"/>
          <w:szCs w:val="16"/>
          <w:color w:val="auto"/>
        </w:rPr>
        <w:t>” and whether shares are “</w:t>
      </w:r>
      <w:r>
        <w:rPr>
          <w:rFonts w:ascii="Times New Roman" w:cs="Times New Roman" w:eastAsia="Times New Roman" w:hAnsi="Times New Roman"/>
          <w:sz w:val="16"/>
          <w:szCs w:val="16"/>
          <w:b w:val="1"/>
          <w:bCs w:val="1"/>
          <w:color w:val="auto"/>
        </w:rPr>
        <w:t>beneficially owned</w:t>
      </w:r>
      <w:r>
        <w:rPr>
          <w:rFonts w:ascii="Times New Roman" w:cs="Times New Roman" w:eastAsia="Times New Roman" w:hAnsi="Times New Roman"/>
          <w:sz w:val="16"/>
          <w:szCs w:val="16"/>
          <w:color w:val="auto"/>
        </w:rPr>
        <w:t>” will be determined in accordance with Rule 13d-3 under the Exchange Act.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15" w:name="page16"/>
    <w:bookmarkEnd w:id="15"/>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Base Repurchase Price</w:t>
      </w:r>
      <w:r>
        <w:rPr>
          <w:rFonts w:ascii="Times New Roman" w:cs="Times New Roman" w:eastAsia="Times New Roman" w:hAnsi="Times New Roman"/>
          <w:sz w:val="16"/>
          <w:szCs w:val="16"/>
          <w:color w:val="auto"/>
        </w:rPr>
        <w:t>” means, with respect to this Note (or any portion of this Note to be repurchased) upon a Repurchase Upon Fundamental Change, a cash amount equal to one hundred two point five percent (102.5%) of the then-outstanding Principal Amount of this Note (or portion thereof) to be so repurchased.</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xml:space="preserve">” means the date as of which this Note must be repurchased for cash in connection with a Fundamental Change, as provided in </w:t>
      </w:r>
      <w:r>
        <w:rPr>
          <w:rFonts w:ascii="Times New Roman" w:cs="Times New Roman" w:eastAsia="Times New Roman" w:hAnsi="Times New Roman"/>
          <w:sz w:val="16"/>
          <w:szCs w:val="16"/>
          <w:b w:val="1"/>
          <w:bCs w:val="1"/>
          <w:color w:val="auto"/>
        </w:rPr>
        <w:t>Section 6(B)</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xml:space="preserve">” means the cash price payable by the Company to repurchase this Note (or any portion of this Note) upon its Repurchase Upon Fundamental Change, calculated pursuant to </w:t>
      </w:r>
      <w:r>
        <w:rPr>
          <w:rFonts w:ascii="Times New Roman" w:cs="Times New Roman" w:eastAsia="Times New Roman" w:hAnsi="Times New Roman"/>
          <w:sz w:val="16"/>
          <w:szCs w:val="16"/>
          <w:b w:val="1"/>
          <w:bCs w:val="1"/>
          <w:color w:val="auto"/>
        </w:rPr>
        <w:t>Section 6(D)</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in the United States of America, as in effect from time to time; provided the definitions set forth in this Note and any financial calculations required by thereby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means the person in whose name this Note is registered on the books of the Company, which initially is the Initial Holder.</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 Conversion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7(C)(i)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including</w:t>
      </w:r>
      <w:r>
        <w:rPr>
          <w:rFonts w:ascii="Times New Roman" w:cs="Times New Roman" w:eastAsia="Times New Roman" w:hAnsi="Times New Roman"/>
          <w:sz w:val="16"/>
          <w:szCs w:val="16"/>
          <w:color w:val="auto"/>
        </w:rPr>
        <w:t>” means “including without limitation,” unless the context provides otherwise.</w:t>
      </w:r>
    </w:p>
    <w:p>
      <w:pPr>
        <w:spacing w:after="0" w:line="211"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Independent Investigator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9(S)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Exchange Note</w:t>
      </w:r>
      <w:r>
        <w:rPr>
          <w:rFonts w:ascii="Times New Roman" w:cs="Times New Roman" w:eastAsia="Times New Roman" w:hAnsi="Times New Roman"/>
          <w:sz w:val="16"/>
          <w:szCs w:val="16"/>
          <w:color w:val="auto"/>
        </w:rPr>
        <w:t>” has the meaning set forth in the Securities Exchange Agreement.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Holder</w:t>
      </w:r>
      <w:r>
        <w:rPr>
          <w:rFonts w:ascii="Times New Roman" w:cs="Times New Roman" w:eastAsia="Times New Roman" w:hAnsi="Times New Roman"/>
          <w:sz w:val="16"/>
          <w:szCs w:val="16"/>
          <w:color w:val="auto"/>
        </w:rPr>
        <w:t>” has the meaning set forth in the cover page of this Note.</w:t>
      </w:r>
    </w:p>
    <w:p>
      <w:pPr>
        <w:spacing w:after="0" w:line="211"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means all of the Company’s Copyrights; Trademarks; Patents; Licenses; trade secrets and inventions; mask works; the Company’s applications therefor and reissues, extensions, or renewals thereof; and the Company’s goodwill associated with any of the foregoing, together with the Company’s rights to sue for past, present and future infringement of Intellectual Property and the goodwill associated therewith.</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6" w:name="page17"/>
    <w:bookmarkEnd w:id="16"/>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(A) the first calendar day of each month, beginning on April 1, 2023; and (B) if not otherwise included in clause (A), the Maturity Date.</w:t>
      </w:r>
    </w:p>
    <w:p>
      <w:pPr>
        <w:spacing w:after="0" w:line="130"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means March 9, 2023.</w:t>
      </w:r>
    </w:p>
    <w:p>
      <w:pPr>
        <w:spacing w:after="0" w:line="211" w:lineRule="exact"/>
        <w:rPr>
          <w:sz w:val="20"/>
          <w:szCs w:val="20"/>
          <w:color w:val="auto"/>
        </w:rPr>
      </w:pPr>
    </w:p>
    <w:p>
      <w:pPr>
        <w:jc w:val="both"/>
        <w:ind w:firstLine="593"/>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of the shares of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shares of Common Stock are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w:t>
      </w:r>
      <w:r>
        <w:rPr>
          <w:rFonts w:ascii="Times New Roman" w:cs="Times New Roman" w:eastAsia="Times New Roman" w:hAnsi="Times New Roman"/>
          <w:sz w:val="16"/>
          <w:szCs w:val="16"/>
          <w:color w:val="auto"/>
        </w:rPr>
        <w:t>” means any Copyright License, Patent License, Trademark License or other license of rights or interests.</w:t>
      </w:r>
    </w:p>
    <w:p>
      <w:pPr>
        <w:spacing w:after="0" w:line="211" w:lineRule="exact"/>
        <w:rPr>
          <w:sz w:val="20"/>
          <w:szCs w:val="20"/>
          <w:color w:val="auto"/>
        </w:rPr>
      </w:pPr>
    </w:p>
    <w:p>
      <w:pPr>
        <w:jc w:val="both"/>
        <w:ind w:firstLine="593"/>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358" w:lineRule="exact"/>
        <w:rPr>
          <w:sz w:val="20"/>
          <w:szCs w:val="20"/>
          <w:color w:val="auto"/>
        </w:rPr>
      </w:pPr>
    </w:p>
    <w:p>
      <w:pPr>
        <w:jc w:val="both"/>
        <w:ind w:firstLine="593"/>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Disruption Event</w:t>
      </w:r>
      <w:r>
        <w:rPr>
          <w:rFonts w:ascii="Times New Roman" w:cs="Times New Roman" w:eastAsia="Times New Roman" w:hAnsi="Times New Roman"/>
          <w:sz w:val="16"/>
          <w:szCs w:val="16"/>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Maturity Date</w:t>
      </w:r>
      <w:r>
        <w:rPr>
          <w:rFonts w:ascii="Times New Roman" w:cs="Times New Roman" w:eastAsia="Times New Roman" w:hAnsi="Times New Roman"/>
          <w:sz w:val="16"/>
          <w:szCs w:val="16"/>
          <w:color w:val="auto"/>
        </w:rPr>
        <w:t>” means August 19, 2025.</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7" w:name="page18"/>
    <w:bookmarkEnd w:id="17"/>
    <w:p>
      <w:pPr>
        <w:jc w:val="both"/>
        <w:ind w:firstLine="593"/>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Proceeds</w:t>
      </w:r>
      <w:r>
        <w:rPr>
          <w:rFonts w:ascii="Times New Roman" w:cs="Times New Roman" w:eastAsia="Times New Roman" w:hAnsi="Times New Roman"/>
          <w:sz w:val="16"/>
          <w:szCs w:val="16"/>
          <w:color w:val="auto"/>
        </w:rPr>
        <w:t>” means the gross proceeds received by the Company in connection with any capital raising transaction, including without limitation any issuance of debt, equity convertible debt, or other equity-linked securities or a combination thereof, less any discounts or fees provided to the related underwriter, agent or placement agent in connection therewith less any out-of-pocket expenses and fees incurred in connection therewith; provided, however, that for purposes of this Note, Net Proceeds shall in no event be less than 90% of the gross proceeds received by the Company.</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16"/>
          <w:szCs w:val="16"/>
          <w:color w:val="auto"/>
        </w:rPr>
        <w:t>” is not exclusive, unless the context expressly provides otherwise.</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Open of Business</w:t>
      </w:r>
      <w:r>
        <w:rPr>
          <w:rFonts w:ascii="Times New Roman" w:cs="Times New Roman" w:eastAsia="Times New Roman" w:hAnsi="Times New Roman"/>
          <w:sz w:val="16"/>
          <w:szCs w:val="16"/>
          <w:color w:val="auto"/>
        </w:rPr>
        <w:t>” means 9:00 a.m., New York City time.</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Exchange Note</w:t>
      </w:r>
      <w:r>
        <w:rPr>
          <w:rFonts w:ascii="Times New Roman" w:cs="Times New Roman" w:eastAsia="Times New Roman" w:hAnsi="Times New Roman"/>
          <w:sz w:val="16"/>
          <w:szCs w:val="16"/>
          <w:color w:val="auto"/>
        </w:rPr>
        <w:t>” has the meaning set forth in the Securities Exchange Agreement.</w:t>
      </w:r>
    </w:p>
    <w:p>
      <w:pPr>
        <w:spacing w:after="0" w:line="211"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Amount</w:t>
      </w:r>
      <w:r>
        <w:rPr>
          <w:rFonts w:ascii="Times New Roman" w:cs="Times New Roman" w:eastAsia="Times New Roman" w:hAnsi="Times New Roman"/>
          <w:sz w:val="16"/>
          <w:szCs w:val="16"/>
          <w:color w:val="auto"/>
        </w:rPr>
        <w:t>” means the Principal Amount specified in the Optional Holder Redemption Notice, plus accrued and unpaid interest as of the Optional Holder Redemption Date.</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Holder</w:t>
      </w:r>
      <w:r>
        <w:rPr>
          <w:rFonts w:ascii="Times New Roman" w:cs="Times New Roman" w:eastAsia="Times New Roman" w:hAnsi="Times New Roman"/>
          <w:sz w:val="16"/>
          <w:szCs w:val="16"/>
          <w:color w:val="auto"/>
        </w:rPr>
        <w:t>” means any person in whose name any Other Note is registered on the books of the Company.</w:t>
      </w:r>
    </w:p>
    <w:p>
      <w:pPr>
        <w:spacing w:after="0" w:line="211"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Notes</w:t>
      </w:r>
      <w:r>
        <w:rPr>
          <w:rFonts w:ascii="Times New Roman" w:cs="Times New Roman" w:eastAsia="Times New Roman" w:hAnsi="Times New Roman"/>
          <w:sz w:val="16"/>
          <w:szCs w:val="16"/>
          <w:color w:val="auto"/>
        </w:rPr>
        <w:t>” means any Notes that are of the same class of this Note and that are represented by one or more certificates other than the certificate representing this Note.</w:t>
      </w:r>
    </w:p>
    <w:p>
      <w:pPr>
        <w:spacing w:after="0" w:line="130"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License</w:t>
      </w:r>
      <w:r>
        <w:rPr>
          <w:rFonts w:ascii="Times New Roman" w:cs="Times New Roman" w:eastAsia="Times New Roman" w:hAnsi="Times New Roman"/>
          <w:sz w:val="16"/>
          <w:szCs w:val="16"/>
          <w:color w:val="auto"/>
        </w:rPr>
        <w:t>” means any written agreement granting any right with respect to any invention covered by a Patent that is in existence or a Patent application that is pending, in which agreement the Company now holds or hereafter acquires any interest.</w:t>
      </w:r>
    </w:p>
    <w:p>
      <w:pPr>
        <w:spacing w:after="0" w:line="130"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means all letters patent of, or rights corresponding thereto, in the United States or in any other country, all registrations and recordings thereof, and all applications for letters patent of, or rights corresponding thereto, in the United States or any other country.</w:t>
      </w:r>
    </w:p>
    <w:p>
      <w:pPr>
        <w:spacing w:after="0" w:line="128" w:lineRule="exact"/>
        <w:rPr>
          <w:sz w:val="20"/>
          <w:szCs w:val="20"/>
          <w:color w:val="auto"/>
        </w:rPr>
      </w:pPr>
    </w:p>
    <w:p>
      <w:pPr>
        <w:jc w:val="both"/>
        <w:ind w:firstLine="593"/>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Acquisition</w:t>
      </w:r>
      <w:r>
        <w:rPr>
          <w:rFonts w:ascii="Times New Roman" w:cs="Times New Roman" w:eastAsia="Times New Roman" w:hAnsi="Times New Roman"/>
          <w:sz w:val="16"/>
          <w:szCs w:val="16"/>
          <w:color w:val="auto"/>
        </w:rPr>
        <w:t>” means any transaction or series of related transactions consummated by the Company or one of its Subsidiaries for the purpose of or resulting, directly or indirectly, in (a) the acquisition of all or substantially all of the assets of a Person, or of any business or division of a Person, (b) the acquisition of in excess of fifty percent (50%) of the capital stock or equity interests of any Person or otherwise causing any Person to become a Subsidiary of the Company, or (c) a merger or consolidation or any other combination with another Person, in each case for which (i) the Holder provided prior written consent for such transaction or series of related transactions, provided that the purchase price or consideration in respect of such transaction or series of related transactions at any time shall not exceed an amount equal to the aggregate purchase price of the Purchased Securities (as defined in the Securities Purchase Agreement) outstanding at such time; or (ii) the consideration remitted by the Company or its applicable Subsidiary in connection with such transaction or series of related transactions is solely in the form of Equity Interests of the Company, provided that, in each case, no Default or Event of Default shall then exist or would exist after giving effect to any of the foregoing.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8" w:name="page19"/>
    <w:bookmarkEnd w:id="18"/>
    <w:p>
      <w:pPr>
        <w:jc w:val="both"/>
        <w:ind w:firstLine="593"/>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 means (A) Indebtedness evidenced by the Initial Exchange Notes and the Optional Exchange Notes and Indebtedness evidenced by the Notes (as defined in the Securities Purchase Agreement); (B) Indebtedness actually disclosed pursuant to the Securities Exchange Agreement as of the date of the Securities Exchange Agreement; (C) nonrecourse Indebtedness outstanding at any time secured by a Lien described in clause (G) of the defined term “Permitted Liens,” provided such Indebtedness does not exceed the cost of the Equipment or real property interests and related expenses financed with such Indebtedness or in the form of purchase money Indebtedness (whether in the form of a loan or a lease) used solely to acquire Equipment or real property interests used in the ordinary course of business and secured only by such Equipment and real property interests and sale and insurance proceeds in respect thereof, and provided further that the total amount of Permitted Indebtedness permitted pursuant to this clause (C) may not exceed five million dollars ($5,000,000) in the aggregate; (D) nonrecourse Indebtedness outstanding at any time secured by a Lien described in clause (H) of the defined term “Permitted Liens,” provided such Indebtedness does not exceed the cost of the software or other intellectual property and related expenses financed with such Indebtedness or in the form of purchase money Indebtedness (whether in the form of a loan or a lease) used solely to acquire software or other intellectual property used in the ordinary course of business and secured only by such software or other intellectual property and sale and insurance proceeds in respect thereof, provided further that the total amount of Permitted Indebtedness permitted pursuant to this clause (D) may not exceed five hundred thousand dollars ($500,000) in the aggregate; (E) Indebtedness to trade creditors incurred in the ordinary course of business; (F) Subordinated Indebtedness of the Company that has received the prior written approval of the Holder; (G) reimbursement obligations in connection with letters of credit or similar instruments that are secured by Cash or Cash Equivalents and issued on behalf of the Company or a Subsidiary thereof in an aggregate amount not to exceed five hundred thousand dollars ($500,000) at any time outstanding; (H) unsecured Indebtedness of the Company that has received the prior written approval of the Holder, (I) Contingent Obligations that are guarantees of Indebtedness described in clauses (A) through (H) and (J); and (J) earn-outs incurred in connection with any Permitted Acquisition that are subordinated in full to the Notes to the satisfaction of the Holder and do not exceed (a) ten million dollars ($10,000,000) in the aggregate due in any twelve-month period and (b) twenty million dollars ($20,000,000); provided that in no event shall Permitted Indebtedness under (x) clauses (B)-(J) of this definition exceed in the aggregate an amount equal to ten million dollars ($10,000,000) or (y) clauses (F) or (H) (1) have a final maturity date, amortization payment, sinking fund, put right, mandatory redemption or other repurchase obligation at the option of the lender or holder of such indebtedness, or be prepayable at the option of the Company, in any case earlier than one hundred eighty-one (181) days following the Maturity Date or (2) have any covenants that are more restrictive on the Company in any material respect than the covenants set forth in this Note.</w:t>
      </w:r>
    </w:p>
    <w:p>
      <w:pPr>
        <w:spacing w:after="0" w:line="375" w:lineRule="exact"/>
        <w:rPr>
          <w:sz w:val="20"/>
          <w:szCs w:val="20"/>
          <w:color w:val="auto"/>
        </w:rPr>
      </w:pPr>
    </w:p>
    <w:p>
      <w:pPr>
        <w:jc w:val="both"/>
        <w:ind w:firstLine="593"/>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Intellectual Property Licenses</w:t>
      </w:r>
      <w:r>
        <w:rPr>
          <w:rFonts w:ascii="Times New Roman" w:cs="Times New Roman" w:eastAsia="Times New Roman" w:hAnsi="Times New Roman"/>
          <w:sz w:val="16"/>
          <w:szCs w:val="16"/>
          <w:color w:val="auto"/>
        </w:rPr>
        <w:t>” means Intellectual Property (A) licenses in existence at March 23, 2022, including those listed on the Schedules to the Security Agreements, and (B) non-perpetual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9" w:name="page20"/>
    <w:bookmarkEnd w:id="19"/>
    <w:p>
      <w:pPr>
        <w:jc w:val="both"/>
        <w:ind w:firstLine="593"/>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w:t>
      </w:r>
      <w:r>
        <w:rPr>
          <w:rFonts w:ascii="Times New Roman" w:cs="Times New Roman" w:eastAsia="Times New Roman" w:hAnsi="Times New Roman"/>
          <w:sz w:val="16"/>
          <w:szCs w:val="16"/>
          <w:color w:val="auto"/>
        </w:rPr>
        <w:t>” means: (A) Investments actually disclosed pursuant to the Securities Exchange Agreement, as in effect as of the Issue Date; (B) (i)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a rating of at least A-2 or P-2 from either Standard &amp; Poor’s Corporation or Moody’s Investors Service, (iii) certificates of deposit issued by any bank headquartered in the United States with assets of at least $5,000,000,000 maturing no more than one year from the date of investment therein, and (iv) money market accounts; (C) Investments accepted in connection with Permitted Transfers; (D) Investments (including debt obligations) received in connection with the bankruptcy or reorganization of customers or suppliers and in settlement of delinquent obligations of, and other disputes with, customers or suppliers arising in the ordinary course of the Company’s business; (E) Investments consisting of notes receivable of, or prepaid royalties and other credit extensions, to customers and suppliers in the ordinary course of business and consistent with past practice, provided that this clause (E) shall not apply to Investments of the Company in any Subsidiary thereof; (F) Investments consisting of (i) loans not involving the net transfer on a substantially contemporaneous basis of cash proceeds to employees, officers or directors relating to the purchase of capital stock of the Company pursuant to employee stock purchase plans or other similar agreements approved by the Company’s Board of Directors and (ii) travel advances and employee relocation loans and other employee loans and advances in the ordinary course of business, provided that the aggregate of all such loans outstanding may not exceed one hundred thousand ($100,000) at any time; (G) Investments in Wholly Owned Subsidiaries; (H) Permitted Intellectual Property Licenses; (I) Permitted Acquisitions; (J) loans, advances or other capital contributions to Company customers pursuant to a TTK Contract with such customer; (K) Investments in a TTK SPV; and (L) Investments in real property; provided that, for any Investment set forth in clause (G), (J) and (K) other than a Permitted Turnkey Investment, such Investment shall not qualify as a Permitted Investment unless the Company receives the prior written consent to such Investment from the Holder.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20" w:name="page21"/>
    <w:bookmarkEnd w:id="20"/>
    <w:p>
      <w:pPr>
        <w:jc w:val="both"/>
        <w:ind w:left="1" w:firstLine="593"/>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Liens</w:t>
      </w:r>
      <w:r>
        <w:rPr>
          <w:rFonts w:ascii="Times New Roman" w:cs="Times New Roman" w:eastAsia="Times New Roman" w:hAnsi="Times New Roman"/>
          <w:sz w:val="16"/>
          <w:szCs w:val="16"/>
          <w:color w:val="auto"/>
        </w:rPr>
        <w:t>” means any and all of the following: (A) Liens in favor of Holder or the Collateral Agent; (B) Liens deemed to be disclosed pursuant to the Securities Exchange Agreement, as in effect as of the Issue Date; (C) Liens for taxes, fees, assessments or other governmental charges or levies, either not delinquent or being contested in good faith by appropriate proceedings; provided, that the Company maintains adequate reserves therefor in accordance with GAAP; (D) Liens securing claims or demands of materialmen, artisans, mechanics, carriers, warehousemen, landlords and other like Persons arising in the ordinary course of business; provided, that the payment thereof is not yet required; (E) Liens arising from judgments, decrees or attachments in circumstances which do not constitute a Default or an Event of Default hereunder; (F)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(G) Liens on Equipment (but, for the avoidance of doubt, not software or other intellectual property) or real property interests constituting purchase money Liens or Liens securing construction financing for real property interests and Liens in connection with Capital Leases securing Indebtedness permitted in clause (C) of “Permitted Indebtedness”;</w:t>
      </w:r>
    </w:p>
    <w:p>
      <w:pPr>
        <w:spacing w:after="0" w:line="2" w:lineRule="exact"/>
        <w:rPr>
          <w:sz w:val="20"/>
          <w:szCs w:val="20"/>
          <w:color w:val="auto"/>
        </w:rPr>
      </w:pPr>
    </w:p>
    <w:p>
      <w:pPr>
        <w:jc w:val="both"/>
        <w:ind w:left="1" w:hanging="1"/>
        <w:spacing w:after="0" w:line="259" w:lineRule="auto"/>
        <w:tabs>
          <w:tab w:leader="none" w:pos="27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software or other intellectual property (but, for the avoidance of doubt, not Equipment or real property interests related thereto) constituting purchase money Liens and Liens in connection with Capital Leases securing Indebtedness permitted in clause (D) of “Permitted Indebtedness”; (I) leasehold interests in leases or subleases and licenses granted in the ordinary course of the Company’s business and not interfering in any material respect with the business of the licensor; (J) Liens in favor of customs and revenue authorities arising as a matter of law to secure payment of custom duties that are promptly paid on or before the date they become due; (K) Liens on insurance proceeds securing the payment of financed insurance premiums that are promptly paid on or before the date they become due (provided that such Liens extend only to such insurance proceeds and not to any other property or assets); (L) statutory and common law rights of set-off and other similar rights as to deposits of cash and securities in favor of banks, other depository institutions and brokerage firms; (M) easements, zoning restrictions, rights-of-way and similar encumbrances on real property imposed by law or arising in the ordinary course of business so long as they do not materially impair the value or marketability of the related property; (N) Liens on Cash or Cash Equivalents securing obligations permitted under clause (E) and (G) of the definition of Permitted Indebtedness; (O) Liens securing Subordinated Indebtedness, and (P) Liens incurred in connection with the extension, renewal or refinancing of the Indebtedness secured by Liens of the type described in clauses (C) through (O) above (other than any Indebtedness repaid with the proceeds of this Note);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363" w:lineRule="exact"/>
        <w:rPr>
          <w:sz w:val="20"/>
          <w:szCs w:val="20"/>
          <w:color w:val="auto"/>
        </w:rPr>
      </w:pPr>
    </w:p>
    <w:p>
      <w:pPr>
        <w:jc w:val="both"/>
        <w:ind w:left="1" w:firstLine="593"/>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Transfers</w:t>
      </w:r>
      <w:r>
        <w:rPr>
          <w:rFonts w:ascii="Times New Roman" w:cs="Times New Roman" w:eastAsia="Times New Roman" w:hAnsi="Times New Roman"/>
          <w:sz w:val="16"/>
          <w:szCs w:val="16"/>
          <w:color w:val="auto"/>
        </w:rPr>
        <w:t>” means (A) dispositions of inventory sold, and Permitted Intellectual Property Licenses entered into, in each case, in the ordinary course of business, (B) dispositions of worn-out, obsolete or surplus property at fair market value in the ordinary course of business; (C) dispositions of accounts or payment intangibles (each as defined in the UCC) resulting from the compromise or settlement thereof in the ordinary course of business for less than the full amount thereof; (D) transfers consisting of Permitted Investments in Wholly Owned Subsidiaries under clause (G) of Permitted Investments; (E) transfers between Grantors (as defined in the Security Agreement); and (F) other transfers of assets to any Person other than to a joint venture and which have a fair market value of not more than fifty thousand dollars ($50,000) in the aggregate in any twelve (12) month period.</w:t>
      </w:r>
    </w:p>
    <w:p>
      <w:pPr>
        <w:spacing w:after="0" w:line="160" w:lineRule="exact"/>
        <w:rPr>
          <w:sz w:val="20"/>
          <w:szCs w:val="20"/>
          <w:color w:val="auto"/>
        </w:rPr>
      </w:pPr>
    </w:p>
    <w:p>
      <w:pPr>
        <w:jc w:val="both"/>
        <w:ind w:left="1"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Turnkey Investment</w:t>
      </w:r>
      <w:r>
        <w:rPr>
          <w:rFonts w:ascii="Times New Roman" w:cs="Times New Roman" w:eastAsia="Times New Roman" w:hAnsi="Times New Roman"/>
          <w:sz w:val="16"/>
          <w:szCs w:val="16"/>
          <w:color w:val="auto"/>
        </w:rPr>
        <w:t>” shall mean any Investments in any customers using the Company’s Total Turnkey Solution not to exceed in the aggregate twelve million dollars ($12,000,000).</w:t>
      </w:r>
    </w:p>
    <w:p>
      <w:pPr>
        <w:spacing w:after="0" w:line="128" w:lineRule="exact"/>
        <w:rPr>
          <w:sz w:val="20"/>
          <w:szCs w:val="20"/>
          <w:color w:val="auto"/>
        </w:rPr>
      </w:pPr>
    </w:p>
    <w:p>
      <w:pPr>
        <w:jc w:val="both"/>
        <w:ind w:left="1"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21" w:name="page22"/>
    <w:bookmarkEnd w:id="21"/>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 Amount</w:t>
      </w:r>
      <w:r>
        <w:rPr>
          <w:rFonts w:ascii="Times New Roman" w:cs="Times New Roman" w:eastAsia="Times New Roman" w:hAnsi="Times New Roman"/>
          <w:sz w:val="16"/>
          <w:szCs w:val="16"/>
          <w:color w:val="auto"/>
        </w:rPr>
        <w:t xml:space="preserve">” has the meaning set forth in the cover page of this Note;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Principal Amount of this Note will be subject to reduction (A) pursuant to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8</w:t>
      </w:r>
      <w:r>
        <w:rPr>
          <w:rFonts w:ascii="Times New Roman" w:cs="Times New Roman" w:eastAsia="Times New Roman" w:hAnsi="Times New Roman"/>
          <w:sz w:val="16"/>
          <w:szCs w:val="16"/>
          <w:color w:val="auto"/>
        </w:rPr>
        <w:t xml:space="preserve"> and (B) by an amount equal to the sum of all Cash Sweep Payments made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xml:space="preserve"> prior to the date of determination of the Principal Amount of the Note then outstanding.</w:t>
      </w:r>
    </w:p>
    <w:p>
      <w:pPr>
        <w:spacing w:after="0" w:line="146"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Prior Securities Exchange Agreement</w:t>
      </w:r>
      <w:r>
        <w:rPr>
          <w:rFonts w:ascii="Times New Roman" w:cs="Times New Roman" w:eastAsia="Times New Roman" w:hAnsi="Times New Roman"/>
          <w:sz w:val="16"/>
          <w:szCs w:val="16"/>
          <w:color w:val="auto"/>
        </w:rPr>
        <w:t>” means that certain Securities Exchange Agreement, dated as of August 18, 2022, by and between the Company and each of the investors listed on the Schedule of Holders attached thereto.</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7(H)(i)(4)</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Reference Property Unit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7(H)(i)(4)</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Reported Outstanding Share Number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Repurchase Upon Fundamental Change</w:t>
      </w:r>
      <w:r>
        <w:rPr>
          <w:rFonts w:ascii="Times New Roman" w:cs="Times New Roman" w:eastAsia="Times New Roman" w:hAnsi="Times New Roman"/>
          <w:sz w:val="16"/>
          <w:szCs w:val="16"/>
          <w:color w:val="auto"/>
        </w:rPr>
        <w:t xml:space="preserve">” means the repurchase of any Note by the Company pursuant to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Holders</w:t>
      </w:r>
      <w:r>
        <w:rPr>
          <w:rFonts w:ascii="Times New Roman" w:cs="Times New Roman" w:eastAsia="Times New Roman" w:hAnsi="Times New Roman"/>
          <w:sz w:val="16"/>
          <w:szCs w:val="16"/>
          <w:color w:val="auto"/>
        </w:rPr>
        <w:t>” has the meaning set forth in the Securities Purchase Agreement.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Reserve Amount</w:t>
      </w:r>
      <w:r>
        <w:rPr>
          <w:rFonts w:ascii="Times New Roman" w:cs="Times New Roman" w:eastAsia="Times New Roman" w:hAnsi="Times New Roman"/>
          <w:sz w:val="16"/>
          <w:szCs w:val="16"/>
          <w:color w:val="auto"/>
        </w:rPr>
        <w:t xml:space="preserve">” has the meaning in </w:t>
      </w:r>
      <w:r>
        <w:rPr>
          <w:rFonts w:ascii="Times New Roman" w:cs="Times New Roman" w:eastAsia="Times New Roman" w:hAnsi="Times New Roman"/>
          <w:sz w:val="16"/>
          <w:szCs w:val="16"/>
          <w:b w:val="1"/>
          <w:bCs w:val="1"/>
          <w:color w:val="auto"/>
        </w:rPr>
        <w:t>Section 9(W)</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promulgated under the Securities Act.</w:t>
      </w:r>
    </w:p>
    <w:p>
      <w:pPr>
        <w:spacing w:after="0" w:line="211"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Second Optional Holder Redemption Date</w:t>
      </w:r>
      <w:r>
        <w:rPr>
          <w:rFonts w:ascii="Times New Roman" w:cs="Times New Roman" w:eastAsia="Times New Roman" w:hAnsi="Times New Roman"/>
          <w:sz w:val="16"/>
          <w:szCs w:val="16"/>
          <w:color w:val="auto"/>
        </w:rPr>
        <w:t>” means August 19, 2024.</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U.S. Securities Act of 1933, as amended.</w:t>
      </w:r>
    </w:p>
    <w:p>
      <w:pPr>
        <w:spacing w:after="0" w:line="211"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Exchange Agreement</w:t>
      </w:r>
      <w:r>
        <w:rPr>
          <w:rFonts w:ascii="Times New Roman" w:cs="Times New Roman" w:eastAsia="Times New Roman" w:hAnsi="Times New Roman"/>
          <w:sz w:val="16"/>
          <w:szCs w:val="16"/>
          <w:color w:val="auto"/>
        </w:rPr>
        <w:t>” means that certain Securities Exchange Agreement, dated as of March 8, 2023, by and among the Company and each of the investors listed on the Schedule of Holders attached thereto.</w:t>
      </w:r>
    </w:p>
    <w:p>
      <w:pPr>
        <w:spacing w:after="0" w:line="128" w:lineRule="exact"/>
        <w:rPr>
          <w:sz w:val="20"/>
          <w:szCs w:val="20"/>
          <w:color w:val="auto"/>
        </w:rPr>
      </w:pPr>
    </w:p>
    <w:p>
      <w:pPr>
        <w:jc w:val="both"/>
        <w:ind w:firstLine="593"/>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Purchase Agreement</w:t>
      </w:r>
      <w:r>
        <w:rPr>
          <w:rFonts w:ascii="Times New Roman" w:cs="Times New Roman" w:eastAsia="Times New Roman" w:hAnsi="Times New Roman"/>
          <w:sz w:val="16"/>
          <w:szCs w:val="16"/>
          <w:color w:val="auto"/>
        </w:rPr>
        <w:t>” means that certain Securities Purchase Agreement, dated as of March 14, 2022, by and among the Company and each of the investors listed on the Schedule of Buyers attached thereto.</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22" w:name="page23"/>
    <w:bookmarkEnd w:id="22"/>
    <w:p>
      <w:pPr>
        <w:jc w:val="both"/>
        <w:ind w:left="1"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Agreements</w:t>
      </w:r>
      <w:r>
        <w:rPr>
          <w:rFonts w:ascii="Times New Roman" w:cs="Times New Roman" w:eastAsia="Times New Roman" w:hAnsi="Times New Roman"/>
          <w:sz w:val="16"/>
          <w:szCs w:val="16"/>
          <w:color w:val="auto"/>
        </w:rPr>
        <w:t>” means those certain Security Agreements, dated March 23, 2022, between the Company and the Collateral Agent, as amended, supplemented or otherwise modified from time to time.</w:t>
      </w:r>
    </w:p>
    <w:p>
      <w:pPr>
        <w:spacing w:after="0" w:line="13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Document</w:t>
      </w:r>
      <w:r>
        <w:rPr>
          <w:rFonts w:ascii="Times New Roman" w:cs="Times New Roman" w:eastAsia="Times New Roman" w:hAnsi="Times New Roman"/>
          <w:sz w:val="16"/>
          <w:szCs w:val="16"/>
          <w:color w:val="auto"/>
        </w:rPr>
        <w:t>” has the meaning set forth in the Security Agreements.</w:t>
      </w:r>
    </w:p>
    <w:p>
      <w:pPr>
        <w:spacing w:after="0" w:line="211" w:lineRule="exact"/>
        <w:rPr>
          <w:sz w:val="20"/>
          <w:szCs w:val="20"/>
          <w:color w:val="auto"/>
        </w:rPr>
      </w:pPr>
    </w:p>
    <w:p>
      <w:pPr>
        <w:jc w:val="both"/>
        <w:ind w:left="1"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Significant Subsidiary</w:t>
      </w:r>
      <w:r>
        <w:rPr>
          <w:rFonts w:ascii="Times New Roman" w:cs="Times New Roman" w:eastAsia="Times New Roman" w:hAnsi="Times New Roman"/>
          <w:sz w:val="16"/>
          <w:szCs w:val="16"/>
          <w:color w:val="auto"/>
        </w:rPr>
        <w:t>” means, with respect to any Person, any Subsidiary of such Person that constitutes a “significant subsidiary” (as defined in Rule 1-02(w) of Regulation S-X under the Exchange Act) of such Person.</w:t>
      </w:r>
    </w:p>
    <w:p>
      <w:pPr>
        <w:spacing w:after="0" w:line="13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7(F)(i)(3)(b)</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Spin-Off Valuation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7(F)(i)(3)(b)</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Interest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4(B)(i)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Interest Rate</w:t>
      </w:r>
      <w:r>
        <w:rPr>
          <w:rFonts w:ascii="Times New Roman" w:cs="Times New Roman" w:eastAsia="Times New Roman" w:hAnsi="Times New Roman"/>
          <w:sz w:val="16"/>
          <w:szCs w:val="16"/>
          <w:color w:val="auto"/>
        </w:rPr>
        <w:t>” means, as of any date, a rate per annum equal to nine percent (9.0%).</w:t>
      </w:r>
    </w:p>
    <w:p>
      <w:pPr>
        <w:spacing w:after="0" w:line="211" w:lineRule="exact"/>
        <w:rPr>
          <w:sz w:val="20"/>
          <w:szCs w:val="20"/>
          <w:color w:val="auto"/>
        </w:rPr>
      </w:pPr>
    </w:p>
    <w:p>
      <w:pPr>
        <w:jc w:val="both"/>
        <w:ind w:left="1" w:firstLine="593"/>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Subordinated Indebtedness</w:t>
      </w:r>
      <w:r>
        <w:rPr>
          <w:rFonts w:ascii="Times New Roman" w:cs="Times New Roman" w:eastAsia="Times New Roman" w:hAnsi="Times New Roman"/>
          <w:sz w:val="16"/>
          <w:szCs w:val="16"/>
          <w:color w:val="auto"/>
        </w:rPr>
        <w:t>” means Indebtedness subordinated to the Notes that is (a) in amounts and on terms and conditions satisfactory to the Holder in its sole discretion or (b) nonrecourse Indebtedness incurred in connection with the consummation of a TTK Contract that is secured only by assets of the respective TTK SPV, provided that, for the avoidance of doubt, no Indebtedness permitted under this clause (b) shall be guaranteed by the Company or qualify as a liability of the Company.</w:t>
      </w:r>
    </w:p>
    <w:p>
      <w:pPr>
        <w:spacing w:after="0" w:line="353" w:lineRule="exact"/>
        <w:rPr>
          <w:sz w:val="20"/>
          <w:szCs w:val="20"/>
          <w:color w:val="auto"/>
        </w:rPr>
      </w:pPr>
    </w:p>
    <w:p>
      <w:pPr>
        <w:jc w:val="both"/>
        <w:ind w:left="1" w:firstLine="593"/>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w:t>
      </w:r>
    </w:p>
    <w:p>
      <w:pPr>
        <w:spacing w:after="0" w:line="2" w:lineRule="exact"/>
        <w:rPr>
          <w:sz w:val="20"/>
          <w:szCs w:val="20"/>
          <w:color w:val="auto"/>
        </w:rPr>
      </w:pPr>
    </w:p>
    <w:p>
      <w:pPr>
        <w:jc w:val="both"/>
        <w:ind w:left="1" w:hanging="1"/>
        <w:spacing w:after="0" w:line="262" w:lineRule="auto"/>
        <w:tabs>
          <w:tab w:leader="none" w:pos="2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6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Corporation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10(A)</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Person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7(H)(i)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Tender/Exchange Offer Valuation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7(F)(i)(5)</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23" w:name="page24"/>
    <w:bookmarkEnd w:id="23"/>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 License</w:t>
      </w:r>
      <w:r>
        <w:rPr>
          <w:rFonts w:ascii="Times New Roman" w:cs="Times New Roman" w:eastAsia="Times New Roman" w:hAnsi="Times New Roman"/>
          <w:sz w:val="16"/>
          <w:szCs w:val="16"/>
          <w:color w:val="auto"/>
        </w:rPr>
        <w:t>” means any written agreement granting any right to use any Trademark or Trademark registration, now owned or hereafter acquired by the Company or in which the Company now holds or hereafter acquires any interest.</w:t>
      </w:r>
    </w:p>
    <w:p>
      <w:pPr>
        <w:spacing w:after="0" w:line="130"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Trademarks</w:t>
      </w:r>
      <w:r>
        <w:rPr>
          <w:rFonts w:ascii="Times New Roman" w:cs="Times New Roman" w:eastAsia="Times New Roman" w:hAnsi="Times New Roman"/>
          <w:sz w:val="16"/>
          <w:szCs w:val="16"/>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any State thereof or any other country or any political subdivision thereof.</w:t>
      </w:r>
    </w:p>
    <w:p>
      <w:pPr>
        <w:spacing w:after="0" w:line="146" w:lineRule="exact"/>
        <w:rPr>
          <w:sz w:val="20"/>
          <w:szCs w:val="20"/>
          <w:color w:val="auto"/>
        </w:rPr>
      </w:pPr>
    </w:p>
    <w:p>
      <w:pPr>
        <w:jc w:val="both"/>
        <w:ind w:firstLine="593"/>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353"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shall mean the documents included in the definitions of “Transaction Documents” under the Securities Exchange Agreement and the Prior Securities Exchange Agreement.</w:t>
      </w:r>
    </w:p>
    <w:p>
      <w:pPr>
        <w:spacing w:after="0" w:line="130"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TTK Contracts</w:t>
      </w:r>
      <w:r>
        <w:rPr>
          <w:rFonts w:ascii="Times New Roman" w:cs="Times New Roman" w:eastAsia="Times New Roman" w:hAnsi="Times New Roman"/>
          <w:sz w:val="16"/>
          <w:szCs w:val="16"/>
          <w:color w:val="auto"/>
        </w:rPr>
        <w:t>” means Total Turn-Key Solution contracts entered into between the Company and customers thereof to implement a TTK Transaction, which include, without limitation, financing, construction, vertical farming unit leasing, extraction or processing equipment leasing, software, brand and/or marketing consulting and production-based fee contracts.</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TTK SPV</w:t>
      </w:r>
      <w:r>
        <w:rPr>
          <w:rFonts w:ascii="Times New Roman" w:cs="Times New Roman" w:eastAsia="Times New Roman" w:hAnsi="Times New Roman"/>
          <w:sz w:val="16"/>
          <w:szCs w:val="16"/>
          <w:color w:val="auto"/>
        </w:rPr>
        <w:t>” means a special purpose vehicle established to implement a TTK Transaction with a customer of the Company.</w:t>
      </w:r>
    </w:p>
    <w:p>
      <w:pPr>
        <w:spacing w:after="0" w:line="211" w:lineRule="exact"/>
        <w:rPr>
          <w:sz w:val="20"/>
          <w:szCs w:val="20"/>
          <w:color w:val="auto"/>
        </w:rPr>
      </w:pPr>
    </w:p>
    <w:p>
      <w:pPr>
        <w:jc w:val="both"/>
        <w:ind w:firstLine="593"/>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TTK Transaction</w:t>
      </w:r>
      <w:r>
        <w:rPr>
          <w:rFonts w:ascii="Times New Roman" w:cs="Times New Roman" w:eastAsia="Times New Roman" w:hAnsi="Times New Roman"/>
          <w:sz w:val="16"/>
          <w:szCs w:val="16"/>
          <w:color w:val="auto"/>
        </w:rPr>
        <w:t>” means a long-term partnership between the Company and a customer of the Company designed to provide such customer with access to vertical farming units, extraction or processing equipment, construction and/or equipment funding, facility design and construction services, cultivation equipment and software, standard operating procedures, training, data and insights, and ongoing maintenance, support, and equipment upgrades.</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UCC</w:t>
      </w:r>
      <w:r>
        <w:rPr>
          <w:rFonts w:ascii="Times New Roman" w:cs="Times New Roman" w:eastAsia="Times New Roman" w:hAnsi="Times New Roman"/>
          <w:sz w:val="16"/>
          <w:szCs w:val="16"/>
          <w:color w:val="auto"/>
        </w:rPr>
        <w:t>” means the Uniform Commercial Code as the same is, from time to time, in effect in the State of New York.</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Undelivered Shares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7(D)(iv)</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593"/>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Market Disruption Event</w:t>
      </w:r>
      <w:r>
        <w:rPr>
          <w:rFonts w:ascii="Times New Roman" w:cs="Times New Roman" w:eastAsia="Times New Roman" w:hAnsi="Times New Roman"/>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24" w:name="page25"/>
    <w:bookmarkEnd w:id="24"/>
    <w:p>
      <w:pPr>
        <w:jc w:val="both"/>
        <w:ind w:firstLine="593"/>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Trading Day</w:t>
      </w:r>
      <w:r>
        <w:rPr>
          <w:rFonts w:ascii="Times New Roman" w:cs="Times New Roman" w:eastAsia="Times New Roman" w:hAnsi="Times New Roman"/>
          <w:sz w:val="16"/>
          <w:szCs w:val="16"/>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54" w:lineRule="exact"/>
        <w:rPr>
          <w:sz w:val="20"/>
          <w:szCs w:val="20"/>
          <w:color w:val="auto"/>
        </w:rPr>
      </w:pPr>
    </w:p>
    <w:p>
      <w:pPr>
        <w:jc w:val="both"/>
        <w:ind w:firstLine="593"/>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Wholly Owned Subsidiary</w:t>
      </w:r>
      <w:r>
        <w:rPr>
          <w:rFonts w:ascii="Times New Roman" w:cs="Times New Roman" w:eastAsia="Times New Roman" w:hAnsi="Times New Roman"/>
          <w:sz w:val="16"/>
          <w:szCs w:val="16"/>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 P</w:t>
      </w:r>
      <w:r>
        <w:rPr>
          <w:rFonts w:ascii="Times New Roman" w:cs="Times New Roman" w:eastAsia="Times New Roman" w:hAnsi="Times New Roman"/>
          <w:sz w:val="11"/>
          <w:szCs w:val="11"/>
          <w:b w:val="1"/>
          <w:bCs w:val="1"/>
          <w:color w:val="auto"/>
        </w:rPr>
        <w:t>ersons</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eemed</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1"/>
          <w:szCs w:val="11"/>
          <w:b w:val="1"/>
          <w:bCs w:val="1"/>
          <w:color w:val="auto"/>
        </w:rPr>
        <w:t>wners</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Holder of this Note will be treated as the owner of this Note for all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 R</w:t>
      </w:r>
      <w:r>
        <w:rPr>
          <w:rFonts w:ascii="Times New Roman" w:cs="Times New Roman" w:eastAsia="Times New Roman" w:hAnsi="Times New Roman"/>
          <w:sz w:val="11"/>
          <w:szCs w:val="11"/>
          <w:b w:val="1"/>
          <w:bCs w:val="1"/>
          <w:color w:val="auto"/>
        </w:rPr>
        <w:t>egistered</w:t>
      </w:r>
      <w:r>
        <w:rPr>
          <w:rFonts w:ascii="Times New Roman" w:cs="Times New Roman" w:eastAsia="Times New Roman" w:hAnsi="Times New Roman"/>
          <w:sz w:val="16"/>
          <w:szCs w:val="16"/>
          <w:b w:val="1"/>
          <w:bCs w:val="1"/>
          <w:color w:val="auto"/>
        </w:rPr>
        <w:t xml:space="preserve"> F</w:t>
      </w:r>
      <w:r>
        <w:rPr>
          <w:rFonts w:ascii="Times New Roman" w:cs="Times New Roman" w:eastAsia="Times New Roman" w:hAnsi="Times New Roman"/>
          <w:sz w:val="11"/>
          <w:szCs w:val="11"/>
          <w:b w:val="1"/>
          <w:bCs w:val="1"/>
          <w:color w:val="auto"/>
        </w:rPr>
        <w:t>orm</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This Note, and any Note issued in exchange therefor or in substitution thereof, will be in registered form, without coupons.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4. I</w:t>
      </w:r>
      <w:r>
        <w:rPr>
          <w:rFonts w:ascii="Times New Roman" w:cs="Times New Roman" w:eastAsia="Times New Roman" w:hAnsi="Times New Roman"/>
          <w:sz w:val="11"/>
          <w:szCs w:val="11"/>
          <w:b w:val="1"/>
          <w:bCs w:val="1"/>
          <w:color w:val="auto"/>
        </w:rPr>
        <w:t>nterest</w:t>
      </w:r>
      <w:r>
        <w:rPr>
          <w:rFonts w:ascii="Times New Roman" w:cs="Times New Roman" w:eastAsia="Times New Roman" w:hAnsi="Times New Roman"/>
          <w:sz w:val="16"/>
          <w:szCs w:val="16"/>
          <w:b w:val="1"/>
          <w:bCs w:val="1"/>
          <w:color w:val="auto"/>
        </w:rPr>
        <w:t>; M</w:t>
      </w:r>
      <w:r>
        <w:rPr>
          <w:rFonts w:ascii="Times New Roman" w:cs="Times New Roman" w:eastAsia="Times New Roman" w:hAnsi="Times New Roman"/>
          <w:sz w:val="11"/>
          <w:szCs w:val="11"/>
          <w:b w:val="1"/>
          <w:bCs w:val="1"/>
          <w:color w:val="auto"/>
        </w:rPr>
        <w:t>aturity</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6"/>
          <w:szCs w:val="16"/>
          <w:b w:val="1"/>
          <w:bCs w:val="1"/>
          <w:color w:val="auto"/>
        </w:rPr>
        <w:t>; P</w:t>
      </w:r>
      <w:r>
        <w:rPr>
          <w:rFonts w:ascii="Times New Roman" w:cs="Times New Roman" w:eastAsia="Times New Roman" w:hAnsi="Times New Roman"/>
          <w:sz w:val="11"/>
          <w:szCs w:val="11"/>
          <w:b w:val="1"/>
          <w:bCs w:val="1"/>
          <w:color w:val="auto"/>
        </w:rPr>
        <w:t>repayment</w:t>
      </w:r>
      <w:r>
        <w:rPr>
          <w:rFonts w:ascii="Times New Roman" w:cs="Times New Roman" w:eastAsia="Times New Roman" w:hAnsi="Times New Roman"/>
          <w:sz w:val="16"/>
          <w:szCs w:val="16"/>
          <w:b w:val="1"/>
          <w:bCs w:val="1"/>
          <w:color w:val="auto"/>
        </w:rPr>
        <w:t>.</w:t>
      </w:r>
    </w:p>
    <w:p>
      <w:pPr>
        <w:spacing w:after="0" w:line="213" w:lineRule="exact"/>
        <w:rPr>
          <w:sz w:val="20"/>
          <w:szCs w:val="20"/>
          <w:color w:val="auto"/>
        </w:rPr>
      </w:pPr>
    </w:p>
    <w:p>
      <w:pPr>
        <w:ind w:left="860" w:hanging="268"/>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jc w:val="both"/>
        <w:ind w:left="600" w:firstLine="584"/>
        <w:spacing w:after="0" w:line="265" w:lineRule="auto"/>
        <w:tabs>
          <w:tab w:leader="none" w:pos="13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will accrue interest (the “</w:t>
      </w:r>
      <w:r>
        <w:rPr>
          <w:rFonts w:ascii="Times New Roman" w:cs="Times New Roman" w:eastAsia="Times New Roman" w:hAnsi="Times New Roman"/>
          <w:sz w:val="16"/>
          <w:szCs w:val="16"/>
          <w:b w:val="1"/>
          <w:bCs w:val="1"/>
          <w:color w:val="auto"/>
        </w:rPr>
        <w:t>Stated Interest</w:t>
      </w:r>
      <w:r>
        <w:rPr>
          <w:rFonts w:ascii="Times New Roman" w:cs="Times New Roman" w:eastAsia="Times New Roman" w:hAnsi="Times New Roman"/>
          <w:sz w:val="16"/>
          <w:szCs w:val="16"/>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in cash on each Interest Payment Date in accordance with </w:t>
      </w:r>
      <w:r>
        <w:rPr>
          <w:rFonts w:ascii="Times New Roman" w:cs="Times New Roman" w:eastAsia="Times New Roman" w:hAnsi="Times New Roman"/>
          <w:sz w:val="16"/>
          <w:szCs w:val="16"/>
          <w:b w:val="1"/>
          <w:bCs w:val="1"/>
          <w:color w:val="auto"/>
        </w:rPr>
        <w:t>Section 5(A)</w:t>
      </w:r>
      <w:r>
        <w:rPr>
          <w:rFonts w:ascii="Times New Roman" w:cs="Times New Roman" w:eastAsia="Times New Roman" w:hAnsi="Times New Roman"/>
          <w:sz w:val="16"/>
          <w:szCs w:val="16"/>
          <w:color w:val="auto"/>
        </w:rPr>
        <w:t xml:space="preserve">; (iv) be paid to Holder in cash concurrently with any Cash Sweep Payment with respect to the Principal Amount portion of any such Cash Sweep Payment being paid; (v) with respect to the amount of interest then accrued on the portion of the Principal Amount being redeemed on an Optional Holder Redemption Date, be paid to the Holder in arrears as of such Optional Holder Redemption Date in accordance with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and (vi) be computed on the basis of a 360-day year comprised of twelve 30-day months.</w:t>
      </w:r>
    </w:p>
    <w:p>
      <w:pPr>
        <w:spacing w:after="0" w:line="158" w:lineRule="exact"/>
        <w:rPr>
          <w:rFonts w:ascii="Times New Roman" w:cs="Times New Roman" w:eastAsia="Times New Roman" w:hAnsi="Times New Roman"/>
          <w:sz w:val="16"/>
          <w:szCs w:val="16"/>
          <w:color w:val="auto"/>
        </w:rPr>
      </w:pPr>
    </w:p>
    <w:p>
      <w:pPr>
        <w:jc w:val="both"/>
        <w:ind w:left="600" w:firstLine="584"/>
        <w:spacing w:after="0" w:line="269" w:lineRule="auto"/>
        <w:tabs>
          <w:tab w:leader="none" w:pos="144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Default or an Event of Default occurs, then in each case, to the extent lawful, interest (“</w:t>
      </w:r>
      <w:r>
        <w:rPr>
          <w:rFonts w:ascii="Times New Roman" w:cs="Times New Roman" w:eastAsia="Times New Roman" w:hAnsi="Times New Roman"/>
          <w:sz w:val="16"/>
          <w:szCs w:val="16"/>
          <w:b w:val="1"/>
          <w:bCs w:val="1"/>
          <w:color w:val="auto"/>
        </w:rPr>
        <w:t>Default Interest</w:t>
      </w:r>
      <w:r>
        <w:rPr>
          <w:rFonts w:ascii="Times New Roman" w:cs="Times New Roman" w:eastAsia="Times New Roman" w:hAnsi="Times New Roman"/>
          <w:sz w:val="16"/>
          <w:szCs w:val="16"/>
          <w:color w:val="auto"/>
        </w:rPr>
        <w:t>”) will accrue (rather than at the Stated Interest Rate, if applicable) on the Principal Amount outstanding as of the date of such Default or Event of Default at a rate per annum equal to fifteen percent (15.0%),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25" w:name="page26"/>
    <w:bookmarkEnd w:id="25"/>
    <w:p>
      <w:pPr>
        <w:ind w:firstLine="592"/>
        <w:spacing w:after="0" w:line="300" w:lineRule="auto"/>
        <w:tabs>
          <w:tab w:leader="none" w:pos="85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Maturity Date Payment</w:t>
      </w:r>
      <w:r>
        <w:rPr>
          <w:rFonts w:ascii="Times New Roman" w:cs="Times New Roman" w:eastAsia="Times New Roman" w:hAnsi="Times New Roman"/>
          <w:sz w:val="16"/>
          <w:szCs w:val="16"/>
          <w:color w:val="auto"/>
        </w:rPr>
        <w:t>. On the Maturity Date, the Company will pay the Holder an amount in cash equal to the then-outstanding Principal Amount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plus any accrued and unpaid interest on this Note.</w:t>
      </w:r>
    </w:p>
    <w:p>
      <w:pPr>
        <w:spacing w:after="0" w:line="130"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Prepayment</w:t>
      </w:r>
      <w:r>
        <w:rPr>
          <w:rFonts w:ascii="Times New Roman" w:cs="Times New Roman" w:eastAsia="Times New Roman" w:hAnsi="Times New Roman"/>
          <w:sz w:val="16"/>
          <w:szCs w:val="16"/>
          <w:color w:val="auto"/>
        </w:rPr>
        <w:t>. The Company may not prepay the Note without the written consent of the Holder other than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w:t>
      </w:r>
    </w:p>
    <w:p>
      <w:pPr>
        <w:spacing w:after="0" w:line="213" w:lineRule="exact"/>
        <w:rPr>
          <w:rFonts w:ascii="Times New Roman" w:cs="Times New Roman" w:eastAsia="Times New Roman" w:hAnsi="Times New Roman"/>
          <w:sz w:val="16"/>
          <w:szCs w:val="16"/>
          <w:color w:val="auto"/>
        </w:rPr>
      </w:pPr>
    </w:p>
    <w:p>
      <w:pPr>
        <w:ind w:left="840" w:hanging="248"/>
        <w:spacing w:after="0"/>
        <w:tabs>
          <w:tab w:leader="none" w:pos="8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Cash Sweep Payments</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ind w:left="1380" w:hanging="196"/>
        <w:spacing w:after="0"/>
        <w:tabs>
          <w:tab w:leader="none" w:pos="138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Note, any payment made to the Holder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xml:space="preserve"> shall be referred to as a </w:t>
      </w:r>
      <w:r>
        <w:rPr>
          <w:rFonts w:ascii="Times New Roman" w:cs="Times New Roman" w:eastAsia="Times New Roman" w:hAnsi="Times New Roman"/>
          <w:sz w:val="16"/>
          <w:szCs w:val="16"/>
          <w:b w:val="1"/>
          <w:bCs w:val="1"/>
          <w:color w:val="auto"/>
        </w:rPr>
        <w:t>“Cash Sweep Payment”</w:t>
      </w:r>
      <w:r>
        <w:rPr>
          <w:rFonts w:ascii="Times New Roman" w:cs="Times New Roman" w:eastAsia="Times New Roman" w:hAnsi="Times New Roman"/>
          <w:sz w:val="16"/>
          <w:szCs w:val="16"/>
          <w:color w:val="auto"/>
        </w:rPr>
        <w:t>.</w:t>
      </w:r>
    </w:p>
    <w:p>
      <w:pPr>
        <w:spacing w:after="0" w:line="215" w:lineRule="exact"/>
        <w:rPr>
          <w:rFonts w:ascii="Times New Roman" w:cs="Times New Roman" w:eastAsia="Times New Roman" w:hAnsi="Times New Roman"/>
          <w:sz w:val="16"/>
          <w:szCs w:val="16"/>
          <w:color w:val="auto"/>
        </w:rPr>
      </w:pPr>
    </w:p>
    <w:p>
      <w:pPr>
        <w:jc w:val="both"/>
        <w:ind w:left="600" w:firstLine="584"/>
        <w:spacing w:after="0" w:line="263" w:lineRule="auto"/>
        <w:tabs>
          <w:tab w:leader="none" w:pos="1449"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Concurrently with the completion of any Equity Issuance other than an ATM Issuance, the Company shall certify to Holder in writing (i) the net proceeds of the applicable Equity Issuance, (ii) the calculation of the Cash Sweep Amount with respect to such Equity Issuance (including a certification that such Cash Sweep Amount was calculated in accordance with the terms hereof) and (iii) whether the Company believes that the extent of such Equity Issuances and Cash Sweep Amount constitutes material non-public information regarding the Company (such certification a “</w:t>
      </w:r>
      <w:r>
        <w:rPr>
          <w:rFonts w:ascii="Times New Roman" w:cs="Times New Roman" w:eastAsia="Times New Roman" w:hAnsi="Times New Roman"/>
          <w:sz w:val="16"/>
          <w:szCs w:val="16"/>
          <w:b w:val="1"/>
          <w:bCs w:val="1"/>
          <w:color w:val="auto"/>
        </w:rPr>
        <w:t>Cash Sweep Certification</w:t>
      </w:r>
      <w:r>
        <w:rPr>
          <w:rFonts w:ascii="Times New Roman" w:cs="Times New Roman" w:eastAsia="Times New Roman" w:hAnsi="Times New Roman"/>
          <w:sz w:val="16"/>
          <w:szCs w:val="16"/>
          <w:color w:val="auto"/>
        </w:rPr>
        <w:t>”); provided, however, that, unless consented to by the Holder in writing, in the event that the extent of such Equity Issuances and Cash Sweep Amount is such that the information required in such certification would constitute material non-public information regarding the Company, then the Company shall also publicly disclose such material non-public information on a Current Report on Form 8-K or otherwise, on or prior to 9:00 am, New York City time on the Business Day immediately following the delivery of such Cash Sweep Certification.</w:t>
      </w:r>
    </w:p>
    <w:p>
      <w:pPr>
        <w:spacing w:after="0" w:line="165" w:lineRule="exact"/>
        <w:rPr>
          <w:rFonts w:ascii="Times New Roman" w:cs="Times New Roman" w:eastAsia="Times New Roman" w:hAnsi="Times New Roman"/>
          <w:sz w:val="16"/>
          <w:szCs w:val="16"/>
          <w:color w:val="auto"/>
        </w:rPr>
      </w:pPr>
    </w:p>
    <w:p>
      <w:pPr>
        <w:jc w:val="both"/>
        <w:ind w:left="600" w:firstLine="584"/>
        <w:spacing w:after="0" w:line="263" w:lineRule="auto"/>
        <w:tabs>
          <w:tab w:leader="none" w:pos="1505"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 Equity Issuance that is an ATM Issuance, on the first Business Day of each calendar month, the Company shall deliver a certification to Holder in writing certifying (i) the net proceeds of the applicable Equity Issuances consummated in the immediately preceding calendar month, (ii) the calculation of the Cash Sweep Amount with respect to such Equity Issuances (including a certification that such Cash Sweep Amount was calculated in accordance with the terms hereof), and (iii) whether the Company believes that the extent of such Equity Issuances and Cash Sweep Amount constitutes material non-public information regarding the Company (such certification also being a Cash Sweep Certification); provided, however, that, unless consented to by the Holder in writing, in the event that the extent of such Equity Issuances and Cash Sweep Amount is such that the information required in such certification would constitute material non-public information regarding the Company, then the Company shall also publicly disclose such material non-public information on a Current Report on Form 8-K or otherwise, on or prior to 9:00 am, New York City time on the Business Day immediately following the delivery of such Cash Sweep Certification.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6" w:name="page27"/>
    <w:bookmarkEnd w:id="26"/>
    <w:p>
      <w:pPr>
        <w:jc w:val="both"/>
        <w:ind w:left="600" w:firstLine="584"/>
        <w:spacing w:after="0" w:line="269" w:lineRule="auto"/>
        <w:tabs>
          <w:tab w:leader="none" w:pos="147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shall have the right to require the Company, exercisable by delivery of written notice to the Company of exercise of such right (a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Sweep Notice</w:t>
      </w:r>
      <w:r>
        <w:rPr>
          <w:rFonts w:ascii="Times New Roman" w:cs="Times New Roman" w:eastAsia="Times New Roman" w:hAnsi="Times New Roman"/>
          <w:sz w:val="16"/>
          <w:szCs w:val="16"/>
          <w:color w:val="auto"/>
        </w:rPr>
        <w:t>”) in connection with any particular Equity Issuance, to pay to the Holder in cash within two (2) Business Days following the delivery of such Cash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Sweep Notice, an amount not exceeding the Cash Sweep Amount arising from such Equity Issuance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any Cash Sweep Amount paid to the Holder by the Company in connection with such Equity Issuance pursuant to any other note outstanding and issued by the Company to the Holder pursuant to the Transaction Documents.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5. M</w:t>
      </w:r>
      <w:r>
        <w:rPr>
          <w:rFonts w:ascii="Times New Roman" w:cs="Times New Roman" w:eastAsia="Times New Roman" w:hAnsi="Times New Roman"/>
          <w:sz w:val="11"/>
          <w:szCs w:val="11"/>
          <w:b w:val="1"/>
          <w:bCs w:val="1"/>
          <w:color w:val="auto"/>
        </w:rPr>
        <w:t>ethod of</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6"/>
          <w:szCs w:val="16"/>
          <w:b w:val="1"/>
          <w:bCs w:val="1"/>
          <w:color w:val="auto"/>
        </w:rPr>
        <w:t>; W</w:t>
      </w:r>
      <w:r>
        <w:rPr>
          <w:rFonts w:ascii="Times New Roman" w:cs="Times New Roman" w:eastAsia="Times New Roman" w:hAnsi="Times New Roman"/>
          <w:sz w:val="11"/>
          <w:szCs w:val="11"/>
          <w:b w:val="1"/>
          <w:bCs w:val="1"/>
          <w:color w:val="auto"/>
        </w:rPr>
        <w:t>hen</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ate is</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 a</w:t>
      </w:r>
      <w:r>
        <w:rPr>
          <w:rFonts w:ascii="Times New Roman" w:cs="Times New Roman" w:eastAsia="Times New Roman" w:hAnsi="Times New Roman"/>
          <w:sz w:val="16"/>
          <w:szCs w:val="16"/>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6"/>
          <w:szCs w:val="16"/>
          <w:b w:val="1"/>
          <w:bCs w:val="1"/>
          <w:color w:val="auto"/>
        </w:rPr>
        <w:t>.</w:t>
      </w:r>
    </w:p>
    <w:p>
      <w:pPr>
        <w:spacing w:after="0" w:line="213" w:lineRule="exact"/>
        <w:rPr>
          <w:sz w:val="20"/>
          <w:szCs w:val="20"/>
          <w:color w:val="auto"/>
        </w:rPr>
      </w:pPr>
    </w:p>
    <w:p>
      <w:pPr>
        <w:jc w:val="both"/>
        <w:ind w:firstLine="592"/>
        <w:spacing w:after="0" w:line="279" w:lineRule="auto"/>
        <w:tabs>
          <w:tab w:leader="none" w:pos="86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Method of Payment</w:t>
      </w:r>
      <w:r>
        <w:rPr>
          <w:rFonts w:ascii="Times New Roman" w:cs="Times New Roman" w:eastAsia="Times New Roman" w:hAnsi="Times New Roman"/>
          <w:sz w:val="16"/>
          <w:szCs w:val="16"/>
          <w:color w:val="auto"/>
        </w:rPr>
        <w:t>. The Company will pay all cash amounts due under this Note by wire transfer of immediately available funds to an account of the Holder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is provided to the Company on the date hereof, which account may be changed for any cash amount due under this Note by written notice provided by the Holder to the Company at least three (3) Business Days before the date such amount is due.</w:t>
      </w:r>
    </w:p>
    <w:p>
      <w:pPr>
        <w:spacing w:after="0" w:line="148" w:lineRule="exact"/>
        <w:rPr>
          <w:rFonts w:ascii="Times New Roman" w:cs="Times New Roman" w:eastAsia="Times New Roman" w:hAnsi="Times New Roman"/>
          <w:sz w:val="16"/>
          <w:szCs w:val="16"/>
          <w:color w:val="auto"/>
        </w:rPr>
      </w:pPr>
    </w:p>
    <w:p>
      <w:pPr>
        <w:jc w:val="both"/>
        <w:ind w:firstLine="592"/>
        <w:spacing w:after="0" w:line="279" w:lineRule="auto"/>
        <w:tabs>
          <w:tab w:leader="none" w:pos="85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Delay of Payment when Payment Date is Not a Business Day</w:t>
      </w:r>
      <w:r>
        <w:rPr>
          <w:rFonts w:ascii="Times New Roman" w:cs="Times New Roman" w:eastAsia="Times New Roman" w:hAnsi="Times New Roman"/>
          <w:sz w:val="16"/>
          <w:szCs w:val="16"/>
          <w:color w:val="auto"/>
        </w:rPr>
        <w:t>. If the due date for a payment on this Note as provided in this Note is not a Business Day, then,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notwithstanding anything to the contrary in this Note, such payment may be made on the immediately following Business Day and no interest will accrue on such payment as a result of the related delay.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6. R</w:t>
      </w:r>
      <w:r>
        <w:rPr>
          <w:rFonts w:ascii="Times New Roman" w:cs="Times New Roman" w:eastAsia="Times New Roman" w:hAnsi="Times New Roman"/>
          <w:sz w:val="11"/>
          <w:szCs w:val="11"/>
          <w:b w:val="1"/>
          <w:bCs w:val="1"/>
          <w:color w:val="auto"/>
        </w:rPr>
        <w:t>equired</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1"/>
          <w:szCs w:val="11"/>
          <w:b w:val="1"/>
          <w:bCs w:val="1"/>
          <w:color w:val="auto"/>
        </w:rPr>
        <w:t>epurchase of</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ote upon a</w:t>
      </w:r>
      <w:r>
        <w:rPr>
          <w:rFonts w:ascii="Times New Roman" w:cs="Times New Roman" w:eastAsia="Times New Roman" w:hAnsi="Times New Roman"/>
          <w:sz w:val="16"/>
          <w:szCs w:val="16"/>
          <w:b w:val="1"/>
          <w:bCs w:val="1"/>
          <w:color w:val="auto"/>
        </w:rPr>
        <w:t xml:space="preserve"> F</w:t>
      </w:r>
      <w:r>
        <w:rPr>
          <w:rFonts w:ascii="Times New Roman" w:cs="Times New Roman" w:eastAsia="Times New Roman" w:hAnsi="Times New Roman"/>
          <w:sz w:val="11"/>
          <w:szCs w:val="11"/>
          <w:b w:val="1"/>
          <w:bCs w:val="1"/>
          <w:color w:val="auto"/>
        </w:rPr>
        <w:t>undamental</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hange</w:t>
      </w: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p>
      <w:pPr>
        <w:jc w:val="both"/>
        <w:ind w:firstLine="592"/>
        <w:spacing w:after="0" w:line="280" w:lineRule="auto"/>
        <w:tabs>
          <w:tab w:leader="none" w:pos="86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Repurchase Upon Fundamental Change</w:t>
      </w:r>
      <w:r>
        <w:rPr>
          <w:rFonts w:ascii="Times New Roman" w:cs="Times New Roman" w:eastAsia="Times New Roman" w:hAnsi="Times New Roman"/>
          <w:sz w:val="16"/>
          <w:szCs w:val="16"/>
          <w:color w:val="auto"/>
        </w:rPr>
        <w:t>. Subject to the other terms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 if a Fundamental Change occurs, then the Holder will have the right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 the Company to repurchase this Note (or any portion of this Note in an Authorized Denomination) on the Fundamental Change Repurchase Date for such Fundamental Change for a cash purchase price equal to the Fundamental Change Repurchase Price.</w:t>
      </w:r>
    </w:p>
    <w:p>
      <w:pPr>
        <w:spacing w:after="0" w:line="148" w:lineRule="exact"/>
        <w:rPr>
          <w:rFonts w:ascii="Times New Roman" w:cs="Times New Roman" w:eastAsia="Times New Roman" w:hAnsi="Times New Roman"/>
          <w:sz w:val="16"/>
          <w:szCs w:val="16"/>
          <w:color w:val="auto"/>
        </w:rPr>
      </w:pPr>
    </w:p>
    <w:p>
      <w:pPr>
        <w:jc w:val="both"/>
        <w:ind w:firstLine="592"/>
        <w:spacing w:after="0" w:line="279" w:lineRule="auto"/>
        <w:tabs>
          <w:tab w:leader="none" w:pos="86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Fundamental Change Repurchase Date</w:t>
      </w:r>
      <w:r>
        <w:rPr>
          <w:rFonts w:ascii="Times New Roman" w:cs="Times New Roman" w:eastAsia="Times New Roman" w:hAnsi="Times New Roman"/>
          <w:sz w:val="16"/>
          <w:szCs w:val="16"/>
          <w:color w:val="auto"/>
        </w:rPr>
        <w:t>. The Fundamental Change Repurchase Date for any Fundamental Change will be a Business Day of the 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choosing that is no more than twenty (20) Business Days after the later of (x) the date the Company delivers to the Holder the related Fundamental Change Notice pursuant to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 and (y) the effective date of such Fundamental Change.</w:t>
      </w:r>
    </w:p>
    <w:p>
      <w:pPr>
        <w:spacing w:after="0" w:line="148" w:lineRule="exact"/>
        <w:rPr>
          <w:rFonts w:ascii="Times New Roman" w:cs="Times New Roman" w:eastAsia="Times New Roman" w:hAnsi="Times New Roman"/>
          <w:sz w:val="16"/>
          <w:szCs w:val="16"/>
          <w:color w:val="auto"/>
        </w:rPr>
      </w:pPr>
    </w:p>
    <w:p>
      <w:pPr>
        <w:jc w:val="both"/>
        <w:ind w:firstLine="592"/>
        <w:spacing w:after="0" w:line="270" w:lineRule="auto"/>
        <w:tabs>
          <w:tab w:leader="none" w:pos="85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Fundamental Change Notice</w:t>
      </w:r>
      <w:r>
        <w:rPr>
          <w:rFonts w:ascii="Times New Roman" w:cs="Times New Roman" w:eastAsia="Times New Roman" w:hAnsi="Times New Roman"/>
          <w:sz w:val="16"/>
          <w:szCs w:val="16"/>
          <w:color w:val="auto"/>
        </w:rPr>
        <w:t>. No later than the eighth (8th) Business Day before the occurrence of any Fundamental Change, the Company will send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 a written notice (the “</w:t>
      </w:r>
      <w:r>
        <w:rPr>
          <w:rFonts w:ascii="Times New Roman" w:cs="Times New Roman" w:eastAsia="Times New Roman" w:hAnsi="Times New Roman"/>
          <w:sz w:val="16"/>
          <w:szCs w:val="16"/>
          <w:b w:val="1"/>
          <w:bCs w:val="1"/>
          <w:color w:val="auto"/>
        </w:rPr>
        <w:t>Fundamental Change Notice</w:t>
      </w:r>
      <w:r>
        <w:rPr>
          <w:rFonts w:ascii="Times New Roman" w:cs="Times New Roman" w:eastAsia="Times New Roman" w:hAnsi="Times New Roman"/>
          <w:sz w:val="16"/>
          <w:szCs w:val="16"/>
          <w:color w:val="auto"/>
        </w:rPr>
        <w:t>”) thereof (provided, however, in no event shall such notice be required prior to the actual public notice of</w:t>
      </w:r>
    </w:p>
    <w:p>
      <w:pPr>
        <w:jc w:val="both"/>
        <w:spacing w:after="0" w:line="222" w:lineRule="auto"/>
        <w:rPr>
          <w:sz w:val="20"/>
          <w:szCs w:val="20"/>
          <w:color w:val="auto"/>
        </w:rPr>
      </w:pPr>
      <w:r>
        <w:rPr>
          <w:rFonts w:ascii="Times New Roman" w:cs="Times New Roman" w:eastAsia="Times New Roman" w:hAnsi="Times New Roman"/>
          <w:sz w:val="16"/>
          <w:szCs w:val="16"/>
          <w:color w:val="auto"/>
        </w:rPr>
        <w:t>such Fundamental Change), stating the expected date such Fundamental Change will occur. No later than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Business Day after the date of delivery of the Fundamental Change Notice, the Holder shall notify the Company in writing whether it will require the Company to repurchase this Note and specify the Fundamental Change Repurchase Date.</w:t>
      </w:r>
    </w:p>
    <w:p>
      <w:pPr>
        <w:spacing w:after="0" w:line="181" w:lineRule="exact"/>
        <w:rPr>
          <w:sz w:val="20"/>
          <w:szCs w:val="20"/>
          <w:color w:val="auto"/>
        </w:rPr>
      </w:pPr>
    </w:p>
    <w:p>
      <w:pPr>
        <w:jc w:val="both"/>
        <w:ind w:firstLine="592"/>
        <w:spacing w:after="0" w:line="268" w:lineRule="auto"/>
        <w:tabs>
          <w:tab w:leader="none" w:pos="87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Fundamental Change Repurchase Price</w:t>
      </w:r>
      <w:r>
        <w:rPr>
          <w:rFonts w:ascii="Times New Roman" w:cs="Times New Roman" w:eastAsia="Times New Roman" w:hAnsi="Times New Roman"/>
          <w:sz w:val="16"/>
          <w:szCs w:val="16"/>
          <w:color w:val="auto"/>
        </w:rPr>
        <w:t>. The Fundamental Change Repurchase Price for this Note (or any portion of this Note to be repurchased)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Repurchase Upon Fundamental Change following a Fundamental Change is an amount in cash equal to the Fundamental Change Base Repurchase Price for such Fundamental Change plus any accrued and unpaid interest on this Note (or such portion of this Note) to, but excluding, the Fundamental Change Repurchase Date for such Fundamental Change. For the avoidance of doubt, no other prepayment premium, fee or penalty (including the prepayment fee set forth in the definition of “</w:t>
      </w:r>
      <w:r>
        <w:rPr>
          <w:rFonts w:ascii="Times New Roman" w:cs="Times New Roman" w:eastAsia="Times New Roman" w:hAnsi="Times New Roman"/>
          <w:sz w:val="16"/>
          <w:szCs w:val="16"/>
          <w:b w:val="1"/>
          <w:bCs w:val="1"/>
          <w:color w:val="auto"/>
        </w:rPr>
        <w:t>Company Redemption Price</w:t>
      </w:r>
      <w:r>
        <w:rPr>
          <w:rFonts w:ascii="Times New Roman" w:cs="Times New Roman" w:eastAsia="Times New Roman" w:hAnsi="Times New Roman"/>
          <w:sz w:val="16"/>
          <w:szCs w:val="16"/>
          <w:color w:val="auto"/>
        </w:rPr>
        <w:t>”) shall be due or payable in connection with a Repurchase Upon Fundamental Change.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27" w:name="page28"/>
    <w:bookmarkEnd w:id="27"/>
    <w:p>
      <w:pPr>
        <w:ind w:firstLine="592"/>
        <w:spacing w:after="0" w:line="300" w:lineRule="auto"/>
        <w:tabs>
          <w:tab w:leader="none" w:pos="84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 of Repurchase</w:t>
      </w:r>
      <w:r>
        <w:rPr>
          <w:rFonts w:ascii="Times New Roman" w:cs="Times New Roman" w:eastAsia="Times New Roman" w:hAnsi="Times New Roman"/>
          <w:sz w:val="16"/>
          <w:szCs w:val="16"/>
          <w:color w:val="auto"/>
        </w:rPr>
        <w:t>. If this Note (or any portion of this Note) is to be repurchased upon a Repurchase Upon Fundamental Change, then, from and after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the related Fundamental Change Repurchase Price is paid in full, this Note (or such portion) will cease to be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7. C</w:t>
      </w:r>
      <w:r>
        <w:rPr>
          <w:rFonts w:ascii="Times New Roman" w:cs="Times New Roman" w:eastAsia="Times New Roman" w:hAnsi="Times New Roman"/>
          <w:sz w:val="11"/>
          <w:szCs w:val="11"/>
          <w:b w:val="1"/>
          <w:bCs w:val="1"/>
          <w:color w:val="auto"/>
        </w:rPr>
        <w:t>onversion</w:t>
      </w:r>
      <w:r>
        <w:rPr>
          <w:rFonts w:ascii="Times New Roman" w:cs="Times New Roman" w:eastAsia="Times New Roman" w:hAnsi="Times New Roman"/>
          <w:sz w:val="16"/>
          <w:szCs w:val="16"/>
          <w:b w:val="1"/>
          <w:bCs w:val="1"/>
          <w:color w:val="auto"/>
        </w:rPr>
        <w:t>.</w:t>
      </w:r>
    </w:p>
    <w:p>
      <w:pPr>
        <w:spacing w:after="0" w:line="213" w:lineRule="exact"/>
        <w:rPr>
          <w:sz w:val="20"/>
          <w:szCs w:val="20"/>
          <w:color w:val="auto"/>
        </w:rPr>
      </w:pPr>
    </w:p>
    <w:p>
      <w:pPr>
        <w:ind w:left="860" w:hanging="268"/>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Right to Convert</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ind w:left="600" w:firstLine="584"/>
        <w:spacing w:after="0" w:line="302" w:lineRule="auto"/>
        <w:tabs>
          <w:tab w:leader="none" w:pos="1389"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Generally. </w:t>
      </w:r>
      <w:r>
        <w:rPr>
          <w:rFonts w:ascii="Times New Roman" w:cs="Times New Roman" w:eastAsia="Times New Roman" w:hAnsi="Times New Roman"/>
          <w:sz w:val="16"/>
          <w:szCs w:val="16"/>
          <w:color w:val="auto"/>
        </w:rPr>
        <w:t>Subject to the provisions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the Holder may, at its option, convert this Note, including any portion constituting an Optional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 Redemption Amount, into Conversion Consideration.</w:t>
      </w:r>
    </w:p>
    <w:p>
      <w:pPr>
        <w:spacing w:after="0" w:line="129" w:lineRule="exact"/>
        <w:rPr>
          <w:rFonts w:ascii="Times New Roman" w:cs="Times New Roman" w:eastAsia="Times New Roman" w:hAnsi="Times New Roman"/>
          <w:sz w:val="16"/>
          <w:szCs w:val="16"/>
          <w:color w:val="auto"/>
        </w:rPr>
      </w:pPr>
    </w:p>
    <w:p>
      <w:pPr>
        <w:ind w:left="600" w:firstLine="584"/>
        <w:spacing w:after="0" w:line="302" w:lineRule="auto"/>
        <w:tabs>
          <w:tab w:leader="none" w:pos="1435"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Conversions in Part</w:t>
      </w:r>
      <w:r>
        <w:rPr>
          <w:rFonts w:ascii="Times New Roman" w:cs="Times New Roman" w:eastAsia="Times New Roman" w:hAnsi="Times New Roman"/>
          <w:sz w:val="16"/>
          <w:szCs w:val="16"/>
          <w:color w:val="auto"/>
        </w:rPr>
        <w:t>. Subject to the terms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this Note may be converted in part, but only in an Authorized Denomination. Provisions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this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xml:space="preserve"> applying to the conversion of this Note in whole will equally apply to conversions of any permitted portion of this Note.</w:t>
      </w:r>
    </w:p>
    <w:p>
      <w:pPr>
        <w:spacing w:after="0" w:line="131"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When this Note May Be Converted</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600" w:firstLine="584"/>
        <w:spacing w:after="0" w:line="300" w:lineRule="auto"/>
        <w:tabs>
          <w:tab w:leader="none" w:pos="1389"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Generally</w:t>
      </w:r>
      <w:r>
        <w:rPr>
          <w:rFonts w:ascii="Times New Roman" w:cs="Times New Roman" w:eastAsia="Times New Roman" w:hAnsi="Times New Roman"/>
          <w:sz w:val="16"/>
          <w:szCs w:val="16"/>
          <w:color w:val="auto"/>
        </w:rPr>
        <w:t>. The Holder may convert this Note at any time until the Close of Business on the second (2nd) Scheduled Trading Day immediately before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Maturity Date.</w:t>
      </w:r>
    </w:p>
    <w:p>
      <w:pPr>
        <w:spacing w:after="0" w:line="130" w:lineRule="exact"/>
        <w:rPr>
          <w:rFonts w:ascii="Times New Roman" w:cs="Times New Roman" w:eastAsia="Times New Roman" w:hAnsi="Times New Roman"/>
          <w:sz w:val="16"/>
          <w:szCs w:val="16"/>
          <w:color w:val="auto"/>
        </w:rPr>
      </w:pPr>
    </w:p>
    <w:p>
      <w:pPr>
        <w:jc w:val="both"/>
        <w:ind w:left="600" w:firstLine="584"/>
        <w:spacing w:after="0" w:line="269" w:lineRule="auto"/>
        <w:tabs>
          <w:tab w:leader="none" w:pos="1447"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Limitations and Closed Periods</w:t>
      </w:r>
      <w:r>
        <w:rPr>
          <w:rFonts w:ascii="Times New Roman" w:cs="Times New Roman" w:eastAsia="Times New Roman" w:hAnsi="Times New Roman"/>
          <w:sz w:val="16"/>
          <w:szCs w:val="16"/>
          <w:color w:val="auto"/>
        </w:rPr>
        <w:t>. Notwithstanding anything to the contrary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if this Note (or any portion of this Note) is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repurchased upon a Repurchase Upon Fundamental Change, then in no event may this Note (or such portion) be converted after the Close of Business on the Scheduled Trading Day immediately before the related Fundamental Change Repurchase Date; provided, that the limitations contained in this </w:t>
      </w:r>
      <w:r>
        <w:rPr>
          <w:rFonts w:ascii="Times New Roman" w:cs="Times New Roman" w:eastAsia="Times New Roman" w:hAnsi="Times New Roman"/>
          <w:sz w:val="16"/>
          <w:szCs w:val="16"/>
          <w:b w:val="1"/>
          <w:bCs w:val="1"/>
          <w:color w:val="auto"/>
        </w:rPr>
        <w:t>Section 7(B)(ii)</w:t>
      </w:r>
      <w:r>
        <w:rPr>
          <w:rFonts w:ascii="Times New Roman" w:cs="Times New Roman" w:eastAsia="Times New Roman" w:hAnsi="Times New Roman"/>
          <w:sz w:val="16"/>
          <w:szCs w:val="16"/>
          <w:color w:val="auto"/>
        </w:rPr>
        <w:t xml:space="preserve"> shall no longer apply to this Note (or such applicable portion) if the applicable Fundamental Change Repurchase Price is not delivered on the Fundamental Change Repurchase Date in accordance with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Conversion Procedures</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jc w:val="both"/>
        <w:ind w:left="600" w:firstLine="584"/>
        <w:spacing w:after="0" w:line="269" w:lineRule="auto"/>
        <w:tabs>
          <w:tab w:leader="none" w:pos="1389"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Generally</w:t>
      </w:r>
      <w:r>
        <w:rPr>
          <w:rFonts w:ascii="Times New Roman" w:cs="Times New Roman" w:eastAsia="Times New Roman" w:hAnsi="Times New Roman"/>
          <w:sz w:val="16"/>
          <w:szCs w:val="16"/>
          <w:color w:val="auto"/>
        </w:rPr>
        <w:t>. To convert this Note, the Holder must complete, sign and deliver to the Company the conversion notice attached to this Note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portable document format (.pdf) version of such conversion notice (at which time such conversion will become irrevocable) (a “</w:t>
      </w:r>
      <w:r>
        <w:rPr>
          <w:rFonts w:ascii="Times New Roman" w:cs="Times New Roman" w:eastAsia="Times New Roman" w:hAnsi="Times New Roman"/>
          <w:sz w:val="16"/>
          <w:szCs w:val="16"/>
          <w:b w:val="1"/>
          <w:bCs w:val="1"/>
          <w:color w:val="auto"/>
        </w:rPr>
        <w:t>Holder Conversion Notice</w:t>
      </w:r>
      <w:r>
        <w:rPr>
          <w:rFonts w:ascii="Times New Roman" w:cs="Times New Roman" w:eastAsia="Times New Roman" w:hAnsi="Times New Roman"/>
          <w:sz w:val="16"/>
          <w:szCs w:val="16"/>
          <w:color w:val="auto"/>
        </w:rPr>
        <w:t xml:space="preserve">”). For the avoidance of doubt, the Holder Conversion Notice may be delivered by e-mail in accordance with </w:t>
      </w:r>
      <w:r>
        <w:rPr>
          <w:rFonts w:ascii="Times New Roman" w:cs="Times New Roman" w:eastAsia="Times New Roman" w:hAnsi="Times New Roman"/>
          <w:sz w:val="16"/>
          <w:szCs w:val="16"/>
          <w:b w:val="1"/>
          <w:bCs w:val="1"/>
          <w:color w:val="auto"/>
        </w:rPr>
        <w:t>Section 14</w:t>
      </w:r>
      <w:r>
        <w:rPr>
          <w:rFonts w:ascii="Times New Roman" w:cs="Times New Roman" w:eastAsia="Times New Roman" w:hAnsi="Times New Roman"/>
          <w:sz w:val="16"/>
          <w:szCs w:val="16"/>
          <w:color w:val="auto"/>
        </w:rPr>
        <w:t>. If the Company fails to deliver, by the related Conversion Settlement Date, any shares of Common Stock forming part of the Conversion Consideration of the conversion of this Note, the Holder, by notice to the Company, may rescind all or any portion of the corresponding Holder Conversion Notice at any time until such Undelivered Shares are delivered.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8" w:name="page29"/>
    <w:bookmarkEnd w:id="28"/>
    <w:p>
      <w:pPr>
        <w:jc w:val="both"/>
        <w:ind w:left="8" w:firstLine="584"/>
        <w:spacing w:after="0" w:line="279" w:lineRule="auto"/>
        <w:tabs>
          <w:tab w:leader="none" w:pos="8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Holder of Record of Conversion Shares</w:t>
      </w:r>
      <w:r>
        <w:rPr>
          <w:rFonts w:ascii="Times New Roman" w:cs="Times New Roman" w:eastAsia="Times New Roman" w:hAnsi="Times New Roman"/>
          <w:sz w:val="16"/>
          <w:szCs w:val="16"/>
          <w:color w:val="auto"/>
        </w:rPr>
        <w:t>. The person in whose name any shares of Common Stock is issuable upon conversion of this Note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deemed to become the holder of record of such shares as of the Close of Business on the Conversion Date for such conversion, conferring, as of such time, upon such person, without limitation, all voting and other rights appurtenant to such shares.</w:t>
      </w:r>
    </w:p>
    <w:p>
      <w:pPr>
        <w:spacing w:after="0" w:line="148" w:lineRule="exact"/>
        <w:rPr>
          <w:rFonts w:ascii="Times New Roman" w:cs="Times New Roman" w:eastAsia="Times New Roman" w:hAnsi="Times New Roman"/>
          <w:sz w:val="16"/>
          <w:szCs w:val="16"/>
          <w:color w:val="auto"/>
        </w:rPr>
      </w:pPr>
    </w:p>
    <w:p>
      <w:pPr>
        <w:ind w:left="8" w:firstLine="584"/>
        <w:spacing w:after="0" w:line="300" w:lineRule="auto"/>
        <w:tabs>
          <w:tab w:leader="none" w:pos="88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Taxes and Duties. </w:t>
      </w:r>
      <w:r>
        <w:rPr>
          <w:rFonts w:ascii="Times New Roman" w:cs="Times New Roman" w:eastAsia="Times New Roman" w:hAnsi="Times New Roman"/>
          <w:sz w:val="16"/>
          <w:szCs w:val="16"/>
          <w:color w:val="auto"/>
        </w:rPr>
        <w:t>If the Holder converts a Note, the Company will pay any documentary, stamp or similar issue or transfer tax or duty due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 of any shares of Common Stock upon such conversion.</w:t>
      </w:r>
    </w:p>
    <w:p>
      <w:pPr>
        <w:spacing w:after="0" w:line="132" w:lineRule="exact"/>
        <w:rPr>
          <w:rFonts w:ascii="Times New Roman" w:cs="Times New Roman" w:eastAsia="Times New Roman" w:hAnsi="Times New Roman"/>
          <w:sz w:val="16"/>
          <w:szCs w:val="16"/>
          <w:color w:val="auto"/>
        </w:rPr>
      </w:pPr>
    </w:p>
    <w:p>
      <w:pPr>
        <w:ind w:left="268" w:hanging="268"/>
        <w:spacing w:after="0"/>
        <w:tabs>
          <w:tab w:leader="none" w:pos="26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Settlement upon Conversion</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jc w:val="both"/>
        <w:ind w:left="8" w:firstLine="584"/>
        <w:spacing w:after="0" w:line="280" w:lineRule="auto"/>
        <w:tabs>
          <w:tab w:leader="none" w:pos="79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Generally</w:t>
      </w:r>
      <w:r>
        <w:rPr>
          <w:rFonts w:ascii="Times New Roman" w:cs="Times New Roman" w:eastAsia="Times New Roman" w:hAnsi="Times New Roman"/>
          <w:sz w:val="16"/>
          <w:szCs w:val="16"/>
          <w:color w:val="auto"/>
        </w:rPr>
        <w:t>.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7(D)(ii)</w:t>
      </w:r>
      <w:r>
        <w:rPr>
          <w:rFonts w:ascii="Times New Roman" w:cs="Times New Roman" w:eastAsia="Times New Roman" w:hAnsi="Times New Roman"/>
          <w:sz w:val="16"/>
          <w:szCs w:val="16"/>
          <w:color w:val="auto"/>
        </w:rPr>
        <w:t>, the consideration (the “</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due in respect of each $1,000 Principal Amount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including any portion constituting an Optional Holder Redemption Amount required to be paid by the Company on the next Optional Holder Redemption Date, to be converted will consist of the following:</w:t>
      </w:r>
    </w:p>
    <w:p>
      <w:pPr>
        <w:spacing w:after="0" w:line="146" w:lineRule="exact"/>
        <w:rPr>
          <w:rFonts w:ascii="Times New Roman" w:cs="Times New Roman" w:eastAsia="Times New Roman" w:hAnsi="Times New Roman"/>
          <w:sz w:val="16"/>
          <w:szCs w:val="16"/>
          <w:color w:val="auto"/>
        </w:rPr>
      </w:pPr>
    </w:p>
    <w:p>
      <w:pPr>
        <w:ind w:left="1148" w:hanging="259"/>
        <w:spacing w:after="0"/>
        <w:tabs>
          <w:tab w:leader="none" w:pos="1148"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b w:val="1"/>
          <w:bCs w:val="1"/>
          <w:color w:val="auto"/>
        </w:rPr>
        <w:t>Section 7(D)(ii)</w:t>
      </w:r>
      <w:r>
        <w:rPr>
          <w:rFonts w:ascii="Times New Roman" w:cs="Times New Roman" w:eastAsia="Times New Roman" w:hAnsi="Times New Roman"/>
          <w:sz w:val="16"/>
          <w:szCs w:val="16"/>
          <w:color w:val="auto"/>
        </w:rPr>
        <w:t>, a number of shares of Common Stock equal to the Conversion Rate in effect on the Conversion Date for such</w:t>
      </w:r>
    </w:p>
    <w:p>
      <w:pPr>
        <w:spacing w:after="0" w:line="34" w:lineRule="exact"/>
        <w:rPr>
          <w:rFonts w:ascii="Times New Roman" w:cs="Times New Roman" w:eastAsia="Times New Roman" w:hAnsi="Times New Roman"/>
          <w:sz w:val="16"/>
          <w:szCs w:val="16"/>
          <w:color w:val="auto"/>
        </w:rPr>
      </w:pPr>
    </w:p>
    <w:p>
      <w:pPr>
        <w:ind w:left="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 and</w:t>
      </w:r>
    </w:p>
    <w:p>
      <w:pPr>
        <w:spacing w:after="0" w:line="194" w:lineRule="exact"/>
        <w:rPr>
          <w:rFonts w:ascii="Times New Roman" w:cs="Times New Roman" w:eastAsia="Times New Roman" w:hAnsi="Times New Roman"/>
          <w:sz w:val="16"/>
          <w:szCs w:val="16"/>
          <w:color w:val="auto"/>
        </w:rPr>
      </w:pPr>
    </w:p>
    <w:p>
      <w:pPr>
        <w:jc w:val="both"/>
        <w:ind w:left="8" w:firstLine="881"/>
        <w:spacing w:after="0" w:line="267" w:lineRule="auto"/>
        <w:tabs>
          <w:tab w:leader="none" w:pos="1141"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an amount equal to the aggregate accrued and unpaid interest on this Note to, but excluding, the Conversion Settlement Date for such conversion or, at the election of the Company, a number of validly issued, fully paid and Freely Tradable Common Stock (the “</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Interest Shares</w:t>
      </w:r>
      <w:r>
        <w:rPr>
          <w:rFonts w:ascii="Times New Roman" w:cs="Times New Roman" w:eastAsia="Times New Roman" w:hAnsi="Times New Roman"/>
          <w:sz w:val="16"/>
          <w:szCs w:val="16"/>
          <w:color w:val="auto"/>
        </w:rPr>
        <w:t>”) equal to the quotient (rounded up to the closest whole number) obtained by dividing the aggregate accrued and unpaid interest on this Note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but excluding, the Conversion Settlement Date (or, in the case of an Optional Holder Redemption Amount, the Optional Holder Redemption Date) by the Conversion Price.</w:t>
      </w:r>
    </w:p>
    <w:p>
      <w:pPr>
        <w:spacing w:after="0" w:line="158" w:lineRule="exact"/>
        <w:rPr>
          <w:rFonts w:ascii="Times New Roman" w:cs="Times New Roman" w:eastAsia="Times New Roman" w:hAnsi="Times New Roman"/>
          <w:sz w:val="16"/>
          <w:szCs w:val="16"/>
          <w:color w:val="auto"/>
        </w:rPr>
      </w:pPr>
    </w:p>
    <w:p>
      <w:pPr>
        <w:jc w:val="both"/>
        <w:ind w:left="8" w:firstLine="584"/>
        <w:spacing w:after="0" w:line="272" w:lineRule="auto"/>
        <w:tabs>
          <w:tab w:leader="none" w:pos="84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Fractional Shares</w:t>
      </w:r>
      <w:r>
        <w:rPr>
          <w:rFonts w:ascii="Times New Roman" w:cs="Times New Roman" w:eastAsia="Times New Roman" w:hAnsi="Times New Roman"/>
          <w:sz w:val="16"/>
          <w:szCs w:val="16"/>
          <w:color w:val="auto"/>
        </w:rPr>
        <w:t>. The total number of shares of Common Stock due in respect of any conversion of this Note pursuant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any portion constituting an Optional Holder Redemption Amount required to be paid by the Company on the next Optional Holder Redemption Date, will be determined on the basis of the total Principal Amount of this Note to be converted with the same Conversion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number of shares of Common Stock is not a whole number, then such number will be rounded up to the nearest whole number.</w:t>
      </w:r>
    </w:p>
    <w:p>
      <w:pPr>
        <w:spacing w:after="0" w:line="155" w:lineRule="exact"/>
        <w:rPr>
          <w:rFonts w:ascii="Times New Roman" w:cs="Times New Roman" w:eastAsia="Times New Roman" w:hAnsi="Times New Roman"/>
          <w:sz w:val="16"/>
          <w:szCs w:val="16"/>
          <w:color w:val="auto"/>
        </w:rPr>
      </w:pPr>
    </w:p>
    <w:p>
      <w:pPr>
        <w:jc w:val="both"/>
        <w:ind w:left="8" w:firstLine="584"/>
        <w:spacing w:after="0" w:line="268" w:lineRule="auto"/>
        <w:tabs>
          <w:tab w:leader="none" w:pos="88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Delivery of the Conversion Consideration</w:t>
      </w:r>
      <w:r>
        <w:rPr>
          <w:rFonts w:ascii="Times New Roman" w:cs="Times New Roman" w:eastAsia="Times New Roman" w:hAnsi="Times New Roman"/>
          <w:sz w:val="16"/>
          <w:szCs w:val="16"/>
          <w:color w:val="auto"/>
        </w:rPr>
        <w:t>. The Company will pay or deliver, as applicable, the Conversion Consideration due upon the conversion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this Note, including any portion constituting an Optional Holder Redemption Amount to be paid by the Company on the next Optional Holder Redemption Date,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cs="Times New Roman" w:eastAsia="Times New Roman" w:hAnsi="Times New Roman"/>
          <w:sz w:val="16"/>
          <w:szCs w:val="16"/>
          <w:b w:val="1"/>
          <w:bCs w:val="1"/>
          <w:color w:val="auto"/>
        </w:rPr>
        <w:t>Conversion Settlement Date</w:t>
      </w:r>
      <w:r>
        <w:rPr>
          <w:rFonts w:ascii="Times New Roman" w:cs="Times New Roman" w:eastAsia="Times New Roman" w:hAnsi="Times New Roman"/>
          <w:sz w:val="16"/>
          <w:szCs w:val="16"/>
          <w:color w:val="auto"/>
        </w:rPr>
        <w:t>”).</w:t>
      </w:r>
    </w:p>
    <w:p>
      <w:pPr>
        <w:spacing w:after="0" w:line="358" w:lineRule="exact"/>
        <w:rPr>
          <w:sz w:val="20"/>
          <w:szCs w:val="20"/>
          <w:color w:val="auto"/>
        </w:rPr>
      </w:pPr>
    </w:p>
    <w:p>
      <w:pPr>
        <w:ind w:left="4948"/>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19050</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8"/>
          </w:cols>
          <w:pgMar w:left="912" w:top="837" w:right="339" w:bottom="1440" w:gutter="0" w:footer="0" w:header="0"/>
        </w:sectPr>
      </w:pPr>
    </w:p>
    <w:bookmarkStart w:id="29" w:name="page30"/>
    <w:bookmarkEnd w:id="29"/>
    <w:p>
      <w:pPr>
        <w:jc w:val="both"/>
        <w:ind w:firstLine="584"/>
        <w:spacing w:after="0" w:line="266" w:lineRule="auto"/>
        <w:tabs>
          <w:tab w:leader="none" w:pos="88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Company Failure to Timely Deliver Stock Payments</w:t>
      </w:r>
      <w:r>
        <w:rPr>
          <w:rFonts w:ascii="Times New Roman" w:cs="Times New Roman" w:eastAsia="Times New Roman" w:hAnsi="Times New Roman"/>
          <w:sz w:val="16"/>
          <w:szCs w:val="16"/>
          <w:color w:val="auto"/>
        </w:rPr>
        <w:t>. If (x) the Company shall fail for any reason or for no reason on or prior to the applicable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Conversion Settlement Date to deliver shares of Common Stock in accordance with </w:t>
      </w:r>
      <w:r>
        <w:rPr>
          <w:rFonts w:ascii="Times New Roman" w:cs="Times New Roman" w:eastAsia="Times New Roman" w:hAnsi="Times New Roman"/>
          <w:sz w:val="16"/>
          <w:szCs w:val="16"/>
          <w:b w:val="1"/>
          <w:bCs w:val="1"/>
          <w:color w:val="auto"/>
        </w:rPr>
        <w:t>Section 7(C)</w:t>
      </w:r>
      <w:r>
        <w:rPr>
          <w:rFonts w:ascii="Times New Roman" w:cs="Times New Roman" w:eastAsia="Times New Roman" w:hAnsi="Times New Roman"/>
          <w:sz w:val="16"/>
          <w:szCs w:val="16"/>
          <w:color w:val="auto"/>
        </w:rPr>
        <w:t xml:space="preserve"> (such shares to which Holder is entitled referred to as the “</w:t>
      </w:r>
      <w:r>
        <w:rPr>
          <w:rFonts w:ascii="Times New Roman" w:cs="Times New Roman" w:eastAsia="Times New Roman" w:hAnsi="Times New Roman"/>
          <w:sz w:val="16"/>
          <w:szCs w:val="16"/>
          <w:b w:val="1"/>
          <w:bCs w:val="1"/>
          <w:color w:val="auto"/>
        </w:rPr>
        <w:t>Undelivered Shares</w:t>
      </w:r>
      <w:r>
        <w:rPr>
          <w:rFonts w:ascii="Times New Roman" w:cs="Times New Roman" w:eastAsia="Times New Roman" w:hAnsi="Times New Roman"/>
          <w:sz w:val="16"/>
          <w:szCs w:val="16"/>
          <w:color w:val="auto"/>
        </w:rPr>
        <w:t>”); and (y) the Holder (whether directly or indirectly, including by any broker acting on the Holder’s behalf or acting with respect to such Undelivered Shares) purchases any shares of Common Stock (whether in the open market or otherwise) to cover any such Undelivered Shares (whether to satisfy any settlement obligations with respect thereto of the Holder or otherwise), then, without limiting the Holder’s right to pursue any other remedy available to it (whether hereunder, under applicable law or otherwise), the Holder will have the right, exercisable by notice to the Company, to cause the Company to either:</w:t>
      </w:r>
    </w:p>
    <w:p>
      <w:pPr>
        <w:spacing w:after="0" w:line="161" w:lineRule="exact"/>
        <w:rPr>
          <w:rFonts w:ascii="Times New Roman" w:cs="Times New Roman" w:eastAsia="Times New Roman" w:hAnsi="Times New Roman"/>
          <w:sz w:val="16"/>
          <w:szCs w:val="16"/>
          <w:color w:val="auto"/>
        </w:rPr>
      </w:pPr>
    </w:p>
    <w:p>
      <w:pPr>
        <w:jc w:val="both"/>
        <w:ind w:firstLine="881"/>
        <w:spacing w:after="0" w:line="277" w:lineRule="auto"/>
        <w:tabs>
          <w:tab w:leader="none" w:pos="112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on or before the second (2nd) Business Day after the date such notice is delivered, cash to the Holder in an amount equal to the aggregate purchase price (including any brokerage commissions and other out-of-pocket costs) incurred to purchase such shares (such aggregate purchase price, the “</w:t>
      </w:r>
      <w:r>
        <w:rPr>
          <w:rFonts w:ascii="Times New Roman" w:cs="Times New Roman" w:eastAsia="Times New Roman" w:hAnsi="Times New Roman"/>
          <w:sz w:val="16"/>
          <w:szCs w:val="16"/>
          <w:b w:val="1"/>
          <w:bCs w:val="1"/>
          <w:color w:val="auto"/>
        </w:rPr>
        <w:t>Covering Price</w:t>
      </w:r>
      <w:r>
        <w:rPr>
          <w:rFonts w:ascii="Times New Roman" w:cs="Times New Roman" w:eastAsia="Times New Roman" w:hAnsi="Times New Roman"/>
          <w:sz w:val="16"/>
          <w:szCs w:val="16"/>
          <w:color w:val="auto"/>
        </w:rPr>
        <w:t>”); or</w:t>
      </w:r>
    </w:p>
    <w:p>
      <w:pPr>
        <w:spacing w:after="0" w:line="153" w:lineRule="exact"/>
        <w:rPr>
          <w:rFonts w:ascii="Times New Roman" w:cs="Times New Roman" w:eastAsia="Times New Roman" w:hAnsi="Times New Roman"/>
          <w:sz w:val="16"/>
          <w:szCs w:val="16"/>
          <w:color w:val="auto"/>
        </w:rPr>
      </w:pPr>
    </w:p>
    <w:p>
      <w:pPr>
        <w:jc w:val="both"/>
        <w:ind w:firstLine="881"/>
        <w:spacing w:after="0" w:line="277" w:lineRule="auto"/>
        <w:tabs>
          <w:tab w:leader="none" w:pos="113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deliver, to the Holder, such Undelivered Shares in accordance with this Note, together with cash in an amount equal to the excess, if any, of the Covering Price over the product of (x) the number of such Undelivered Shares; and (y) the Daily VWAP per share of Common Stock on the applicable Conversion Date.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To exercise such right, the Holder must deliver notice of such exercise to the Company, specifying whether the Holder has elected clause (1) or (2) above to apply. If the Holder has elected clause (1) to apply, then the Company’s obligation to deliver the Undelivered Shares in accordance with this Note will be deemed to have been satisfied and discharged to the extent the Company has paid the Covering Price in accordance with clause (1).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as required pursuant to the terms hereof. In addition to the foregoing, if the Company fails for any reason to deliver Common Stock to the Holder by the applicable Conversion Settlement Date, the Company shall pay to the Holder, in cash, as liquidated damages and not as a penalty, for each $1,000 of Undelivered Shares (based on the Daily VWAP on the applicable Conversion Settlement Date), $10 per Trading Day (increasing to $20 per Trading Day on the fifth Trading Day after such liquidated damages begin to accrue) for each Trading Day after the Conversion Settlement Date until the cash amount set forth in </w:t>
      </w:r>
      <w:r>
        <w:rPr>
          <w:rFonts w:ascii="Times New Roman" w:cs="Times New Roman" w:eastAsia="Times New Roman" w:hAnsi="Times New Roman"/>
          <w:sz w:val="16"/>
          <w:szCs w:val="16"/>
          <w:b w:val="1"/>
          <w:bCs w:val="1"/>
          <w:color w:val="auto"/>
        </w:rPr>
        <w:t>Section 7(D)(iv)(1)</w:t>
      </w:r>
      <w:r>
        <w:rPr>
          <w:rFonts w:ascii="Times New Roman" w:cs="Times New Roman" w:eastAsia="Times New Roman" w:hAnsi="Times New Roman"/>
          <w:sz w:val="16"/>
          <w:szCs w:val="16"/>
          <w:color w:val="auto"/>
        </w:rPr>
        <w:t xml:space="preserve"> is paid to the Holder or the shares of Common Stock are delivered to the Holder pursuant to </w:t>
      </w:r>
      <w:r>
        <w:rPr>
          <w:rFonts w:ascii="Times New Roman" w:cs="Times New Roman" w:eastAsia="Times New Roman" w:hAnsi="Times New Roman"/>
          <w:sz w:val="16"/>
          <w:szCs w:val="16"/>
          <w:b w:val="1"/>
          <w:bCs w:val="1"/>
          <w:color w:val="auto"/>
        </w:rPr>
        <w:t>Section 7(D)(iv)(2)</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firstLine="584"/>
        <w:spacing w:after="0" w:line="300" w:lineRule="auto"/>
        <w:tabs>
          <w:tab w:leader="none" w:pos="8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 of Conversion</w:t>
      </w:r>
      <w:r>
        <w:rPr>
          <w:rFonts w:ascii="Times New Roman" w:cs="Times New Roman" w:eastAsia="Times New Roman" w:hAnsi="Times New Roman"/>
          <w:sz w:val="16"/>
          <w:szCs w:val="16"/>
          <w:color w:val="auto"/>
        </w:rPr>
        <w:t>. If this Note is converted in full, then, from and after the date the Conversion Consideration therefor is issued or delivered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settlement of such conversion, this Note will cease to be outstanding and all interest will cease to accrue on this Note.</w:t>
      </w:r>
    </w:p>
    <w:p>
      <w:pPr>
        <w:spacing w:after="0" w:line="3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19050</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0"/>
          </w:cols>
          <w:pgMar w:left="920" w:top="837" w:right="339" w:bottom="1440" w:gutter="0" w:footer="0" w:header="0"/>
        </w:sectPr>
      </w:pPr>
    </w:p>
    <w:bookmarkStart w:id="30" w:name="page31"/>
    <w:bookmarkEnd w:id="30"/>
    <w:p>
      <w:pPr>
        <w:ind w:left="840" w:hanging="248"/>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Common Stock Issued upon Conversion</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600" w:firstLine="584"/>
        <w:spacing w:after="0" w:line="266" w:lineRule="auto"/>
        <w:tabs>
          <w:tab w:leader="none" w:pos="138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Status of Conversion Shares; Listing</w:t>
      </w:r>
      <w:r>
        <w:rPr>
          <w:rFonts w:ascii="Times New Roman" w:cs="Times New Roman" w:eastAsia="Times New Roman" w:hAnsi="Times New Roman"/>
          <w:sz w:val="16"/>
          <w:szCs w:val="16"/>
          <w:color w:val="auto"/>
        </w:rPr>
        <w:t>. Each share of Common Stock delivered pursuant to this Note will be a newly issued or treasury share and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 Any shares of Common Stock issued pursuant to this Note will be issued in the form of book-entries at the facilities of DTC, identified therein by an “unrestricted” CUSIP number.</w:t>
      </w:r>
    </w:p>
    <w:p>
      <w:pPr>
        <w:spacing w:after="0" w:line="159" w:lineRule="exact"/>
        <w:rPr>
          <w:rFonts w:ascii="Times New Roman" w:cs="Times New Roman" w:eastAsia="Times New Roman" w:hAnsi="Times New Roman"/>
          <w:sz w:val="16"/>
          <w:szCs w:val="16"/>
          <w:color w:val="auto"/>
        </w:rPr>
      </w:pPr>
    </w:p>
    <w:p>
      <w:pPr>
        <w:ind w:left="600" w:firstLine="584"/>
        <w:spacing w:after="0" w:line="300" w:lineRule="auto"/>
        <w:tabs>
          <w:tab w:leader="none" w:pos="143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Transferability of Conversion Shares</w:t>
      </w:r>
      <w:r>
        <w:rPr>
          <w:rFonts w:ascii="Times New Roman" w:cs="Times New Roman" w:eastAsia="Times New Roman" w:hAnsi="Times New Roman"/>
          <w:sz w:val="16"/>
          <w:szCs w:val="16"/>
          <w:color w:val="auto"/>
        </w:rPr>
        <w:t>. Any shares of Common Stock issued upon conversion of this Note will be issued in the form of book-entries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 the facilities of DTC, identified therein by an “unrestricted” CUSIP number.</w:t>
      </w:r>
    </w:p>
    <w:p>
      <w:pPr>
        <w:spacing w:after="0" w:line="132" w:lineRule="exact"/>
        <w:rPr>
          <w:rFonts w:ascii="Times New Roman" w:cs="Times New Roman" w:eastAsia="Times New Roman" w:hAnsi="Times New Roman"/>
          <w:sz w:val="16"/>
          <w:szCs w:val="16"/>
          <w:color w:val="auto"/>
        </w:rPr>
      </w:pPr>
    </w:p>
    <w:p>
      <w:pPr>
        <w:ind w:left="840" w:hanging="248"/>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Adjustments to the Conversion Rate</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1380" w:hanging="196"/>
        <w:spacing w:after="0"/>
        <w:tabs>
          <w:tab w:leader="none" w:pos="138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Events Requiring an Adjustment to the Conversion Rate</w:t>
      </w:r>
      <w:r>
        <w:rPr>
          <w:rFonts w:ascii="Times New Roman" w:cs="Times New Roman" w:eastAsia="Times New Roman" w:hAnsi="Times New Roman"/>
          <w:sz w:val="16"/>
          <w:szCs w:val="16"/>
          <w:color w:val="auto"/>
        </w:rPr>
        <w:t>. The Conversion Rate will be adjusted from time to time as follows:</w:t>
      </w:r>
    </w:p>
    <w:p>
      <w:pPr>
        <w:spacing w:after="0" w:line="211" w:lineRule="exact"/>
        <w:rPr>
          <w:rFonts w:ascii="Times New Roman" w:cs="Times New Roman" w:eastAsia="Times New Roman" w:hAnsi="Times New Roman"/>
          <w:sz w:val="16"/>
          <w:szCs w:val="16"/>
          <w:color w:val="auto"/>
        </w:rPr>
      </w:pPr>
    </w:p>
    <w:p>
      <w:pPr>
        <w:jc w:val="both"/>
        <w:ind w:left="600" w:firstLine="881"/>
        <w:spacing w:after="0" w:line="271" w:lineRule="auto"/>
        <w:tabs>
          <w:tab w:leader="none" w:pos="1747" w:val="left"/>
        </w:tabs>
        <w:numPr>
          <w:ilvl w:val="2"/>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Dividends, Splits and Combinations</w:t>
      </w:r>
      <w:r>
        <w:rPr>
          <w:rFonts w:ascii="Times New Roman" w:cs="Times New Roman" w:eastAsia="Times New Roman" w:hAnsi="Times New Roman"/>
          <w:sz w:val="16"/>
          <w:szCs w:val="16"/>
          <w:color w:val="auto"/>
        </w:rPr>
        <w:t>. If the Company issues solely shares of Common Stock as a dividend or distribution on all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111125</wp:posOffset>
            </wp:positionV>
            <wp:extent cx="901700" cy="384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1700"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where:</w:t>
            </w:r>
          </w:p>
        </w:tc>
        <w:tc>
          <w:tcPr>
            <w:tcW w:w="9540" w:type="dxa"/>
            <w:vAlign w:val="bottom"/>
          </w:tcPr>
          <w:p>
            <w:pPr>
              <w:spacing w:after="0"/>
              <w:rPr>
                <w:sz w:val="18"/>
                <w:szCs w:val="18"/>
                <w:color w:val="auto"/>
              </w:rPr>
            </w:pPr>
          </w:p>
        </w:tc>
      </w:tr>
      <w:tr>
        <w:trPr>
          <w:trHeight w:val="382"/>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0</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before the Open of Business on the Ex-Dividend Date for such dividend or distribution, or</w:t>
            </w:r>
          </w:p>
        </w:tc>
      </w:tr>
      <w:tr>
        <w:trPr>
          <w:trHeight w:val="215"/>
        </w:trPr>
        <w:tc>
          <w:tcPr>
            <w:tcW w:w="1700" w:type="dxa"/>
            <w:vAlign w:val="bottom"/>
          </w:tcPr>
          <w:p>
            <w:pPr>
              <w:spacing w:after="0"/>
              <w:rPr>
                <w:sz w:val="18"/>
                <w:szCs w:val="18"/>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immediately before the Open of Business on the effective date of such stock split or stock combination, as applicable;</w:t>
            </w:r>
          </w:p>
        </w:tc>
      </w:tr>
      <w:tr>
        <w:trPr>
          <w:trHeight w:val="378"/>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1</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after the Open of Business on such Ex-Dividend Date or the Open of Business on such effective</w:t>
            </w:r>
          </w:p>
        </w:tc>
      </w:tr>
      <w:tr>
        <w:trPr>
          <w:trHeight w:val="215"/>
        </w:trPr>
        <w:tc>
          <w:tcPr>
            <w:tcW w:w="1700" w:type="dxa"/>
            <w:vAlign w:val="bottom"/>
          </w:tcPr>
          <w:p>
            <w:pPr>
              <w:spacing w:after="0"/>
              <w:rPr>
                <w:sz w:val="18"/>
                <w:szCs w:val="18"/>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date, as applicable;</w:t>
            </w:r>
          </w:p>
        </w:tc>
      </w:tr>
      <w:tr>
        <w:trPr>
          <w:trHeight w:val="378"/>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OS</w:t>
            </w:r>
            <w:r>
              <w:rPr>
                <w:rFonts w:ascii="Times New Roman" w:cs="Times New Roman" w:eastAsia="Times New Roman" w:hAnsi="Times New Roman"/>
                <w:sz w:val="27"/>
                <w:szCs w:val="27"/>
                <w:i w:val="1"/>
                <w:iCs w:val="1"/>
                <w:color w:val="auto"/>
                <w:vertAlign w:val="subscript"/>
              </w:rPr>
              <w:t>0</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number of shares of Common Stock outstanding immediately before the Open of Business on such Ex-Dividend Date or effective date,</w:t>
            </w:r>
          </w:p>
        </w:tc>
      </w:tr>
      <w:tr>
        <w:trPr>
          <w:trHeight w:val="215"/>
        </w:trPr>
        <w:tc>
          <w:tcPr>
            <w:tcW w:w="1700" w:type="dxa"/>
            <w:vAlign w:val="bottom"/>
          </w:tcPr>
          <w:p>
            <w:pPr>
              <w:spacing w:after="0"/>
              <w:rPr>
                <w:sz w:val="18"/>
                <w:szCs w:val="18"/>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 applicable, without giving effect to such dividend, distribution, stock split or stock combination; and</w:t>
            </w:r>
          </w:p>
        </w:tc>
      </w:tr>
      <w:tr>
        <w:trPr>
          <w:trHeight w:val="593"/>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6"/>
                <w:szCs w:val="16"/>
                <w:color w:val="auto"/>
              </w:rPr>
              <w:t>23</w:t>
            </w:r>
          </w:p>
        </w:tc>
      </w:tr>
    </w:tbl>
    <w:p>
      <w:pPr>
        <w:sectPr>
          <w:pgSz w:w="11900" w:h="16838" w:orient="portrait"/>
          <w:cols w:equalWidth="0" w:num="1">
            <w:col w:w="11240"/>
          </w:cols>
          <w:pgMar w:left="320" w:top="837" w:right="33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6"/>
          <w:szCs w:val="16"/>
          <w:i w:val="1"/>
          <w:iCs w:val="1"/>
          <w:color w:val="auto"/>
        </w:rPr>
        <w:t>OS</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ind w:hanging="299"/>
        <w:spacing w:after="0" w:line="297"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number of shares of Common Stock outstanding immediately after giving effect to such dividend, distribution, stock split or stock combination.</w:t>
      </w:r>
    </w:p>
    <w:p>
      <w:pPr>
        <w:spacing w:after="0" w:line="133" w:lineRule="exact"/>
        <w:rPr>
          <w:sz w:val="20"/>
          <w:szCs w:val="20"/>
          <w:color w:val="auto"/>
        </w:rPr>
      </w:pPr>
    </w:p>
    <w:p>
      <w:pPr>
        <w:sectPr>
          <w:pgSz w:w="11900" w:h="16838" w:orient="portrait"/>
          <w:cols w:equalWidth="0" w:num="2">
            <w:col w:w="340" w:space="620"/>
            <w:col w:w="9160"/>
          </w:cols>
          <w:pgMar w:left="1440" w:top="837" w:right="339" w:bottom="1440" w:gutter="0" w:footer="0" w:header="0"/>
        </w:sectPr>
      </w:pPr>
    </w:p>
    <w:p>
      <w:pPr>
        <w:jc w:val="both"/>
        <w:ind w:left="60"/>
        <w:spacing w:after="0" w:line="272" w:lineRule="auto"/>
        <w:rPr>
          <w:sz w:val="20"/>
          <w:szCs w:val="20"/>
          <w:color w:val="auto"/>
        </w:rPr>
      </w:pPr>
      <w:r>
        <w:rPr>
          <w:rFonts w:ascii="Times New Roman" w:cs="Times New Roman" w:eastAsia="Times New Roman" w:hAnsi="Times New Roman"/>
          <w:sz w:val="16"/>
          <w:szCs w:val="16"/>
          <w:color w:val="auto"/>
        </w:rPr>
        <w:t xml:space="preserve">If any dividend, distribution, stock split or stock combination of the type described in this </w:t>
      </w:r>
      <w:r>
        <w:rPr>
          <w:rFonts w:ascii="Times New Roman" w:cs="Times New Roman" w:eastAsia="Times New Roman" w:hAnsi="Times New Roman"/>
          <w:sz w:val="16"/>
          <w:szCs w:val="16"/>
          <w:b w:val="1"/>
          <w:bCs w:val="1"/>
          <w:color w:val="auto"/>
        </w:rPr>
        <w:t>Section 7(F)(i)(1)</w:t>
      </w:r>
      <w:r>
        <w:rPr>
          <w:rFonts w:ascii="Times New Roman" w:cs="Times New Roman" w:eastAsia="Times New Roman" w:hAnsi="Times New Roman"/>
          <w:sz w:val="16"/>
          <w:szCs w:val="16"/>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56" w:lineRule="exact"/>
        <w:rPr>
          <w:sz w:val="20"/>
          <w:szCs w:val="20"/>
          <w:color w:val="auto"/>
        </w:rPr>
      </w:pPr>
    </w:p>
    <w:p>
      <w:pPr>
        <w:jc w:val="both"/>
        <w:ind w:left="-520" w:firstLine="1177"/>
        <w:spacing w:after="0" w:line="267" w:lineRule="auto"/>
        <w:tabs>
          <w:tab w:leader="none" w:pos="89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Rights, Options and Warrants</w:t>
      </w:r>
      <w:r>
        <w:rPr>
          <w:rFonts w:ascii="Times New Roman" w:cs="Times New Roman" w:eastAsia="Times New Roman" w:hAnsi="Times New Roman"/>
          <w:sz w:val="16"/>
          <w:szCs w:val="16"/>
          <w:color w:val="auto"/>
        </w:rPr>
        <w:t>. If the Company distributes, to all or substantially all holders of Common Stock, rights, options or warrants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(other than rights issued or otherwise distributed pursuant to a stockholder rights plan, as to which the provisions set forth in </w:t>
      </w:r>
      <w:r>
        <w:rPr>
          <w:rFonts w:ascii="Times New Roman" w:cs="Times New Roman" w:eastAsia="Times New Roman" w:hAnsi="Times New Roman"/>
          <w:sz w:val="16"/>
          <w:szCs w:val="16"/>
          <w:b w:val="1"/>
          <w:bCs w:val="1"/>
          <w:color w:val="auto"/>
        </w:rPr>
        <w:t>Section 7(F)(v)</w:t>
      </w:r>
      <w:r>
        <w:rPr>
          <w:rFonts w:ascii="Times New Roman" w:cs="Times New Roman" w:eastAsia="Times New Roman" w:hAnsi="Times New Roman"/>
          <w:sz w:val="16"/>
          <w:szCs w:val="16"/>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240030</wp:posOffset>
            </wp:positionV>
            <wp:extent cx="1066800" cy="313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6800"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422"/>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0</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before the Open of Business on the Ex-Dividend Date for such distribution;</w:t>
            </w:r>
          </w:p>
        </w:tc>
      </w:tr>
      <w:tr>
        <w:trPr>
          <w:trHeight w:val="408"/>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1</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w:t>
            </w:r>
          </w:p>
        </w:tc>
      </w:tr>
      <w:tr>
        <w:trPr>
          <w:trHeight w:val="380"/>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OS</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before the Open of Business on such Ex-Dividend Date;</w:t>
            </w:r>
          </w:p>
        </w:tc>
      </w:tr>
    </w:tbl>
    <w:p>
      <w:pPr>
        <w:spacing w:after="0" w:line="181" w:lineRule="exact"/>
        <w:rPr>
          <w:sz w:val="20"/>
          <w:szCs w:val="20"/>
          <w:color w:val="auto"/>
        </w:rPr>
      </w:pPr>
    </w:p>
    <w:p>
      <w:pPr>
        <w:ind w:left="660" w:hanging="596"/>
        <w:spacing w:after="0"/>
        <w:tabs>
          <w:tab w:leader="none" w:pos="66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the total number of shares of Common Stock issuable pursuant to such rights, options or warrants; and</w:t>
      </w:r>
    </w:p>
    <w:p>
      <w:pPr>
        <w:spacing w:after="0" w:line="211" w:lineRule="exact"/>
        <w:rPr>
          <w:sz w:val="20"/>
          <w:szCs w:val="20"/>
          <w:color w:val="auto"/>
        </w:rPr>
      </w:pPr>
    </w:p>
    <w:p>
      <w:pPr>
        <w:ind w:left="660" w:hanging="596"/>
        <w:spacing w:after="0"/>
        <w:tabs>
          <w:tab w:leader="none" w:pos="66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a number of shares of Common Stock obtained by dividing (x) the aggregate price payable to exercise such rights, options or warrants by</w:t>
      </w:r>
    </w:p>
    <w:p>
      <w:pPr>
        <w:spacing w:after="0" w:line="30" w:lineRule="exact"/>
        <w:rPr>
          <w:rFonts w:ascii="Times New Roman" w:cs="Times New Roman" w:eastAsia="Times New Roman" w:hAnsi="Times New Roman"/>
          <w:sz w:val="16"/>
          <w:szCs w:val="16"/>
          <w:i w:val="1"/>
          <w:iCs w:val="1"/>
          <w:color w:val="auto"/>
        </w:rPr>
      </w:pPr>
    </w:p>
    <w:p>
      <w:pPr>
        <w:ind w:left="960" w:hanging="6"/>
        <w:spacing w:after="0" w:line="275" w:lineRule="auto"/>
        <w:tabs>
          <w:tab w:leader="none" w:pos="120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of the Last Reported Sale Prices per share of Common Stock for the ten (10) consecutive Trading Days ending on, and including, the Trading Day immediately before the date such distribution is announced.</w:t>
      </w:r>
    </w:p>
    <w:p>
      <w:pPr>
        <w:spacing w:after="0" w:line="154" w:lineRule="exact"/>
        <w:rPr>
          <w:sz w:val="20"/>
          <w:szCs w:val="20"/>
          <w:color w:val="auto"/>
        </w:rPr>
      </w:pPr>
    </w:p>
    <w:p>
      <w:pPr>
        <w:jc w:val="both"/>
        <w:ind w:left="60"/>
        <w:spacing w:after="0" w:line="267" w:lineRule="auto"/>
        <w:rPr>
          <w:sz w:val="20"/>
          <w:szCs w:val="20"/>
          <w:color w:val="auto"/>
        </w:rPr>
      </w:pPr>
      <w:r>
        <w:rPr>
          <w:rFonts w:ascii="Times New Roman" w:cs="Times New Roman" w:eastAsia="Times New Roman" w:hAnsi="Times New Roman"/>
          <w:sz w:val="16"/>
          <w:szCs w:val="16"/>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58"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b w:val="1"/>
          <w:bCs w:val="1"/>
          <w:color w:val="auto"/>
        </w:rPr>
        <w:t>Section 7(F)(i)(2)</w:t>
      </w:r>
      <w:r>
        <w:rPr>
          <w:rFonts w:ascii="Times New Roman" w:cs="Times New Roman" w:eastAsia="Times New Roman" w:hAnsi="Times New Roman"/>
          <w:sz w:val="16"/>
          <w:szCs w:val="16"/>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 in good faith.</w:t>
      </w:r>
    </w:p>
    <w:p>
      <w:pPr>
        <w:spacing w:after="0" w:line="162" w:lineRule="exact"/>
        <w:rPr>
          <w:sz w:val="20"/>
          <w:szCs w:val="20"/>
          <w:color w:val="auto"/>
        </w:rPr>
      </w:pPr>
    </w:p>
    <w:p>
      <w:pPr>
        <w:ind w:left="600" w:hanging="239"/>
        <w:spacing w:after="0"/>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Spin-Offs and Other Distributed Property</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660" w:firstLine="590"/>
        <w:spacing w:after="0" w:line="279" w:lineRule="auto"/>
        <w:tabs>
          <w:tab w:leader="none" w:pos="1476"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Distributions Other than Spin-Offs</w:t>
      </w:r>
      <w:r>
        <w:rPr>
          <w:rFonts w:ascii="Times New Roman" w:cs="Times New Roman" w:eastAsia="Times New Roman" w:hAnsi="Times New Roman"/>
          <w:sz w:val="16"/>
          <w:szCs w:val="16"/>
          <w:color w:val="auto"/>
        </w:rPr>
        <w:t>. If the Company distributes shares of its Capital Stock, evidences of its indebtedness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or property of the Company, or rights, options or warrants to acquire Capital Stock of the Company or other securities, to all or substantially all holders of the Common Stock, excluding:</w:t>
      </w:r>
    </w:p>
    <w:p>
      <w:pPr>
        <w:spacing w:after="0" w:line="150" w:lineRule="exact"/>
        <w:rPr>
          <w:rFonts w:ascii="Times New Roman" w:cs="Times New Roman" w:eastAsia="Times New Roman" w:hAnsi="Times New Roman"/>
          <w:sz w:val="16"/>
          <w:szCs w:val="16"/>
          <w:color w:val="auto"/>
        </w:rPr>
      </w:pPr>
    </w:p>
    <w:p>
      <w:pPr>
        <w:ind w:left="1260" w:firstLine="583"/>
        <w:spacing w:after="0" w:line="297" w:lineRule="auto"/>
        <w:tabs>
          <w:tab w:leader="none" w:pos="2094"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dividends, distributions, rights, options or warrants for which an adjustment to the Conversion Rate is required pursuant to </w:t>
      </w:r>
      <w:r>
        <w:rPr>
          <w:rFonts w:ascii="Times New Roman" w:cs="Times New Roman" w:eastAsia="Times New Roman" w:hAnsi="Times New Roman"/>
          <w:sz w:val="16"/>
          <w:szCs w:val="16"/>
          <w:b w:val="1"/>
          <w:bCs w:val="1"/>
          <w:color w:val="auto"/>
        </w:rPr>
        <w:t>Section 7(F)(i)(1)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7(F)(i)(2)</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1260" w:firstLine="583"/>
        <w:spacing w:after="0" w:line="297" w:lineRule="auto"/>
        <w:tabs>
          <w:tab w:leader="none" w:pos="2122"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dividends or distributions paid exclusively in cash for which an adjustment to the Conversion Rate is required pursuant to </w:t>
      </w:r>
      <w:r>
        <w:rPr>
          <w:rFonts w:ascii="Times New Roman" w:cs="Times New Roman" w:eastAsia="Times New Roman" w:hAnsi="Times New Roman"/>
          <w:sz w:val="16"/>
          <w:szCs w:val="16"/>
          <w:b w:val="1"/>
          <w:bCs w:val="1"/>
          <w:color w:val="auto"/>
        </w:rPr>
        <w:t>Section 7(F)(i)(4)</w:t>
      </w:r>
      <w:r>
        <w:rPr>
          <w:rFonts w:ascii="Times New Roman" w:cs="Times New Roman" w:eastAsia="Times New Roman" w:hAnsi="Times New Roman"/>
          <w:sz w:val="16"/>
          <w:szCs w:val="16"/>
          <w:color w:val="auto"/>
        </w:rPr>
        <w:t>;</w:t>
      </w:r>
    </w:p>
    <w:p>
      <w:pPr>
        <w:spacing w:after="0" w:line="133" w:lineRule="exact"/>
        <w:rPr>
          <w:rFonts w:ascii="Times New Roman" w:cs="Times New Roman" w:eastAsia="Times New Roman" w:hAnsi="Times New Roman"/>
          <w:sz w:val="16"/>
          <w:szCs w:val="16"/>
          <w:color w:val="auto"/>
        </w:rPr>
      </w:pPr>
    </w:p>
    <w:p>
      <w:pPr>
        <w:ind w:left="2080" w:hanging="237"/>
        <w:spacing w:after="0"/>
        <w:tabs>
          <w:tab w:leader="none" w:pos="2080"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rights issued or otherwise distributed pursuant to a stockholder rights plan, except to the extent provided in </w:t>
      </w:r>
      <w:r>
        <w:rPr>
          <w:rFonts w:ascii="Times New Roman" w:cs="Times New Roman" w:eastAsia="Times New Roman" w:hAnsi="Times New Roman"/>
          <w:sz w:val="16"/>
          <w:szCs w:val="16"/>
          <w:b w:val="1"/>
          <w:bCs w:val="1"/>
          <w:color w:val="auto"/>
        </w:rPr>
        <w:t>Section 7(F)</w:t>
      </w:r>
    </w:p>
    <w:p>
      <w:pPr>
        <w:spacing w:after="0" w:line="34"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7" w:right="339" w:bottom="1440" w:gutter="0" w:footer="0" w:header="0"/>
          <w:type w:val="continuous"/>
        </w:sectPr>
      </w:pPr>
    </w:p>
    <w:bookmarkStart w:id="32" w:name="page33"/>
    <w:bookmarkEnd w:id="32"/>
    <w:p>
      <w:pPr>
        <w:ind w:left="3200" w:hanging="237"/>
        <w:spacing w:after="0"/>
        <w:tabs>
          <w:tab w:leader="none" w:pos="32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Spin-Offs for which an adjustment to the Conversion Rate is required pursuant to </w:t>
      </w:r>
      <w:r>
        <w:rPr>
          <w:rFonts w:ascii="Times New Roman" w:cs="Times New Roman" w:eastAsia="Times New Roman" w:hAnsi="Times New Roman"/>
          <w:sz w:val="16"/>
          <w:szCs w:val="16"/>
          <w:b w:val="1"/>
          <w:bCs w:val="1"/>
          <w:color w:val="auto"/>
        </w:rPr>
        <w:t>Section 7(F)(i)(3)(b)</w:t>
      </w:r>
      <w:r>
        <w:rPr>
          <w:rFonts w:ascii="Times New Roman" w:cs="Times New Roman" w:eastAsia="Times New Roman" w:hAnsi="Times New Roman"/>
          <w:sz w:val="16"/>
          <w:szCs w:val="16"/>
          <w:color w:val="auto"/>
        </w:rPr>
        <w:t>; and</w:t>
      </w:r>
    </w:p>
    <w:p>
      <w:pPr>
        <w:spacing w:after="0" w:line="211" w:lineRule="exact"/>
        <w:rPr>
          <w:rFonts w:ascii="Times New Roman" w:cs="Times New Roman" w:eastAsia="Times New Roman" w:hAnsi="Times New Roman"/>
          <w:sz w:val="16"/>
          <w:szCs w:val="16"/>
          <w:color w:val="auto"/>
        </w:rPr>
      </w:pPr>
    </w:p>
    <w:p>
      <w:pPr>
        <w:ind w:left="3180" w:hanging="217"/>
        <w:spacing w:after="0"/>
        <w:tabs>
          <w:tab w:leader="none" w:pos="3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distribution solely pursuant to a Common Stock Change Event, as to which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xml:space="preserve"> will apply,</w:t>
      </w:r>
    </w:p>
    <w:p>
      <w:pPr>
        <w:spacing w:after="0" w:line="21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144780</wp:posOffset>
            </wp:positionV>
            <wp:extent cx="1215390" cy="306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1539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where:</w:t>
            </w:r>
          </w:p>
        </w:tc>
        <w:tc>
          <w:tcPr>
            <w:tcW w:w="9540" w:type="dxa"/>
            <w:vAlign w:val="bottom"/>
          </w:tcPr>
          <w:p>
            <w:pPr>
              <w:spacing w:after="0"/>
              <w:rPr>
                <w:sz w:val="18"/>
                <w:szCs w:val="18"/>
                <w:color w:val="auto"/>
              </w:rPr>
            </w:pPr>
          </w:p>
        </w:tc>
      </w:tr>
      <w:tr>
        <w:trPr>
          <w:trHeight w:val="422"/>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0</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before the Open of Business on the Ex-Dividend Date for such distribution;</w:t>
            </w:r>
          </w:p>
        </w:tc>
      </w:tr>
      <w:tr>
        <w:trPr>
          <w:trHeight w:val="408"/>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1</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after the Open of Business on such Ex-Dividend Date;</w:t>
            </w:r>
          </w:p>
        </w:tc>
      </w:tr>
      <w:tr>
        <w:trPr>
          <w:trHeight w:val="363"/>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SP</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average of the Last Reported Sale Prices per share of Common Stock for the ten (10) consecutive Trading Days ending on, and</w:t>
            </w:r>
          </w:p>
        </w:tc>
      </w:tr>
      <w:tr>
        <w:trPr>
          <w:trHeight w:val="215"/>
        </w:trPr>
        <w:tc>
          <w:tcPr>
            <w:tcW w:w="1700" w:type="dxa"/>
            <w:vAlign w:val="bottom"/>
          </w:tcPr>
          <w:p>
            <w:pPr>
              <w:spacing w:after="0"/>
              <w:rPr>
                <w:sz w:val="18"/>
                <w:szCs w:val="18"/>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including, the Trading Day immediately before such Ex-Dividend Date; and</w:t>
            </w:r>
          </w:p>
        </w:tc>
      </w:tr>
      <w:tr>
        <w:trPr>
          <w:trHeight w:val="378"/>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FMV</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fair market value (as determined by the Board of Directors in good faith), as of such Ex-Dividend Date, of the shares of Capital Stock,</w:t>
            </w:r>
          </w:p>
        </w:tc>
      </w:tr>
      <w:tr>
        <w:trPr>
          <w:trHeight w:val="198"/>
        </w:trPr>
        <w:tc>
          <w:tcPr>
            <w:tcW w:w="1700" w:type="dxa"/>
            <w:vAlign w:val="bottom"/>
          </w:tcPr>
          <w:p>
            <w:pPr>
              <w:spacing w:after="0"/>
              <w:rPr>
                <w:sz w:val="17"/>
                <w:szCs w:val="17"/>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evidences of indebtedness, assets, property, rights, options or warrants distributed per share of Common Stock pursuant to such</w:t>
            </w:r>
          </w:p>
        </w:tc>
      </w:tr>
      <w:tr>
        <w:trPr>
          <w:trHeight w:val="215"/>
        </w:trPr>
        <w:tc>
          <w:tcPr>
            <w:tcW w:w="1700" w:type="dxa"/>
            <w:vAlign w:val="bottom"/>
          </w:tcPr>
          <w:p>
            <w:pPr>
              <w:spacing w:after="0"/>
              <w:rPr>
                <w:sz w:val="18"/>
                <w:szCs w:val="18"/>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w:t>
            </w:r>
          </w:p>
        </w:tc>
      </w:tr>
      <w:tr>
        <w:trPr>
          <w:trHeight w:val="378"/>
        </w:trPr>
        <w:tc>
          <w:tcPr>
            <w:tcW w:w="1700" w:type="dxa"/>
            <w:vAlign w:val="bottom"/>
          </w:tcPr>
          <w:p>
            <w:pPr>
              <w:spacing w:after="0"/>
              <w:rPr>
                <w:sz w:val="24"/>
                <w:szCs w:val="24"/>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if</w:t>
            </w:r>
            <w:r>
              <w:rPr>
                <w:rFonts w:ascii="Times New Roman" w:cs="Times New Roman" w:eastAsia="Times New Roman" w:hAnsi="Times New Roman"/>
                <w:sz w:val="16"/>
                <w:szCs w:val="16"/>
                <w:i w:val="1"/>
                <w:iCs w:val="1"/>
                <w:color w:val="auto"/>
              </w:rPr>
              <w:t xml:space="preserve"> FMV </w:t>
            </w:r>
            <w:r>
              <w:rPr>
                <w:rFonts w:ascii="Times New Roman" w:cs="Times New Roman" w:eastAsia="Times New Roman" w:hAnsi="Times New Roman"/>
                <w:sz w:val="16"/>
                <w:szCs w:val="16"/>
                <w:color w:val="auto"/>
              </w:rPr>
              <w:t>is equal to or greater than</w:t>
            </w:r>
            <w:r>
              <w:rPr>
                <w:rFonts w:ascii="Times New Roman" w:cs="Times New Roman" w:eastAsia="Times New Roman" w:hAnsi="Times New Roman"/>
                <w:sz w:val="16"/>
                <w:szCs w:val="16"/>
                <w:i w:val="1"/>
                <w:iCs w:val="1"/>
                <w:color w:val="auto"/>
              </w:rPr>
              <w:t xml:space="preserve"> SP</w:t>
            </w:r>
            <w:r>
              <w:rPr>
                <w:rFonts w:ascii="Times New Roman" w:cs="Times New Roman" w:eastAsia="Times New Roman" w:hAnsi="Times New Roman"/>
                <w:sz w:val="16"/>
                <w:szCs w:val="16"/>
                <w:color w:val="auto"/>
              </w:rPr>
              <w:t>, then, in lieu of the foregoing adjustment to the Conversion Rate, the Holder will</w:t>
            </w:r>
          </w:p>
        </w:tc>
      </w:tr>
      <w:tr>
        <w:trPr>
          <w:trHeight w:val="198"/>
        </w:trPr>
        <w:tc>
          <w:tcPr>
            <w:tcW w:w="1700" w:type="dxa"/>
            <w:vAlign w:val="bottom"/>
          </w:tcPr>
          <w:p>
            <w:pPr>
              <w:spacing w:after="0"/>
              <w:rPr>
                <w:sz w:val="17"/>
                <w:szCs w:val="17"/>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receive, for each $1,000 Principal Amount of this Note held by this Holder on the record date for such distribution, at the same time and on the</w:t>
            </w:r>
          </w:p>
        </w:tc>
      </w:tr>
      <w:tr>
        <w:trPr>
          <w:trHeight w:val="198"/>
        </w:trPr>
        <w:tc>
          <w:tcPr>
            <w:tcW w:w="1700" w:type="dxa"/>
            <w:vAlign w:val="bottom"/>
          </w:tcPr>
          <w:p>
            <w:pPr>
              <w:spacing w:after="0"/>
              <w:rPr>
                <w:sz w:val="17"/>
                <w:szCs w:val="17"/>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same terms as holders of Common Stock, the amount and kind of shares of Capital Stock, evidences of indebtedness, assets, property, rights,</w:t>
            </w:r>
          </w:p>
        </w:tc>
      </w:tr>
      <w:tr>
        <w:trPr>
          <w:trHeight w:val="198"/>
        </w:trPr>
        <w:tc>
          <w:tcPr>
            <w:tcW w:w="1700" w:type="dxa"/>
            <w:vAlign w:val="bottom"/>
          </w:tcPr>
          <w:p>
            <w:pPr>
              <w:spacing w:after="0"/>
              <w:rPr>
                <w:sz w:val="17"/>
                <w:szCs w:val="17"/>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options or warrants that such Holder would have received if such Holder had owned, on such record date, a number of shares of Common</w:t>
            </w:r>
          </w:p>
        </w:tc>
      </w:tr>
      <w:tr>
        <w:trPr>
          <w:trHeight w:val="215"/>
        </w:trPr>
        <w:tc>
          <w:tcPr>
            <w:tcW w:w="1700" w:type="dxa"/>
            <w:vAlign w:val="bottom"/>
          </w:tcPr>
          <w:p>
            <w:pPr>
              <w:spacing w:after="0"/>
              <w:rPr>
                <w:sz w:val="18"/>
                <w:szCs w:val="18"/>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equal to the Conversion Rate in effect on such record date.</w:t>
            </w:r>
          </w:p>
        </w:tc>
      </w:tr>
      <w:tr>
        <w:trPr>
          <w:trHeight w:val="378"/>
        </w:trPr>
        <w:tc>
          <w:tcPr>
            <w:tcW w:w="1700" w:type="dxa"/>
            <w:vAlign w:val="bottom"/>
          </w:tcPr>
          <w:p>
            <w:pPr>
              <w:spacing w:after="0"/>
              <w:rPr>
                <w:sz w:val="24"/>
                <w:szCs w:val="24"/>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the extent such distribution is not so paid or made, the Conversion Rate will be readjusted to the Conversion Rate that would then be in</w:t>
            </w:r>
          </w:p>
        </w:tc>
      </w:tr>
      <w:tr>
        <w:trPr>
          <w:trHeight w:val="215"/>
        </w:trPr>
        <w:tc>
          <w:tcPr>
            <w:tcW w:w="1700" w:type="dxa"/>
            <w:vAlign w:val="bottom"/>
          </w:tcPr>
          <w:p>
            <w:pPr>
              <w:spacing w:after="0"/>
              <w:rPr>
                <w:sz w:val="18"/>
                <w:szCs w:val="18"/>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 had the adjustment been made on the basis of only the distribution, if any, actually made or paid.</w:t>
            </w:r>
          </w:p>
        </w:tc>
      </w:tr>
      <w:tr>
        <w:trPr>
          <w:trHeight w:val="597"/>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6"/>
                <w:szCs w:val="16"/>
                <w:color w:val="auto"/>
              </w:rPr>
              <w:t>25</w:t>
            </w:r>
          </w:p>
        </w:tc>
      </w:tr>
    </w:tbl>
    <w:p>
      <w:pPr>
        <w:sectPr>
          <w:pgSz w:w="11900" w:h="16838" w:orient="portrait"/>
          <w:cols w:equalWidth="0" w:num="1">
            <w:col w:w="11240"/>
          </w:cols>
          <w:pgMar w:left="320" w:top="835" w:right="339" w:bottom="1440" w:gutter="0" w:footer="0" w:header="0"/>
        </w:sectPr>
      </w:pPr>
    </w:p>
    <w:bookmarkStart w:id="33" w:name="page34"/>
    <w:bookmarkEnd w:id="33"/>
    <w:p>
      <w:pPr>
        <w:jc w:val="both"/>
        <w:ind w:left="1780" w:firstLine="590"/>
        <w:spacing w:after="0" w:line="268" w:lineRule="auto"/>
        <w:tabs>
          <w:tab w:leader="none" w:pos="260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Spin-Offs</w:t>
      </w:r>
      <w:r>
        <w:rPr>
          <w:rFonts w:ascii="Times New Roman" w:cs="Times New Roman" w:eastAsia="Times New Roman" w:hAnsi="Times New Roman"/>
          <w:sz w:val="16"/>
          <w:szCs w:val="16"/>
          <w:color w:val="auto"/>
        </w:rPr>
        <w:t>. If the Company distributes or dividends shares of Capital Stock of any class or series, or similar equity interest, of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relating to an Affiliate, a Subsidiary or other business unit of the Company to all or substantially all holders of the Common Stock (other than solely pursuant to a Common Stock Change Event, as to which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xml:space="preserve"> will apply), and such Capital Stock or equity interest is listed or quoted (or will be listed or quoted upon the consummation of the transaction) on a U.S. national securities exchange (a “</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112395</wp:posOffset>
            </wp:positionV>
            <wp:extent cx="1215390" cy="306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1539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where:</w:t>
            </w:r>
          </w:p>
        </w:tc>
        <w:tc>
          <w:tcPr>
            <w:tcW w:w="9540" w:type="dxa"/>
            <w:vAlign w:val="bottom"/>
          </w:tcPr>
          <w:p>
            <w:pPr>
              <w:spacing w:after="0"/>
              <w:rPr>
                <w:sz w:val="18"/>
                <w:szCs w:val="18"/>
                <w:color w:val="auto"/>
              </w:rPr>
            </w:pPr>
          </w:p>
        </w:tc>
      </w:tr>
      <w:tr>
        <w:trPr>
          <w:trHeight w:val="422"/>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0</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before the Open of Business on the Ex-Dividend Date for such Spin-Off;</w:t>
            </w:r>
          </w:p>
        </w:tc>
      </w:tr>
      <w:tr>
        <w:trPr>
          <w:trHeight w:val="408"/>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1</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after the Open of Business on such Ex-Dividend Date;</w:t>
            </w:r>
          </w:p>
        </w:tc>
      </w:tr>
      <w:tr>
        <w:trPr>
          <w:trHeight w:val="359"/>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FMV</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product of (x) the average of the Last Reported Sale Prices per share or unit of the Capital Stock or equity interests distributed in such</w:t>
            </w:r>
          </w:p>
        </w:tc>
      </w:tr>
      <w:tr>
        <w:trPr>
          <w:trHeight w:val="202"/>
        </w:trPr>
        <w:tc>
          <w:tcPr>
            <w:tcW w:w="1700" w:type="dxa"/>
            <w:vAlign w:val="bottom"/>
          </w:tcPr>
          <w:p>
            <w:pPr>
              <w:spacing w:after="0"/>
              <w:rPr>
                <w:sz w:val="17"/>
                <w:szCs w:val="17"/>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Spin-Off over the ten (10) consecutive Trading Day period (the “</w:t>
            </w:r>
            <w:r>
              <w:rPr>
                <w:rFonts w:ascii="Times New Roman" w:cs="Times New Roman" w:eastAsia="Times New Roman" w:hAnsi="Times New Roman"/>
                <w:sz w:val="16"/>
                <w:szCs w:val="16"/>
                <w:b w:val="1"/>
                <w:bCs w:val="1"/>
                <w:color w:val="auto"/>
              </w:rPr>
              <w:t>Spin-Off Valuation Period</w:t>
            </w:r>
            <w:r>
              <w:rPr>
                <w:rFonts w:ascii="Times New Roman" w:cs="Times New Roman" w:eastAsia="Times New Roman" w:hAnsi="Times New Roman"/>
                <w:sz w:val="16"/>
                <w:szCs w:val="16"/>
                <w:color w:val="auto"/>
              </w:rPr>
              <w:t>”) beginning on, and including, such Ex-</w:t>
            </w:r>
          </w:p>
        </w:tc>
      </w:tr>
      <w:tr>
        <w:trPr>
          <w:trHeight w:val="198"/>
        </w:trPr>
        <w:tc>
          <w:tcPr>
            <w:tcW w:w="1700" w:type="dxa"/>
            <w:vAlign w:val="bottom"/>
          </w:tcPr>
          <w:p>
            <w:pPr>
              <w:spacing w:after="0"/>
              <w:rPr>
                <w:sz w:val="17"/>
                <w:szCs w:val="17"/>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 Date (such average to be determined as if references to Common Stock in the definitions of Last Reported Sale Price, Trading</w:t>
            </w:r>
          </w:p>
        </w:tc>
      </w:tr>
      <w:tr>
        <w:trPr>
          <w:trHeight w:val="198"/>
        </w:trPr>
        <w:tc>
          <w:tcPr>
            <w:tcW w:w="1700" w:type="dxa"/>
            <w:vAlign w:val="bottom"/>
          </w:tcPr>
          <w:p>
            <w:pPr>
              <w:spacing w:after="0"/>
              <w:rPr>
                <w:sz w:val="17"/>
                <w:szCs w:val="17"/>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Day and Market Disruption Event were instead references to such Capital Stock or equity interests); and (y) the number of shares or units</w:t>
            </w:r>
          </w:p>
        </w:tc>
      </w:tr>
      <w:tr>
        <w:trPr>
          <w:trHeight w:val="215"/>
        </w:trPr>
        <w:tc>
          <w:tcPr>
            <w:tcW w:w="1700" w:type="dxa"/>
            <w:vAlign w:val="bottom"/>
          </w:tcPr>
          <w:p>
            <w:pPr>
              <w:spacing w:after="0"/>
              <w:rPr>
                <w:sz w:val="18"/>
                <w:szCs w:val="18"/>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of such Capital Stock or equity interests distributed per share of Common Stock in such Spin-Off; and</w:t>
            </w:r>
          </w:p>
        </w:tc>
      </w:tr>
      <w:tr>
        <w:trPr>
          <w:trHeight w:val="395"/>
        </w:trPr>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SP</w:t>
            </w: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the average of the Last Reported Sale Prices per share of Common Stock for each Trading Day in the Spin-Off Valuation Period.</w:t>
            </w:r>
          </w:p>
        </w:tc>
      </w:tr>
      <w:tr>
        <w:trPr>
          <w:trHeight w:val="378"/>
        </w:trPr>
        <w:tc>
          <w:tcPr>
            <w:tcW w:w="1700" w:type="dxa"/>
            <w:vAlign w:val="bottom"/>
          </w:tcPr>
          <w:p>
            <w:pPr>
              <w:spacing w:after="0"/>
              <w:rPr>
                <w:sz w:val="24"/>
                <w:szCs w:val="24"/>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The adjustment to the Conversion Rate pursuant to this </w:t>
            </w:r>
            <w:r>
              <w:rPr>
                <w:rFonts w:ascii="Times New Roman" w:cs="Times New Roman" w:eastAsia="Times New Roman" w:hAnsi="Times New Roman"/>
                <w:sz w:val="16"/>
                <w:szCs w:val="16"/>
                <w:b w:val="1"/>
                <w:bCs w:val="1"/>
                <w:color w:val="auto"/>
              </w:rPr>
              <w:t>Section 7(F)(i)(3)(b)</w:t>
            </w:r>
            <w:r>
              <w:rPr>
                <w:rFonts w:ascii="Times New Roman" w:cs="Times New Roman" w:eastAsia="Times New Roman" w:hAnsi="Times New Roman"/>
                <w:sz w:val="16"/>
                <w:szCs w:val="16"/>
                <w:color w:val="auto"/>
              </w:rPr>
              <w:t xml:space="preserve"> will be calculated as of the Close of Business on the last Trading</w:t>
            </w:r>
          </w:p>
        </w:tc>
      </w:tr>
      <w:tr>
        <w:trPr>
          <w:trHeight w:val="198"/>
        </w:trPr>
        <w:tc>
          <w:tcPr>
            <w:tcW w:w="1700" w:type="dxa"/>
            <w:vAlign w:val="bottom"/>
          </w:tcPr>
          <w:p>
            <w:pPr>
              <w:spacing w:after="0"/>
              <w:rPr>
                <w:sz w:val="17"/>
                <w:szCs w:val="17"/>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Day of the Spin-Off Valuation Period but will be given effect immediately after the Open of Business on the Ex-Dividend Date for the Spin-</w:t>
            </w:r>
          </w:p>
        </w:tc>
      </w:tr>
      <w:tr>
        <w:trPr>
          <w:trHeight w:val="198"/>
        </w:trPr>
        <w:tc>
          <w:tcPr>
            <w:tcW w:w="1700" w:type="dxa"/>
            <w:vAlign w:val="bottom"/>
          </w:tcPr>
          <w:p>
            <w:pPr>
              <w:spacing w:after="0"/>
              <w:rPr>
                <w:sz w:val="17"/>
                <w:szCs w:val="17"/>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 with retroactive effect. If a Note is converted and the Conversion Date occurs during the Spin-Off Valuation Period, then, notwithstanding</w:t>
            </w:r>
          </w:p>
        </w:tc>
      </w:tr>
      <w:tr>
        <w:trPr>
          <w:trHeight w:val="198"/>
        </w:trPr>
        <w:tc>
          <w:tcPr>
            <w:tcW w:w="1700" w:type="dxa"/>
            <w:vAlign w:val="bottom"/>
          </w:tcPr>
          <w:p>
            <w:pPr>
              <w:spacing w:after="0"/>
              <w:rPr>
                <w:sz w:val="17"/>
                <w:szCs w:val="17"/>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anything to the contrary in this Note, the Company will, if necessary, delay the settlement of such conversion until the second (2nd) Business</w:t>
            </w:r>
          </w:p>
        </w:tc>
      </w:tr>
      <w:tr>
        <w:trPr>
          <w:trHeight w:val="215"/>
        </w:trPr>
        <w:tc>
          <w:tcPr>
            <w:tcW w:w="1700" w:type="dxa"/>
            <w:vAlign w:val="bottom"/>
          </w:tcPr>
          <w:p>
            <w:pPr>
              <w:spacing w:after="0"/>
              <w:rPr>
                <w:sz w:val="18"/>
                <w:szCs w:val="18"/>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Day after the last day of the Spin-Off Valuation Period.</w:t>
            </w:r>
          </w:p>
        </w:tc>
      </w:tr>
      <w:tr>
        <w:trPr>
          <w:trHeight w:val="597"/>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6"/>
                <w:szCs w:val="16"/>
                <w:color w:val="auto"/>
              </w:rPr>
              <w:t>26</w:t>
            </w:r>
          </w:p>
        </w:tc>
      </w:tr>
    </w:tbl>
    <w:p>
      <w:pPr>
        <w:sectPr>
          <w:pgSz w:w="11900" w:h="16838" w:orient="portrait"/>
          <w:cols w:equalWidth="0" w:num="1">
            <w:col w:w="11240"/>
          </w:cols>
          <w:pgMar w:left="320" w:top="837" w:right="339" w:bottom="1440" w:gutter="0" w:footer="0" w:header="0"/>
        </w:sectPr>
      </w:pPr>
    </w:p>
    <w:bookmarkStart w:id="34" w:name="page35"/>
    <w:bookmarkEnd w:id="34"/>
    <w:p>
      <w:pPr>
        <w:jc w:val="both"/>
        <w:ind w:left="660"/>
        <w:spacing w:after="0" w:line="280" w:lineRule="auto"/>
        <w:rPr>
          <w:sz w:val="20"/>
          <w:szCs w:val="20"/>
          <w:color w:val="auto"/>
        </w:rPr>
      </w:pPr>
      <w:r>
        <w:rPr>
          <w:rFonts w:ascii="Times New Roman" w:cs="Times New Roman" w:eastAsia="Times New Roman" w:hAnsi="Times New Roman"/>
          <w:sz w:val="16"/>
          <w:szCs w:val="16"/>
          <w:color w:val="auto"/>
        </w:rPr>
        <w:t xml:space="preserve">To the extent any dividend or distribution of the type set forth in this </w:t>
      </w:r>
      <w:r>
        <w:rPr>
          <w:rFonts w:ascii="Times New Roman" w:cs="Times New Roman" w:eastAsia="Times New Roman" w:hAnsi="Times New Roman"/>
          <w:sz w:val="16"/>
          <w:szCs w:val="16"/>
          <w:b w:val="1"/>
          <w:bCs w:val="1"/>
          <w:color w:val="auto"/>
        </w:rPr>
        <w:t>Section 7(F)(i)(3)(b)</w:t>
      </w:r>
      <w:r>
        <w:rPr>
          <w:rFonts w:ascii="Times New Roman" w:cs="Times New Roman" w:eastAsia="Times New Roman" w:hAnsi="Times New Roman"/>
          <w:sz w:val="16"/>
          <w:szCs w:val="16"/>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48" w:lineRule="exact"/>
        <w:rPr>
          <w:sz w:val="20"/>
          <w:szCs w:val="20"/>
          <w:color w:val="auto"/>
        </w:rPr>
      </w:pPr>
    </w:p>
    <w:p>
      <w:pPr>
        <w:ind w:left="-520" w:firstLine="1177"/>
        <w:spacing w:after="0" w:line="300" w:lineRule="auto"/>
        <w:tabs>
          <w:tab w:leader="none" w:pos="89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Cash Dividends or Distributions</w:t>
      </w:r>
      <w:r>
        <w:rPr>
          <w:rFonts w:ascii="Times New Roman" w:cs="Times New Roman" w:eastAsia="Times New Roman" w:hAnsi="Times New Roman"/>
          <w:sz w:val="16"/>
          <w:szCs w:val="16"/>
          <w:color w:val="auto"/>
        </w:rPr>
        <w:t>. If any cash dividend or distribution is made to all or substantially all holders of Common Stock, then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95885</wp:posOffset>
            </wp:positionV>
            <wp:extent cx="980440" cy="306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044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80" w:type="dxa"/>
            <w:vAlign w:val="bottom"/>
          </w:tcPr>
          <w:p>
            <w:pPr>
              <w:spacing w:after="0"/>
              <w:rPr>
                <w:sz w:val="18"/>
                <w:szCs w:val="18"/>
                <w:color w:val="auto"/>
              </w:rPr>
            </w:pPr>
          </w:p>
        </w:tc>
        <w:tc>
          <w:tcPr>
            <w:tcW w:w="8700" w:type="dxa"/>
            <w:vAlign w:val="bottom"/>
          </w:tcPr>
          <w:p>
            <w:pPr>
              <w:spacing w:after="0"/>
              <w:rPr>
                <w:sz w:val="18"/>
                <w:szCs w:val="18"/>
                <w:color w:val="auto"/>
              </w:rPr>
            </w:pPr>
          </w:p>
        </w:tc>
      </w:tr>
      <w:tr>
        <w:trPr>
          <w:trHeight w:val="422"/>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0</w:t>
            </w:r>
          </w:p>
        </w:tc>
        <w:tc>
          <w:tcPr>
            <w:tcW w:w="8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the Conversion Rate in effect immediately before the Open of Business on the Ex-Dividend Date for such dividend or distribution;</w:t>
            </w:r>
          </w:p>
        </w:tc>
      </w:tr>
      <w:tr>
        <w:trPr>
          <w:trHeight w:val="408"/>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27"/>
                <w:szCs w:val="27"/>
                <w:i w:val="1"/>
                <w:iCs w:val="1"/>
                <w:color w:val="auto"/>
                <w:vertAlign w:val="subscript"/>
              </w:rPr>
              <w:t>1</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w:t>
            </w:r>
          </w:p>
        </w:tc>
      </w:tr>
      <w:tr>
        <w:trPr>
          <w:trHeight w:val="380"/>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SP</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Last Reported Sale Price per share of Common Stock on the Trading Day immediately before such Ex-Dividend Date; and</w:t>
            </w:r>
          </w:p>
        </w:tc>
      </w:tr>
    </w:tbl>
    <w:p>
      <w:pPr>
        <w:spacing w:after="0" w:line="181" w:lineRule="exact"/>
        <w:rPr>
          <w:sz w:val="20"/>
          <w:szCs w:val="20"/>
          <w:color w:val="auto"/>
        </w:rPr>
      </w:pPr>
    </w:p>
    <w:p>
      <w:pPr>
        <w:ind w:left="660" w:hanging="596"/>
        <w:spacing w:after="0"/>
        <w:tabs>
          <w:tab w:leader="none" w:pos="660"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the cash amount distributed per share of Common Stock in such dividend or distribution;</w:t>
      </w:r>
    </w:p>
    <w:p>
      <w:pPr>
        <w:spacing w:after="0" w:line="209" w:lineRule="exact"/>
        <w:rPr>
          <w:sz w:val="20"/>
          <w:szCs w:val="20"/>
          <w:color w:val="auto"/>
        </w:rPr>
      </w:pPr>
    </w:p>
    <w:p>
      <w:pPr>
        <w:jc w:val="both"/>
        <w:ind w:left="60"/>
        <w:spacing w:after="0" w:line="271"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if</w:t>
      </w:r>
      <w:r>
        <w:rPr>
          <w:rFonts w:ascii="Times New Roman" w:cs="Times New Roman" w:eastAsia="Times New Roman" w:hAnsi="Times New Roman"/>
          <w:sz w:val="16"/>
          <w:szCs w:val="16"/>
          <w:i w:val="1"/>
          <w:iCs w:val="1"/>
          <w:color w:val="auto"/>
        </w:rPr>
        <w:t xml:space="preserve"> D </w:t>
      </w:r>
      <w:r>
        <w:rPr>
          <w:rFonts w:ascii="Times New Roman" w:cs="Times New Roman" w:eastAsia="Times New Roman" w:hAnsi="Times New Roman"/>
          <w:sz w:val="16"/>
          <w:szCs w:val="16"/>
          <w:color w:val="auto"/>
        </w:rPr>
        <w:t>is equal to or greater than</w:t>
      </w:r>
      <w:r>
        <w:rPr>
          <w:rFonts w:ascii="Times New Roman" w:cs="Times New Roman" w:eastAsia="Times New Roman" w:hAnsi="Times New Roman"/>
          <w:sz w:val="16"/>
          <w:szCs w:val="16"/>
          <w:i w:val="1"/>
          <w:iCs w:val="1"/>
          <w:color w:val="auto"/>
        </w:rPr>
        <w:t xml:space="preserve"> SP</w:t>
      </w:r>
      <w:r>
        <w:rPr>
          <w:rFonts w:ascii="Times New Roman" w:cs="Times New Roman" w:eastAsia="Times New Roman" w:hAnsi="Times New Roman"/>
          <w:sz w:val="16"/>
          <w:szCs w:val="16"/>
          <w:color w:val="auto"/>
        </w:rPr>
        <w:t>, then, in lieu of the foregoing adjustment to the Conversion Rate, the Holder will receive,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$1,000 Principal Amount of this Note held by the Holder on the record date for such dividend or distribution, at the same time and on the same terms as holders of Common Stock, the amount of cash that such Holder would have received if such Holder had owned, on such record date, a number of shares of Common Stock equal to the Conversion Rate in effect on such record date.</w:t>
      </w:r>
    </w:p>
    <w:p>
      <w:pPr>
        <w:spacing w:after="0" w:line="159" w:lineRule="exact"/>
        <w:rPr>
          <w:sz w:val="20"/>
          <w:szCs w:val="20"/>
          <w:color w:val="auto"/>
        </w:rPr>
      </w:pPr>
    </w:p>
    <w:p>
      <w:pPr>
        <w:jc w:val="both"/>
        <w:ind w:left="60"/>
        <w:spacing w:after="0" w:line="297" w:lineRule="auto"/>
        <w:rPr>
          <w:sz w:val="20"/>
          <w:szCs w:val="20"/>
          <w:color w:val="auto"/>
        </w:rPr>
      </w:pPr>
      <w:r>
        <w:rPr>
          <w:rFonts w:ascii="Times New Roman" w:cs="Times New Roman" w:eastAsia="Times New Roman" w:hAnsi="Times New Roman"/>
          <w:sz w:val="16"/>
          <w:szCs w:val="16"/>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3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5" w:right="339" w:bottom="1440" w:gutter="0" w:footer="0" w:header="0"/>
        </w:sectPr>
      </w:pPr>
    </w:p>
    <w:bookmarkStart w:id="35" w:name="page36"/>
    <w:bookmarkEnd w:id="35"/>
    <w:p>
      <w:pPr>
        <w:jc w:val="both"/>
        <w:ind w:left="-520" w:firstLine="1177"/>
        <w:spacing w:after="0" w:line="266" w:lineRule="auto"/>
        <w:tabs>
          <w:tab w:leader="none" w:pos="89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Tender Offers or Exchange Offers</w:t>
      </w:r>
      <w:r>
        <w:rPr>
          <w:rFonts w:ascii="Times New Roman" w:cs="Times New Roman" w:eastAsia="Times New Roman" w:hAnsi="Times New Roman"/>
          <w:sz w:val="16"/>
          <w:szCs w:val="16"/>
          <w:color w:val="auto"/>
        </w:rPr>
        <w:t>. If the Company or any of its Subsidiaries makes a payment in respect of a tender offer or exchange offer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shares of Common Stock (other than solely pursuant to an odd-lot tender offer pursuant to Rule 13e-4(h)(5) under the Exchange Act), and the value (determined as of the Expiration Time by the Board of Directors in good faith)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on which tenders or exchanges may be made pursuant to such tender or exchange offer (as it may be amended), then the Conversion Rate will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113030</wp:posOffset>
            </wp:positionV>
            <wp:extent cx="1419225" cy="384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9225"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where:</w:t>
      </w:r>
    </w:p>
    <w:p>
      <w:pPr>
        <w:sectPr>
          <w:pgSz w:w="11900" w:h="16838" w:orient="portrait"/>
          <w:cols w:equalWidth="0" w:num="1">
            <w:col w:w="10120"/>
          </w:cols>
          <w:pgMar w:left="1440" w:top="837" w:right="339" w:bottom="1440" w:gutter="0" w:footer="0" w:header="0"/>
        </w:sect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the Conversion Rate in effect immediately before the time (the “</w:t>
      </w:r>
      <w:r>
        <w:rPr>
          <w:rFonts w:ascii="Times New Roman" w:cs="Times New Roman" w:eastAsia="Times New Roman" w:hAnsi="Times New Roman"/>
          <w:sz w:val="16"/>
          <w:szCs w:val="16"/>
          <w:b w:val="1"/>
          <w:bCs w:val="1"/>
          <w:color w:val="auto"/>
        </w:rPr>
        <w:t>Expiration Time</w:t>
      </w:r>
      <w:r>
        <w:rPr>
          <w:rFonts w:ascii="Times New Roman" w:cs="Times New Roman" w:eastAsia="Times New Roman" w:hAnsi="Times New Roman"/>
          <w:sz w:val="16"/>
          <w:szCs w:val="16"/>
          <w:color w:val="auto"/>
        </w:rPr>
        <w:t>”) such tender or exchange offer expires;</w:t>
      </w:r>
    </w:p>
    <w:p>
      <w:pPr>
        <w:spacing w:after="0" w:line="201" w:lineRule="exact"/>
        <w:rPr>
          <w:sz w:val="20"/>
          <w:szCs w:val="20"/>
          <w:color w:val="auto"/>
        </w:rPr>
      </w:pPr>
    </w:p>
    <w:p>
      <w:pPr>
        <w:sectPr>
          <w:pgSz w:w="11900" w:h="16838" w:orient="portrait"/>
          <w:cols w:equalWidth="0" w:num="2">
            <w:col w:w="340" w:space="320"/>
            <w:col w:w="9460"/>
          </w:cols>
          <w:pgMar w:left="1440" w:top="837" w:right="339" w:bottom="1440" w:gutter="0" w:footer="0" w:header="0"/>
          <w:type w:val="continuous"/>
        </w:sectPr>
      </w:pP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the Conversion Rate in effect immediately after the Expiration Time;</w:t>
      </w:r>
    </w:p>
    <w:p>
      <w:pPr>
        <w:spacing w:after="0" w:line="200" w:lineRule="exact"/>
        <w:rPr>
          <w:sz w:val="20"/>
          <w:szCs w:val="20"/>
          <w:color w:val="auto"/>
        </w:rPr>
      </w:pPr>
    </w:p>
    <w:p>
      <w:pPr>
        <w:sectPr>
          <w:pgSz w:w="11900" w:h="16838" w:orient="portrait"/>
          <w:cols w:equalWidth="0" w:num="2">
            <w:col w:w="340" w:space="320"/>
            <w:col w:w="9460"/>
          </w:cols>
          <w:pgMar w:left="1440" w:top="837" w:right="339" w:bottom="1440" w:gutter="0" w:footer="0" w:header="0"/>
          <w:type w:val="continuous"/>
        </w:sectPr>
      </w:pP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AC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hanging="299"/>
        <w:spacing w:after="0" w:line="297"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aggregate value (determined as of the Expiration Time by the Board of Directors in good faith) of all cash and other consideration paid for shares of Common Stock purchased or exchanged in such tender or exchange offer;</w:t>
      </w:r>
    </w:p>
    <w:p>
      <w:pPr>
        <w:spacing w:after="0" w:line="135" w:lineRule="exact"/>
        <w:rPr>
          <w:sz w:val="20"/>
          <w:szCs w:val="20"/>
          <w:color w:val="auto"/>
        </w:rPr>
      </w:pPr>
    </w:p>
    <w:p>
      <w:pPr>
        <w:sectPr>
          <w:pgSz w:w="11900" w:h="16838" w:orient="portrait"/>
          <w:cols w:equalWidth="0" w:num="2">
            <w:col w:w="280" w:space="680"/>
            <w:col w:w="9160"/>
          </w:cols>
          <w:pgMar w:left="1440" w:top="837"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i w:val="1"/>
          <w:iCs w:val="1"/>
          <w:color w:val="auto"/>
        </w:rPr>
        <w:t>OS</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ind w:hanging="299"/>
        <w:spacing w:after="0" w:line="297"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number of shares of Common Stock outstanding immediately before the Expiration Time (including all shares of Common Stock accepted for purchase or exchange in such tender or exchange offer);</w:t>
      </w:r>
    </w:p>
    <w:p>
      <w:pPr>
        <w:spacing w:after="0" w:line="135" w:lineRule="exact"/>
        <w:rPr>
          <w:sz w:val="20"/>
          <w:szCs w:val="20"/>
          <w:color w:val="auto"/>
        </w:rPr>
      </w:pPr>
    </w:p>
    <w:p>
      <w:pPr>
        <w:sectPr>
          <w:pgSz w:w="11900" w:h="16838" w:orient="portrait"/>
          <w:cols w:equalWidth="0" w:num="2">
            <w:col w:w="340" w:space="620"/>
            <w:col w:w="9160"/>
          </w:cols>
          <w:pgMar w:left="1440" w:top="837"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i w:val="1"/>
          <w:iCs w:val="1"/>
          <w:color w:val="auto"/>
        </w:rPr>
        <w:t>OS</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ind w:hanging="299"/>
        <w:spacing w:after="0" w:line="297"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number of shares of Common Stock outstanding immediately after the Expiration Time (excluding all shares of Common Stock accepted for purchase or exchange in such tender or exchange offer); and</w:t>
      </w:r>
    </w:p>
    <w:p>
      <w:pPr>
        <w:spacing w:after="0" w:line="135" w:lineRule="exact"/>
        <w:rPr>
          <w:sz w:val="20"/>
          <w:szCs w:val="20"/>
          <w:color w:val="auto"/>
        </w:rPr>
      </w:pPr>
    </w:p>
    <w:p>
      <w:pPr>
        <w:sectPr>
          <w:pgSz w:w="11900" w:h="16838" w:orient="portrait"/>
          <w:cols w:equalWidth="0" w:num="2">
            <w:col w:w="340" w:space="620"/>
            <w:col w:w="9160"/>
          </w:cols>
          <w:pgMar w:left="1440" w:top="837"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i w:val="1"/>
          <w:iCs w:val="1"/>
          <w:color w:val="auto"/>
        </w:rPr>
        <w:t>SP</w:t>
      </w:r>
    </w:p>
    <w:p>
      <w:pPr>
        <w:spacing w:after="0" w:line="20" w:lineRule="exact"/>
        <w:rPr>
          <w:sz w:val="20"/>
          <w:szCs w:val="20"/>
          <w:color w:val="auto"/>
        </w:rPr>
      </w:pPr>
      <w:r>
        <w:rPr>
          <w:sz w:val="20"/>
          <w:szCs w:val="20"/>
          <w:color w:val="auto"/>
        </w:rPr>
        <w:br w:type="column"/>
      </w:r>
    </w:p>
    <w:p>
      <w:pPr>
        <w:ind w:hanging="299"/>
        <w:spacing w:after="0" w:line="297"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average of the Last Reported Sale Prices per share of Common Stock over the ten (10) consecutive Trading Day period (the “</w:t>
      </w:r>
      <w:r>
        <w:rPr>
          <w:rFonts w:ascii="Times New Roman" w:cs="Times New Roman" w:eastAsia="Times New Roman" w:hAnsi="Times New Roman"/>
          <w:sz w:val="16"/>
          <w:szCs w:val="16"/>
          <w:b w:val="1"/>
          <w:bCs w:val="1"/>
          <w:color w:val="auto"/>
        </w:rPr>
        <w:t>Tender/Exchange Offer Valuation Period</w:t>
      </w:r>
      <w:r>
        <w:rPr>
          <w:rFonts w:ascii="Times New Roman" w:cs="Times New Roman" w:eastAsia="Times New Roman" w:hAnsi="Times New Roman"/>
          <w:sz w:val="16"/>
          <w:szCs w:val="16"/>
          <w:color w:val="auto"/>
        </w:rPr>
        <w:t>”) beginning on, and including, the Trading Day immediately after the Expiration Date;</w:t>
      </w:r>
    </w:p>
    <w:p>
      <w:pPr>
        <w:spacing w:after="0" w:line="133" w:lineRule="exact"/>
        <w:rPr>
          <w:sz w:val="20"/>
          <w:szCs w:val="20"/>
          <w:color w:val="auto"/>
        </w:rPr>
      </w:pPr>
    </w:p>
    <w:p>
      <w:pPr>
        <w:sectPr>
          <w:pgSz w:w="11900" w:h="16838" w:orient="portrait"/>
          <w:cols w:equalWidth="0" w:num="2">
            <w:col w:w="240" w:space="720"/>
            <w:col w:w="9160"/>
          </w:cols>
          <w:pgMar w:left="1440" w:top="837" w:right="339" w:bottom="1440" w:gutter="0" w:footer="0" w:header="0"/>
          <w:type w:val="continuous"/>
        </w:sectPr>
      </w:pPr>
    </w:p>
    <w:p>
      <w:pPr>
        <w:jc w:val="both"/>
        <w:ind w:left="60"/>
        <w:spacing w:after="0" w:line="266"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Conversion Rate will in no event be adjusted down pursuant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7(F)(i)(5)</w:t>
      </w:r>
      <w:r>
        <w:rPr>
          <w:rFonts w:ascii="Times New Roman" w:cs="Times New Roman" w:eastAsia="Times New Roman" w:hAnsi="Times New Roman"/>
          <w:sz w:val="16"/>
          <w:szCs w:val="16"/>
          <w:color w:val="auto"/>
        </w:rPr>
        <w:t>, except to the extent provided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immediately following paragraph. The adjustment to the Conversion Rate pursuant to this </w:t>
      </w:r>
      <w:r>
        <w:rPr>
          <w:rFonts w:ascii="Times New Roman" w:cs="Times New Roman" w:eastAsia="Times New Roman" w:hAnsi="Times New Roman"/>
          <w:sz w:val="16"/>
          <w:szCs w:val="16"/>
          <w:b w:val="1"/>
          <w:bCs w:val="1"/>
          <w:color w:val="auto"/>
        </w:rPr>
        <w:t>Section 7(F)(i)(5)</w:t>
      </w:r>
      <w:r>
        <w:rPr>
          <w:rFonts w:ascii="Times New Roman" w:cs="Times New Roman" w:eastAsia="Times New Roman" w:hAnsi="Times New Roman"/>
          <w:sz w:val="16"/>
          <w:szCs w:val="16"/>
          <w:color w:val="auto"/>
        </w:rPr>
        <w:t xml:space="preserve"> will be calculated as of the Close of Business on the last Trading Day of the Tender/Exchange Offer Valuation Period but will be given effect immediately after the Expiration Time, with retroactive effect. If a Note is converted and the Conversion Date occurs on the Expiration Date or during the Tender/Exchange Offer Valuation Period, then, notwithstanding anything to the contrary in this Note, the Company will, if necessary, delay the settlement of such conversion until the second (2nd) Business Day after the last day of the Tender/Exchange Offer Valuation Period.</w:t>
      </w:r>
    </w:p>
    <w:p>
      <w:pPr>
        <w:spacing w:after="0" w:line="3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7" w:right="339" w:bottom="1440" w:gutter="0" w:footer="0" w:header="0"/>
          <w:type w:val="continuous"/>
        </w:sectPr>
      </w:pPr>
    </w:p>
    <w:bookmarkStart w:id="36" w:name="page37"/>
    <w:bookmarkEnd w:id="36"/>
    <w:p>
      <w:pPr>
        <w:jc w:val="both"/>
        <w:ind w:left="60"/>
        <w:spacing w:after="0" w:line="271" w:lineRule="auto"/>
        <w:rPr>
          <w:sz w:val="20"/>
          <w:szCs w:val="20"/>
          <w:color w:val="auto"/>
        </w:rPr>
      </w:pPr>
      <w:r>
        <w:rPr>
          <w:rFonts w:ascii="Times New Roman" w:cs="Times New Roman" w:eastAsia="Times New Roman" w:hAnsi="Times New Roman"/>
          <w:sz w:val="16"/>
          <w:szCs w:val="16"/>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55" w:lineRule="exact"/>
        <w:rPr>
          <w:sz w:val="20"/>
          <w:szCs w:val="20"/>
          <w:color w:val="auto"/>
        </w:rPr>
      </w:pPr>
    </w:p>
    <w:p>
      <w:pPr>
        <w:ind w:left="300" w:hanging="236"/>
        <w:spacing w:after="0"/>
        <w:tabs>
          <w:tab w:leader="none" w:pos="3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Adjustments in Certain Cases</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jc w:val="both"/>
        <w:ind w:left="-520" w:firstLine="881"/>
        <w:spacing w:after="0" w:line="266" w:lineRule="auto"/>
        <w:tabs>
          <w:tab w:leader="none" w:pos="60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Where the Holder Participates in the Transaction or Event Without Conversion</w:t>
      </w:r>
      <w:r>
        <w:rPr>
          <w:rFonts w:ascii="Times New Roman" w:cs="Times New Roman" w:eastAsia="Times New Roman" w:hAnsi="Times New Roman"/>
          <w:sz w:val="16"/>
          <w:szCs w:val="16"/>
          <w:color w:val="auto"/>
        </w:rPr>
        <w:t>. Notwithstanding anything to the contrary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7(F)(i)</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Company will not be obligated to adjust the Conversion Rate on account of a transaction or other event otherwise requiring an adjustment pursuant to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7(F)(i) </w:t>
      </w:r>
      <w:r>
        <w:rPr>
          <w:rFonts w:ascii="Times New Roman" w:cs="Times New Roman" w:eastAsia="Times New Roman" w:hAnsi="Times New Roman"/>
          <w:sz w:val="16"/>
          <w:szCs w:val="16"/>
          <w:color w:val="auto"/>
        </w:rPr>
        <w:t>(other than a stock split or combination of the type set forth in</w:t>
      </w:r>
      <w:r>
        <w:rPr>
          <w:rFonts w:ascii="Times New Roman" w:cs="Times New Roman" w:eastAsia="Times New Roman" w:hAnsi="Times New Roman"/>
          <w:sz w:val="16"/>
          <w:szCs w:val="16"/>
          <w:b w:val="1"/>
          <w:bCs w:val="1"/>
          <w:color w:val="auto"/>
        </w:rPr>
        <w:t xml:space="preserve"> Section 7(F)(i)(1) </w:t>
      </w:r>
      <w:r>
        <w:rPr>
          <w:rFonts w:ascii="Times New Roman" w:cs="Times New Roman" w:eastAsia="Times New Roman" w:hAnsi="Times New Roman"/>
          <w:sz w:val="16"/>
          <w:szCs w:val="16"/>
          <w:color w:val="auto"/>
        </w:rPr>
        <w:t>or a tender or exchange offer of the type set forth in</w:t>
      </w:r>
      <w:r>
        <w:rPr>
          <w:rFonts w:ascii="Times New Roman" w:cs="Times New Roman" w:eastAsia="Times New Roman" w:hAnsi="Times New Roman"/>
          <w:sz w:val="16"/>
          <w:szCs w:val="16"/>
          <w:b w:val="1"/>
          <w:bCs w:val="1"/>
          <w:color w:val="auto"/>
        </w:rPr>
        <w:t xml:space="preserve"> Section 7(F)(i)(5)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the Holder participates, at the same time and on the same terms as holders of Common Stock, and solely by virtue of being the Holder of this Note, in such transaction or event without having to convert this Note and as if the Holder held a number of shares of Common Stock equal to the product of (i) the Conversion Rate in effect on the related record date; and (ii) the aggregate Principal Amount (expressed in thousands) of this Note held by this Holder on such date.</w:t>
      </w:r>
    </w:p>
    <w:p>
      <w:pPr>
        <w:spacing w:after="0" w:line="159" w:lineRule="exact"/>
        <w:rPr>
          <w:rFonts w:ascii="Times New Roman" w:cs="Times New Roman" w:eastAsia="Times New Roman" w:hAnsi="Times New Roman"/>
          <w:sz w:val="16"/>
          <w:szCs w:val="16"/>
          <w:color w:val="auto"/>
        </w:rPr>
      </w:pPr>
    </w:p>
    <w:p>
      <w:pPr>
        <w:ind w:left="-520" w:firstLine="881"/>
        <w:spacing w:after="0" w:line="302" w:lineRule="auto"/>
        <w:tabs>
          <w:tab w:leader="none" w:pos="60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Certain Events</w:t>
      </w:r>
      <w:r>
        <w:rPr>
          <w:rFonts w:ascii="Times New Roman" w:cs="Times New Roman" w:eastAsia="Times New Roman" w:hAnsi="Times New Roman"/>
          <w:sz w:val="16"/>
          <w:szCs w:val="16"/>
          <w:color w:val="auto"/>
        </w:rPr>
        <w:t>. The Company will not be required to adjust the Conversion Rate except as provided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limiting the foregoing, the Company will not be obligated to adjust the Conversion Rate on account of:</w:t>
      </w:r>
    </w:p>
    <w:p>
      <w:pPr>
        <w:spacing w:after="0" w:line="129" w:lineRule="exact"/>
        <w:rPr>
          <w:rFonts w:ascii="Times New Roman" w:cs="Times New Roman" w:eastAsia="Times New Roman" w:hAnsi="Times New Roman"/>
          <w:sz w:val="16"/>
          <w:szCs w:val="16"/>
          <w:color w:val="auto"/>
        </w:rPr>
      </w:pPr>
    </w:p>
    <w:p>
      <w:pPr>
        <w:ind w:left="660" w:firstLine="590"/>
        <w:spacing w:after="0" w:line="302" w:lineRule="auto"/>
        <w:tabs>
          <w:tab w:leader="none" w:pos="1485" w:val="left"/>
        </w:tabs>
        <w:numPr>
          <w:ilvl w:val="2"/>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provided in </w:t>
      </w:r>
      <w:r>
        <w:rPr>
          <w:rFonts w:ascii="Times New Roman" w:cs="Times New Roman" w:eastAsia="Times New Roman" w:hAnsi="Times New Roman"/>
          <w:sz w:val="16"/>
          <w:szCs w:val="16"/>
          <w:b w:val="1"/>
          <w:bCs w:val="1"/>
          <w:color w:val="auto"/>
        </w:rPr>
        <w:t>Section 7(F)</w:t>
      </w:r>
      <w:r>
        <w:rPr>
          <w:rFonts w:ascii="Times New Roman" w:cs="Times New Roman" w:eastAsia="Times New Roman" w:hAnsi="Times New Roman"/>
          <w:sz w:val="16"/>
          <w:szCs w:val="16"/>
          <w:color w:val="auto"/>
        </w:rPr>
        <w:t>, the sale of any Equity Interests or Equity Rights in any Equity Issuance, including any such Equity Issuance for a purchase price that is less than the market price per share of Common Stock or less than the Conversion Price;</w:t>
      </w:r>
    </w:p>
    <w:p>
      <w:pPr>
        <w:spacing w:after="0" w:line="133" w:lineRule="exact"/>
        <w:rPr>
          <w:rFonts w:ascii="Times New Roman" w:cs="Times New Roman" w:eastAsia="Times New Roman" w:hAnsi="Times New Roman"/>
          <w:sz w:val="16"/>
          <w:szCs w:val="16"/>
          <w:color w:val="auto"/>
        </w:rPr>
      </w:pPr>
    </w:p>
    <w:p>
      <w:pPr>
        <w:ind w:left="660" w:firstLine="590"/>
        <w:spacing w:after="0" w:line="297" w:lineRule="auto"/>
        <w:tabs>
          <w:tab w:leader="none" w:pos="1490" w:val="left"/>
        </w:tabs>
        <w:numPr>
          <w:ilvl w:val="2"/>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any shares of Common Stock pursuant to any present or future plan providing for the reinvestment of dividends or interest payable on the Company’s securities and the investment of additional optional amounts in Common Stock under any such plan;</w:t>
      </w:r>
    </w:p>
    <w:p>
      <w:pPr>
        <w:spacing w:after="0" w:line="137" w:lineRule="exact"/>
        <w:rPr>
          <w:rFonts w:ascii="Times New Roman" w:cs="Times New Roman" w:eastAsia="Times New Roman" w:hAnsi="Times New Roman"/>
          <w:sz w:val="16"/>
          <w:szCs w:val="16"/>
          <w:color w:val="auto"/>
        </w:rPr>
      </w:pPr>
    </w:p>
    <w:p>
      <w:pPr>
        <w:ind w:left="660" w:firstLine="590"/>
        <w:spacing w:after="0" w:line="297" w:lineRule="auto"/>
        <w:tabs>
          <w:tab w:leader="none" w:pos="1477" w:val="left"/>
        </w:tabs>
        <w:numPr>
          <w:ilvl w:val="2"/>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any Equity Interests or Equity Rights pursuant to any present or future employee, director or consultant benefit plan or program of, or assumed by, the Company or any of its Subsidiaries;</w:t>
      </w:r>
    </w:p>
    <w:p>
      <w:pPr>
        <w:spacing w:after="0" w:line="137" w:lineRule="exact"/>
        <w:rPr>
          <w:rFonts w:ascii="Times New Roman" w:cs="Times New Roman" w:eastAsia="Times New Roman" w:hAnsi="Times New Roman"/>
          <w:sz w:val="16"/>
          <w:szCs w:val="16"/>
          <w:color w:val="auto"/>
        </w:rPr>
      </w:pPr>
    </w:p>
    <w:p>
      <w:pPr>
        <w:jc w:val="both"/>
        <w:ind w:left="660" w:firstLine="590"/>
        <w:spacing w:after="0" w:line="277" w:lineRule="auto"/>
        <w:tabs>
          <w:tab w:leader="none" w:pos="1489" w:val="left"/>
        </w:tabs>
        <w:numPr>
          <w:ilvl w:val="2"/>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issuance of any Equity Interests pursuant to any option, warrant, right or convertible or exchangeable security of the Company outstanding as of the Issue Date (other than an adjustment pursuant to </w:t>
      </w:r>
      <w:r>
        <w:rPr>
          <w:rFonts w:ascii="Times New Roman" w:cs="Times New Roman" w:eastAsia="Times New Roman" w:hAnsi="Times New Roman"/>
          <w:sz w:val="16"/>
          <w:szCs w:val="16"/>
          <w:b w:val="1"/>
          <w:bCs w:val="1"/>
          <w:color w:val="auto"/>
        </w:rPr>
        <w:t>Section 7(F)(v)</w:t>
      </w:r>
      <w:r>
        <w:rPr>
          <w:rFonts w:ascii="Times New Roman" w:cs="Times New Roman" w:eastAsia="Times New Roman" w:hAnsi="Times New Roman"/>
          <w:sz w:val="16"/>
          <w:szCs w:val="16"/>
          <w:color w:val="auto"/>
        </w:rPr>
        <w:t xml:space="preserve"> in connection with the separation of rights under the Company’s stockholder rights plan existing, if any, as of the Issue Date);</w:t>
      </w:r>
    </w:p>
    <w:p>
      <w:pPr>
        <w:spacing w:after="0" w:line="3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9" w:right="339" w:bottom="1440" w:gutter="0" w:footer="0" w:header="0"/>
        </w:sectPr>
      </w:pPr>
    </w:p>
    <w:bookmarkStart w:id="37" w:name="page38"/>
    <w:bookmarkEnd w:id="37"/>
    <w:p>
      <w:pPr>
        <w:ind w:left="1180" w:firstLine="590"/>
        <w:spacing w:after="0" w:line="297" w:lineRule="auto"/>
        <w:tabs>
          <w:tab w:leader="none" w:pos="2008"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repurchases of Equity Interests or Equity Rights, including structured or derivative transactions, that are not pursuant to a tender offer as contemplated by </w:t>
      </w:r>
      <w:r>
        <w:rPr>
          <w:rFonts w:ascii="Times New Roman" w:cs="Times New Roman" w:eastAsia="Times New Roman" w:hAnsi="Times New Roman"/>
          <w:sz w:val="16"/>
          <w:szCs w:val="16"/>
          <w:b w:val="1"/>
          <w:bCs w:val="1"/>
          <w:color w:val="auto"/>
        </w:rPr>
        <w:t>Section 7(F)(i)(5)</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1980" w:hanging="210"/>
        <w:spacing w:after="0"/>
        <w:tabs>
          <w:tab w:leader="none" w:pos="198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a change in the par value of the Common Stock; or</w:t>
      </w:r>
    </w:p>
    <w:p>
      <w:pPr>
        <w:spacing w:after="0" w:line="211" w:lineRule="exact"/>
        <w:rPr>
          <w:rFonts w:ascii="Times New Roman" w:cs="Times New Roman" w:eastAsia="Times New Roman" w:hAnsi="Times New Roman"/>
          <w:sz w:val="16"/>
          <w:szCs w:val="16"/>
          <w:color w:val="auto"/>
        </w:rPr>
      </w:pPr>
    </w:p>
    <w:p>
      <w:pPr>
        <w:ind w:left="2000" w:hanging="230"/>
        <w:spacing w:after="0"/>
        <w:tabs>
          <w:tab w:leader="none" w:pos="200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and unpaid interest on this Note.</w:t>
      </w:r>
    </w:p>
    <w:p>
      <w:pPr>
        <w:spacing w:after="0" w:line="209" w:lineRule="exact"/>
        <w:rPr>
          <w:rFonts w:ascii="Times New Roman" w:cs="Times New Roman" w:eastAsia="Times New Roman" w:hAnsi="Times New Roman"/>
          <w:sz w:val="16"/>
          <w:szCs w:val="16"/>
          <w:color w:val="auto"/>
        </w:rPr>
      </w:pPr>
    </w:p>
    <w:p>
      <w:pPr>
        <w:ind w:left="880" w:hanging="296"/>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Adjustments Not Yet Effective. </w:t>
      </w:r>
      <w:r>
        <w:rPr>
          <w:rFonts w:ascii="Times New Roman" w:cs="Times New Roman" w:eastAsia="Times New Roman" w:hAnsi="Times New Roman"/>
          <w:sz w:val="16"/>
          <w:szCs w:val="16"/>
          <w:color w:val="auto"/>
        </w:rPr>
        <w:t>Notwithstanding anything to the contrary in this Note, if:</w:t>
      </w:r>
    </w:p>
    <w:p>
      <w:pPr>
        <w:spacing w:after="0" w:line="213"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is to be converted;</w:t>
      </w:r>
    </w:p>
    <w:p>
      <w:pPr>
        <w:spacing w:after="0" w:line="207" w:lineRule="exact"/>
        <w:rPr>
          <w:rFonts w:ascii="Times New Roman" w:cs="Times New Roman" w:eastAsia="Times New Roman" w:hAnsi="Times New Roman"/>
          <w:sz w:val="16"/>
          <w:szCs w:val="16"/>
          <w:color w:val="auto"/>
        </w:rPr>
      </w:pPr>
    </w:p>
    <w:p>
      <w:pPr>
        <w:jc w:val="both"/>
        <w:ind w:firstLine="881"/>
        <w:spacing w:after="0" w:line="280" w:lineRule="auto"/>
        <w:tabs>
          <w:tab w:leader="none" w:pos="113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16"/>
          <w:szCs w:val="16"/>
          <w:b w:val="1"/>
          <w:bCs w:val="1"/>
          <w:color w:val="auto"/>
        </w:rPr>
        <w:t>Section 7(F)(i)</w:t>
      </w:r>
      <w:r>
        <w:rPr>
          <w:rFonts w:ascii="Times New Roman" w:cs="Times New Roman" w:eastAsia="Times New Roman" w:hAnsi="Times New Roman"/>
          <w:sz w:val="16"/>
          <w:szCs w:val="16"/>
          <w:color w:val="auto"/>
        </w:rPr>
        <w:t xml:space="preserve"> has occurred on or before the Conversion Date for such conversion, but an adjustment to the Conversion Rate for such event has not yet become effective as of such Conversion Date;</w:t>
      </w:r>
    </w:p>
    <w:p>
      <w:pPr>
        <w:spacing w:after="0" w:line="150"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Consideration due upon such conversion includes any whole shares of Common Stock; and</w:t>
      </w:r>
    </w:p>
    <w:p>
      <w:pPr>
        <w:spacing w:after="0" w:line="211"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shares are not entitled to participate in such event (because they were not held on the related record date or otherwise),</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then, solely for purposes of such conversion, the Company will, without duplication, give effect to such adjustment on such Conversion Date.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51" w:lineRule="exact"/>
        <w:rPr>
          <w:sz w:val="20"/>
          <w:szCs w:val="20"/>
          <w:color w:val="auto"/>
        </w:rPr>
      </w:pPr>
    </w:p>
    <w:p>
      <w:pPr>
        <w:ind w:firstLine="584"/>
        <w:spacing w:after="0" w:line="300" w:lineRule="auto"/>
        <w:tabs>
          <w:tab w:leader="none" w:pos="88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Conversion Rate Adjustments where the Converting Holder Participates in the Relevant Transaction or Event. </w:t>
      </w:r>
      <w:r>
        <w:rPr>
          <w:rFonts w:ascii="Times New Roman" w:cs="Times New Roman" w:eastAsia="Times New Roman" w:hAnsi="Times New Roman"/>
          <w:sz w:val="16"/>
          <w:szCs w:val="16"/>
          <w:color w:val="auto"/>
        </w:rPr>
        <w:t>Notwithstanding anything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contrary in this Note, if:</w:t>
      </w:r>
    </w:p>
    <w:p>
      <w:pPr>
        <w:spacing w:after="0" w:line="130"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Conversion Rate adjustment for any dividend or distribution becomes effective on any Ex-Dividend Date pursuant to </w:t>
      </w:r>
      <w:r>
        <w:rPr>
          <w:rFonts w:ascii="Times New Roman" w:cs="Times New Roman" w:eastAsia="Times New Roman" w:hAnsi="Times New Roman"/>
          <w:sz w:val="16"/>
          <w:szCs w:val="16"/>
          <w:b w:val="1"/>
          <w:bCs w:val="1"/>
          <w:color w:val="auto"/>
        </w:rPr>
        <w:t>Section 7(F)(i)</w:t>
      </w:r>
      <w:r>
        <w:rPr>
          <w:rFonts w:ascii="Times New Roman" w:cs="Times New Roman" w:eastAsia="Times New Roman" w:hAnsi="Times New Roman"/>
          <w:sz w:val="16"/>
          <w:szCs w:val="16"/>
          <w:color w:val="auto"/>
        </w:rPr>
        <w:t>;</w:t>
      </w:r>
    </w:p>
    <w:p>
      <w:pPr>
        <w:spacing w:after="0" w:line="215"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Note is to be converted;</w:t>
      </w:r>
    </w:p>
    <w:p>
      <w:pPr>
        <w:spacing w:after="0" w:line="211"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Date for such conversion occurs on or after such Ex-Dividend Date and on or before the related record date;</w:t>
      </w:r>
    </w:p>
    <w:p>
      <w:pPr>
        <w:spacing w:after="0" w:line="211" w:lineRule="exact"/>
        <w:rPr>
          <w:rFonts w:ascii="Times New Roman" w:cs="Times New Roman" w:eastAsia="Times New Roman" w:hAnsi="Times New Roman"/>
          <w:sz w:val="16"/>
          <w:szCs w:val="16"/>
          <w:color w:val="auto"/>
        </w:rPr>
      </w:pPr>
    </w:p>
    <w:p>
      <w:pPr>
        <w:ind w:firstLine="881"/>
        <w:spacing w:after="0" w:line="297" w:lineRule="auto"/>
        <w:tabs>
          <w:tab w:leader="none" w:pos="1134"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Consideration due upon such conversion includes any whole shares of Common Stock based on a Conversion Rate that is adjusted for such dividend or distribution; and</w:t>
      </w:r>
    </w:p>
    <w:p>
      <w:pPr>
        <w:spacing w:after="0" w:line="133"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shares would be entitled to participate in such dividend or distribution (including pursuant to </w:t>
      </w:r>
      <w:r>
        <w:rPr>
          <w:rFonts w:ascii="Times New Roman" w:cs="Times New Roman" w:eastAsia="Times New Roman" w:hAnsi="Times New Roman"/>
          <w:sz w:val="16"/>
          <w:szCs w:val="16"/>
          <w:b w:val="1"/>
          <w:bCs w:val="1"/>
          <w:color w:val="auto"/>
        </w:rPr>
        <w:t>Section 7(C)(ii)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19050</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0"/>
          </w:cols>
          <w:pgMar w:left="920" w:top="839" w:right="339" w:bottom="1440" w:gutter="0" w:footer="0" w:header="0"/>
        </w:sectPr>
      </w:pPr>
    </w:p>
    <w:bookmarkStart w:id="38" w:name="page39"/>
    <w:bookmarkEnd w:id="38"/>
    <w:p>
      <w:pPr>
        <w:jc w:val="both"/>
        <w:ind w:left="8"/>
        <w:spacing w:after="0" w:line="271" w:lineRule="auto"/>
        <w:rPr>
          <w:sz w:val="20"/>
          <w:szCs w:val="20"/>
          <w:color w:val="auto"/>
        </w:rPr>
      </w:pPr>
      <w:r>
        <w:rPr>
          <w:rFonts w:ascii="Times New Roman" w:cs="Times New Roman" w:eastAsia="Times New Roman" w:hAnsi="Times New Roman"/>
          <w:sz w:val="16"/>
          <w:szCs w:val="16"/>
          <w:color w:val="auto"/>
        </w:rPr>
        <w:t>then (x) such Conversion Rate adjustment will not be given effect for such conversion; (y) the shares of Common Stock issuable upon such conversion based on such unadjusted Conversion Rate will not be entitled to participate in such dividend or distribution; and (z)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w:t>
      </w:r>
    </w:p>
    <w:p>
      <w:pPr>
        <w:spacing w:after="0" w:line="155" w:lineRule="exact"/>
        <w:rPr>
          <w:sz w:val="20"/>
          <w:szCs w:val="20"/>
          <w:color w:val="auto"/>
        </w:rPr>
      </w:pPr>
    </w:p>
    <w:p>
      <w:pPr>
        <w:jc w:val="both"/>
        <w:ind w:left="8" w:firstLine="584"/>
        <w:spacing w:after="0" w:line="263" w:lineRule="auto"/>
        <w:tabs>
          <w:tab w:leader="none" w:pos="846"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Rights Plans</w:t>
      </w:r>
      <w:r>
        <w:rPr>
          <w:rFonts w:ascii="Times New Roman" w:cs="Times New Roman" w:eastAsia="Times New Roman" w:hAnsi="Times New Roman"/>
          <w:sz w:val="16"/>
          <w:szCs w:val="16"/>
          <w:color w:val="auto"/>
        </w:rPr>
        <w:t>. If any shares of Common Stock are to be issued upon conversion of any Note and, at the time of such conversion,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Company has in effect any stockholder rights plan, then the Holder of such Note will be entitled to receive, in addition to, and concurrently with the delivery of, the Conversion Consideration otherwise payable under this Note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6"/>
          <w:szCs w:val="16"/>
          <w:b w:val="1"/>
          <w:bCs w:val="1"/>
          <w:color w:val="auto"/>
        </w:rPr>
        <w:t>Section 7(F)(i)(3)</w:t>
      </w:r>
    </w:p>
    <w:p>
      <w:pPr>
        <w:spacing w:after="0" w:line="2" w:lineRule="exact"/>
        <w:rPr>
          <w:rFonts w:ascii="Times New Roman" w:cs="Times New Roman" w:eastAsia="Times New Roman" w:hAnsi="Times New Roman"/>
          <w:sz w:val="16"/>
          <w:szCs w:val="16"/>
          <w:color w:val="auto"/>
        </w:rPr>
      </w:pPr>
    </w:p>
    <w:p>
      <w:pPr>
        <w:ind w:left="8" w:hanging="8"/>
        <w:spacing w:after="0" w:line="275" w:lineRule="auto"/>
        <w:tabs>
          <w:tab w:leader="none" w:pos="246"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152" w:lineRule="exact"/>
        <w:rPr>
          <w:sz w:val="20"/>
          <w:szCs w:val="20"/>
          <w:color w:val="auto"/>
        </w:rPr>
      </w:pPr>
    </w:p>
    <w:p>
      <w:pPr>
        <w:jc w:val="both"/>
        <w:ind w:left="8" w:firstLine="584"/>
        <w:spacing w:after="0" w:line="279"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Limitation on Effecting Transactions Resulting in Certain Adjustments</w:t>
      </w:r>
      <w:r>
        <w:rPr>
          <w:rFonts w:ascii="Times New Roman" w:cs="Times New Roman" w:eastAsia="Times New Roman" w:hAnsi="Times New Roman"/>
          <w:sz w:val="16"/>
          <w:szCs w:val="16"/>
          <w:color w:val="auto"/>
        </w:rPr>
        <w:t>. The Company will not engage in or be a party to any transaction or event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that would require the Conversion Rate to be adjusted pursuant to </w:t>
      </w:r>
      <w:r>
        <w:rPr>
          <w:rFonts w:ascii="Times New Roman" w:cs="Times New Roman" w:eastAsia="Times New Roman" w:hAnsi="Times New Roman"/>
          <w:sz w:val="16"/>
          <w:szCs w:val="16"/>
          <w:b w:val="1"/>
          <w:bCs w:val="1"/>
          <w:color w:val="auto"/>
        </w:rPr>
        <w:t>Section 7(F)(i)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xml:space="preserve"> to an amount that would result in the Conversion Price per share of Common Stock being less than the par value per share of Common Stock.</w:t>
      </w:r>
    </w:p>
    <w:p>
      <w:pPr>
        <w:spacing w:after="0" w:line="148" w:lineRule="exact"/>
        <w:rPr>
          <w:rFonts w:ascii="Times New Roman" w:cs="Times New Roman" w:eastAsia="Times New Roman" w:hAnsi="Times New Roman"/>
          <w:sz w:val="16"/>
          <w:szCs w:val="16"/>
          <w:color w:val="auto"/>
        </w:rPr>
      </w:pPr>
    </w:p>
    <w:p>
      <w:pPr>
        <w:jc w:val="both"/>
        <w:ind w:left="8" w:firstLine="584"/>
        <w:spacing w:after="0" w:line="268" w:lineRule="auto"/>
        <w:tabs>
          <w:tab w:leader="none" w:pos="93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Equitable Adjustments to Prices</w:t>
      </w:r>
      <w:r>
        <w:rPr>
          <w:rFonts w:ascii="Times New Roman" w:cs="Times New Roman" w:eastAsia="Times New Roman" w:hAnsi="Times New Roman"/>
          <w:sz w:val="16"/>
          <w:szCs w:val="16"/>
          <w:color w:val="auto"/>
        </w:rPr>
        <w:t>. Whenever any provision of this Note requires the Company to calculate the average of the Last Reported Sale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Prices, or any function thereof, over a period of multiple days (including to calculate an adjustment to the Conversion Rate), the Company will make proportionate adjustments, if any, to such calculations to account for any adjustment to the Conversion Rate pursuant to </w:t>
      </w:r>
      <w:r>
        <w:rPr>
          <w:rFonts w:ascii="Times New Roman" w:cs="Times New Roman" w:eastAsia="Times New Roman" w:hAnsi="Times New Roman"/>
          <w:sz w:val="16"/>
          <w:szCs w:val="16"/>
          <w:b w:val="1"/>
          <w:bCs w:val="1"/>
          <w:color w:val="auto"/>
        </w:rPr>
        <w:t>Section 7(F)(i)</w:t>
      </w:r>
      <w:r>
        <w:rPr>
          <w:rFonts w:ascii="Times New Roman" w:cs="Times New Roman" w:eastAsia="Times New Roman" w:hAnsi="Times New Roman"/>
          <w:sz w:val="16"/>
          <w:szCs w:val="16"/>
          <w:color w:val="auto"/>
        </w:rPr>
        <w:t xml:space="preserve"> that becomes effective, or any event requiring such an adjustment to the Conversion Rate where the Ex-Dividend Date or effective date, as applicable, of such event occurs, at any time during such period.</w:t>
      </w:r>
    </w:p>
    <w:p>
      <w:pPr>
        <w:spacing w:after="0" w:line="156" w:lineRule="exact"/>
        <w:rPr>
          <w:rFonts w:ascii="Times New Roman" w:cs="Times New Roman" w:eastAsia="Times New Roman" w:hAnsi="Times New Roman"/>
          <w:sz w:val="16"/>
          <w:szCs w:val="16"/>
          <w:color w:val="auto"/>
        </w:rPr>
      </w:pPr>
    </w:p>
    <w:p>
      <w:pPr>
        <w:jc w:val="both"/>
        <w:ind w:left="8" w:firstLine="584"/>
        <w:spacing w:after="0" w:line="276" w:lineRule="auto"/>
        <w:tabs>
          <w:tab w:leader="none" w:pos="9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Calculation of Number of Outstanding Shares of Common Stock</w:t>
      </w:r>
      <w:r>
        <w:rPr>
          <w:rFonts w:ascii="Times New Roman" w:cs="Times New Roman" w:eastAsia="Times New Roman" w:hAnsi="Times New Roman"/>
          <w:sz w:val="16"/>
          <w:szCs w:val="16"/>
          <w:color w:val="auto"/>
        </w:rPr>
        <w:t>. For purposes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7(F)</w:t>
      </w:r>
      <w:r>
        <w:rPr>
          <w:rFonts w:ascii="Times New Roman" w:cs="Times New Roman" w:eastAsia="Times New Roman" w:hAnsi="Times New Roman"/>
          <w:sz w:val="16"/>
          <w:szCs w:val="16"/>
          <w:color w:val="auto"/>
        </w:rPr>
        <w:t>, the number of shares of Common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200" w:lineRule="exact"/>
        <w:rPr>
          <w:sz w:val="20"/>
          <w:szCs w:val="20"/>
          <w:color w:val="auto"/>
        </w:rPr>
      </w:pPr>
    </w:p>
    <w:p>
      <w:pPr>
        <w:spacing w:after="0" w:line="355" w:lineRule="exact"/>
        <w:rPr>
          <w:sz w:val="20"/>
          <w:szCs w:val="20"/>
          <w:color w:val="auto"/>
        </w:rPr>
      </w:pPr>
    </w:p>
    <w:p>
      <w:pPr>
        <w:ind w:left="4948"/>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19050</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8"/>
          </w:cols>
          <w:pgMar w:left="912" w:top="839" w:right="339" w:bottom="1440" w:gutter="0" w:footer="0" w:header="0"/>
        </w:sectPr>
      </w:pPr>
    </w:p>
    <w:bookmarkStart w:id="39" w:name="page40"/>
    <w:bookmarkEnd w:id="39"/>
    <w:p>
      <w:pPr>
        <w:ind w:left="8" w:firstLine="584"/>
        <w:spacing w:after="0" w:line="300" w:lineRule="auto"/>
        <w:tabs>
          <w:tab w:leader="none" w:pos="892"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Calculations</w:t>
      </w:r>
      <w:r>
        <w:rPr>
          <w:rFonts w:ascii="Times New Roman" w:cs="Times New Roman" w:eastAsia="Times New Roman" w:hAnsi="Times New Roman"/>
          <w:sz w:val="16"/>
          <w:szCs w:val="16"/>
          <w:color w:val="auto"/>
        </w:rPr>
        <w:t>. All calculations with respect to the Conversion Rate and adjustments thereto will be made to the nearest 1/10,000th of a share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(with 5/100,000ths rounded upward).</w:t>
      </w:r>
    </w:p>
    <w:p>
      <w:pPr>
        <w:spacing w:after="0" w:line="130" w:lineRule="exact"/>
        <w:rPr>
          <w:rFonts w:ascii="Times New Roman" w:cs="Times New Roman" w:eastAsia="Times New Roman" w:hAnsi="Times New Roman"/>
          <w:sz w:val="16"/>
          <w:szCs w:val="16"/>
          <w:color w:val="auto"/>
        </w:rPr>
      </w:pPr>
    </w:p>
    <w:p>
      <w:pPr>
        <w:jc w:val="both"/>
        <w:ind w:left="8" w:firstLine="584"/>
        <w:spacing w:after="0" w:line="280" w:lineRule="auto"/>
        <w:tabs>
          <w:tab w:leader="none" w:pos="834"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Conversion Rate Adjustments</w:t>
      </w:r>
      <w:r>
        <w:rPr>
          <w:rFonts w:ascii="Times New Roman" w:cs="Times New Roman" w:eastAsia="Times New Roman" w:hAnsi="Times New Roman"/>
          <w:sz w:val="16"/>
          <w:szCs w:val="16"/>
          <w:color w:val="auto"/>
        </w:rPr>
        <w:t>. Upon the effectiveness of any adjustment to the Conversion Rate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7(F)(i)</w:t>
      </w:r>
      <w:r>
        <w:rPr>
          <w:rFonts w:ascii="Times New Roman" w:cs="Times New Roman" w:eastAsia="Times New Roman" w:hAnsi="Times New Roman"/>
          <w:sz w:val="16"/>
          <w:szCs w:val="16"/>
          <w:color w:val="auto"/>
        </w:rPr>
        <w:t>,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promptly send notice to the Holder containing (i) a brief description of the transaction or other event on account of which such adjustment was made; (ii) the Conversion Rate in effect immediately after such adjustment; and (iii) the effective time of such adjustment.</w:t>
      </w:r>
    </w:p>
    <w:p>
      <w:pPr>
        <w:spacing w:after="0" w:line="148" w:lineRule="exact"/>
        <w:rPr>
          <w:rFonts w:ascii="Times New Roman" w:cs="Times New Roman" w:eastAsia="Times New Roman" w:hAnsi="Times New Roman"/>
          <w:sz w:val="16"/>
          <w:szCs w:val="16"/>
          <w:color w:val="auto"/>
        </w:rPr>
      </w:pPr>
    </w:p>
    <w:p>
      <w:pPr>
        <w:ind w:left="268" w:hanging="268"/>
        <w:spacing w:after="0"/>
        <w:tabs>
          <w:tab w:leader="none" w:pos="26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Voluntary Adjustments</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8" w:firstLine="584"/>
        <w:spacing w:after="0" w:line="270" w:lineRule="auto"/>
        <w:tabs>
          <w:tab w:leader="none" w:pos="79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Generally</w:t>
      </w:r>
      <w:r>
        <w:rPr>
          <w:rFonts w:ascii="Times New Roman" w:cs="Times New Roman" w:eastAsia="Times New Roman" w:hAnsi="Times New Roman"/>
          <w:sz w:val="16"/>
          <w:szCs w:val="16"/>
          <w:color w:val="auto"/>
        </w:rPr>
        <w:t>. To the extent permitted by law and applicable stock exchange rules, the Company, from time to time, may (but is not required to) increase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Conversion Rate by any amount if (i) the Board of Directors determines in good faith that such increase is either (x) in the best interest of the Company; or</w:t>
      </w:r>
    </w:p>
    <w:p>
      <w:pPr>
        <w:jc w:val="both"/>
        <w:ind w:left="8"/>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 advisable to avoid or diminish any income tax imposed on holders of Common Stock or rights to purchase Common Stock as a result of any dividend or distribution of shares (or rights to acquire shares) of Common Stock or any similar event and (ii) such increase is irrevocable. The Company and the Holder agree that any such voluntary adjustment to the Conversion Rate and any conversion of any portion of the Note based upon any such voluntary adjustment shall not constitute material non-public information with respect to the Company.</w:t>
      </w:r>
    </w:p>
    <w:p>
      <w:pPr>
        <w:spacing w:after="0" w:line="160" w:lineRule="exact"/>
        <w:rPr>
          <w:rFonts w:ascii="Times New Roman" w:cs="Times New Roman" w:eastAsia="Times New Roman" w:hAnsi="Times New Roman"/>
          <w:sz w:val="16"/>
          <w:szCs w:val="16"/>
          <w:color w:val="auto"/>
        </w:rPr>
      </w:pPr>
    </w:p>
    <w:p>
      <w:pPr>
        <w:jc w:val="both"/>
        <w:ind w:left="8" w:firstLine="584"/>
        <w:spacing w:after="0" w:line="280" w:lineRule="auto"/>
        <w:tabs>
          <w:tab w:leader="none" w:pos="84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Voluntary Increases</w:t>
      </w:r>
      <w:r>
        <w:rPr>
          <w:rFonts w:ascii="Times New Roman" w:cs="Times New Roman" w:eastAsia="Times New Roman" w:hAnsi="Times New Roman"/>
          <w:sz w:val="16"/>
          <w:szCs w:val="16"/>
          <w:color w:val="auto"/>
        </w:rPr>
        <w:t>. If the Board of Directors determines to increase the Conversion Rate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7(G)(i)</w:t>
      </w:r>
      <w:r>
        <w:rPr>
          <w:rFonts w:ascii="Times New Roman" w:cs="Times New Roman" w:eastAsia="Times New Roman" w:hAnsi="Times New Roman"/>
          <w:sz w:val="16"/>
          <w:szCs w:val="16"/>
          <w:color w:val="auto"/>
        </w:rPr>
        <w:t>, then, no later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first Business Day following such determination, the Company will send notice to the Holder of such increase, the amount thereof and the period during which such increase will be in effect.</w:t>
      </w:r>
    </w:p>
    <w:p>
      <w:pPr>
        <w:spacing w:after="0" w:line="148" w:lineRule="exact"/>
        <w:rPr>
          <w:rFonts w:ascii="Times New Roman" w:cs="Times New Roman" w:eastAsia="Times New Roman" w:hAnsi="Times New Roman"/>
          <w:sz w:val="16"/>
          <w:szCs w:val="16"/>
          <w:color w:val="auto"/>
        </w:rPr>
      </w:pPr>
    </w:p>
    <w:p>
      <w:pPr>
        <w:ind w:left="268" w:hanging="268"/>
        <w:spacing w:after="0"/>
        <w:tabs>
          <w:tab w:leader="none" w:pos="26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 of Certain Recapitalizations, Reclassifications, Consolidations, Mergers and Sales</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788" w:hanging="196"/>
        <w:spacing w:after="0"/>
        <w:tabs>
          <w:tab w:leader="none" w:pos="78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Generally</w:t>
      </w:r>
      <w:r>
        <w:rPr>
          <w:rFonts w:ascii="Times New Roman" w:cs="Times New Roman" w:eastAsia="Times New Roman" w:hAnsi="Times New Roman"/>
          <w:sz w:val="16"/>
          <w:szCs w:val="16"/>
          <w:color w:val="auto"/>
        </w:rPr>
        <w:t>. If there occurs:</w:t>
      </w:r>
    </w:p>
    <w:p>
      <w:pPr>
        <w:spacing w:after="0" w:line="213" w:lineRule="exact"/>
        <w:rPr>
          <w:rFonts w:ascii="Times New Roman" w:cs="Times New Roman" w:eastAsia="Times New Roman" w:hAnsi="Times New Roman"/>
          <w:sz w:val="16"/>
          <w:szCs w:val="16"/>
          <w:color w:val="auto"/>
        </w:rPr>
      </w:pPr>
    </w:p>
    <w:p>
      <w:pPr>
        <w:jc w:val="both"/>
        <w:ind w:left="8" w:firstLine="881"/>
        <w:spacing w:after="0" w:line="277" w:lineRule="auto"/>
        <w:tabs>
          <w:tab w:leader="none" w:pos="1138" w:val="left"/>
        </w:tabs>
        <w:numPr>
          <w:ilvl w:val="2"/>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53" w:lineRule="exact"/>
        <w:rPr>
          <w:rFonts w:ascii="Times New Roman" w:cs="Times New Roman" w:eastAsia="Times New Roman" w:hAnsi="Times New Roman"/>
          <w:sz w:val="16"/>
          <w:szCs w:val="16"/>
          <w:color w:val="auto"/>
        </w:rPr>
      </w:pPr>
    </w:p>
    <w:p>
      <w:pPr>
        <w:ind w:left="1128" w:hanging="239"/>
        <w:spacing w:after="0"/>
        <w:tabs>
          <w:tab w:leader="none" w:pos="1128" w:val="left"/>
        </w:tabs>
        <w:numPr>
          <w:ilvl w:val="2"/>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merger, combination or binding or statutory share exchange involving the Company;</w:t>
      </w:r>
    </w:p>
    <w:p>
      <w:pPr>
        <w:spacing w:after="0" w:line="211" w:lineRule="exact"/>
        <w:rPr>
          <w:rFonts w:ascii="Times New Roman" w:cs="Times New Roman" w:eastAsia="Times New Roman" w:hAnsi="Times New Roman"/>
          <w:sz w:val="16"/>
          <w:szCs w:val="16"/>
          <w:color w:val="auto"/>
        </w:rPr>
      </w:pPr>
    </w:p>
    <w:p>
      <w:pPr>
        <w:ind w:left="1128" w:hanging="239"/>
        <w:spacing w:after="0"/>
        <w:tabs>
          <w:tab w:leader="none" w:pos="1128" w:val="left"/>
        </w:tabs>
        <w:numPr>
          <w:ilvl w:val="2"/>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lease or other transfer of all or substantially all of the assets of the Company and its Subsidiaries, taken as a whole, to any Person; or</w:t>
      </w:r>
    </w:p>
    <w:p>
      <w:pPr>
        <w:spacing w:after="0" w:line="211" w:lineRule="exact"/>
        <w:rPr>
          <w:rFonts w:ascii="Times New Roman" w:cs="Times New Roman" w:eastAsia="Times New Roman" w:hAnsi="Times New Roman"/>
          <w:sz w:val="16"/>
          <w:szCs w:val="16"/>
          <w:color w:val="auto"/>
        </w:rPr>
      </w:pPr>
    </w:p>
    <w:p>
      <w:pPr>
        <w:ind w:left="1128" w:hanging="239"/>
        <w:spacing w:after="0"/>
        <w:tabs>
          <w:tab w:leader="none" w:pos="1128" w:val="left"/>
        </w:tabs>
        <w:numPr>
          <w:ilvl w:val="2"/>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similar event,</w:t>
      </w:r>
    </w:p>
    <w:p>
      <w:pPr>
        <w:spacing w:after="0" w:line="200" w:lineRule="exact"/>
        <w:rPr>
          <w:sz w:val="20"/>
          <w:szCs w:val="20"/>
          <w:color w:val="auto"/>
        </w:rPr>
      </w:pPr>
    </w:p>
    <w:p>
      <w:pPr>
        <w:spacing w:after="0" w:line="209" w:lineRule="exact"/>
        <w:rPr>
          <w:sz w:val="20"/>
          <w:szCs w:val="20"/>
          <w:color w:val="auto"/>
        </w:rPr>
      </w:pPr>
    </w:p>
    <w:p>
      <w:pPr>
        <w:ind w:left="4948"/>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19050</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8"/>
          </w:cols>
          <w:pgMar w:left="912" w:top="837" w:right="339" w:bottom="1440" w:gutter="0" w:footer="0" w:header="0"/>
        </w:sectPr>
      </w:pPr>
    </w:p>
    <w:bookmarkStart w:id="40" w:name="page41"/>
    <w:bookmarkEnd w:id="40"/>
    <w:p>
      <w:pPr>
        <w:jc w:val="both"/>
        <w:spacing w:after="0" w:line="260" w:lineRule="auto"/>
        <w:rPr>
          <w:sz w:val="20"/>
          <w:szCs w:val="20"/>
          <w:color w:val="auto"/>
        </w:rPr>
      </w:pPr>
      <w:r>
        <w:rPr>
          <w:rFonts w:ascii="Times New Roman" w:cs="Times New Roman" w:eastAsia="Times New Roman" w:hAnsi="Times New Roman"/>
          <w:sz w:val="16"/>
          <w:szCs w:val="16"/>
          <w:color w:val="auto"/>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cs="Times New Roman" w:eastAsia="Times New Roman" w:hAnsi="Times New Roman"/>
          <w:sz w:val="16"/>
          <w:szCs w:val="16"/>
          <w:b w:val="1"/>
          <w:bCs w:val="1"/>
          <w:color w:val="auto"/>
        </w:rPr>
        <w:t>Common Stock Change Event</w:t>
      </w:r>
      <w:r>
        <w:rPr>
          <w:rFonts w:ascii="Times New Roman" w:cs="Times New Roman" w:eastAsia="Times New Roman" w:hAnsi="Times New Roman"/>
          <w:sz w:val="16"/>
          <w:szCs w:val="16"/>
          <w:color w:val="auto"/>
        </w:rPr>
        <w:t>,” and such other securities or other property, the “</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Times New Roman" w:cs="Times New Roman" w:eastAsia="Times New Roman" w:hAnsi="Times New Roman"/>
          <w:sz w:val="16"/>
          <w:szCs w:val="16"/>
          <w:b w:val="1"/>
          <w:bCs w:val="1"/>
          <w:color w:val="auto"/>
        </w:rPr>
        <w:t>Reference Property Unit</w:t>
      </w:r>
      <w:r>
        <w:rPr>
          <w:rFonts w:ascii="Times New Roman" w:cs="Times New Roman" w:eastAsia="Times New Roman" w:hAnsi="Times New Roman"/>
          <w:sz w:val="16"/>
          <w:szCs w:val="16"/>
          <w:color w:val="auto"/>
        </w:rPr>
        <w:t xml:space="preserve">”), then, notwithstanding anything to the contrary in this Note, at the effective time of such Common Stock Change Event, (x) the Conversion Consideration due upon conversion of any Note will be determined in the same manner as if each reference to any number of shares of Common Stock in this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xml:space="preserve"> (or in any related definitions) were instead a reference to the same number of Reference Property Units; (y) for purposes of </w:t>
      </w:r>
      <w:r>
        <w:rPr>
          <w:rFonts w:ascii="Times New Roman" w:cs="Times New Roman" w:eastAsia="Times New Roman" w:hAnsi="Times New Roman"/>
          <w:sz w:val="16"/>
          <w:szCs w:val="16"/>
          <w:b w:val="1"/>
          <w:bCs w:val="1"/>
          <w:color w:val="auto"/>
        </w:rPr>
        <w:t>Section 7(A)</w:t>
      </w:r>
      <w:r>
        <w:rPr>
          <w:rFonts w:ascii="Times New Roman" w:cs="Times New Roman" w:eastAsia="Times New Roman" w:hAnsi="Times New Roman"/>
          <w:sz w:val="16"/>
          <w:szCs w:val="16"/>
          <w:color w:val="auto"/>
        </w:rPr>
        <w:t>, each reference to any number of shares of Common Stock in such Section (or in any related definitions) will instead be deemed to be a reference to the same number of Reference Property Units; and (z) for purposes of the definition of “Fundamental Change,” the term “ Common Stock” and “common equity” will be deemed to mean the common equity, if any, forming part of such Reference Property. For these purposes, (I) 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At or before the effective date of such Common Stock Change Event, the Company and the resulting, surviving or transferee Person (if not the Company) of such Common Stock Change Event (the “</w:t>
      </w:r>
      <w:r>
        <w:rPr>
          <w:rFonts w:ascii="Times New Roman" w:cs="Times New Roman" w:eastAsia="Times New Roman" w:hAnsi="Times New Roman"/>
          <w:sz w:val="16"/>
          <w:szCs w:val="16"/>
          <w:b w:val="1"/>
          <w:bCs w:val="1"/>
          <w:color w:val="auto"/>
        </w:rPr>
        <w:t>Successor Person</w:t>
      </w:r>
      <w:r>
        <w:rPr>
          <w:rFonts w:ascii="Times New Roman" w:cs="Times New Roman" w:eastAsia="Times New Roman" w:hAnsi="Times New Roman"/>
          <w:sz w:val="16"/>
          <w:szCs w:val="16"/>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xml:space="preserve">; (y) provides for subsequent adjustments to the Conversion Rate pursuant to </w:t>
      </w:r>
      <w:r>
        <w:rPr>
          <w:rFonts w:ascii="Times New Roman" w:cs="Times New Roman" w:eastAsia="Times New Roman" w:hAnsi="Times New Roman"/>
          <w:sz w:val="16"/>
          <w:szCs w:val="16"/>
          <w:b w:val="1"/>
          <w:bCs w:val="1"/>
          <w:color w:val="auto"/>
        </w:rPr>
        <w:t>Section 7(F)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7(G)</w:t>
      </w:r>
      <w:r>
        <w:rPr>
          <w:rFonts w:ascii="Times New Roman" w:cs="Times New Roman" w:eastAsia="Times New Roman" w:hAnsi="Times New Roman"/>
          <w:sz w:val="16"/>
          <w:szCs w:val="16"/>
          <w:color w:val="auto"/>
        </w:rPr>
        <w:t xml:space="preserve"> in a manner consistent with this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xml:space="preserve">; and (z)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6"/>
          <w:szCs w:val="16"/>
          <w:b w:val="1"/>
          <w:bCs w:val="1"/>
          <w:color w:val="auto"/>
        </w:rPr>
        <w:t>Section 7(H)</w:t>
      </w:r>
      <w:r>
        <w:rPr>
          <w:rFonts w:ascii="Times New Roman" w:cs="Times New Roman" w:eastAsia="Times New Roman" w:hAnsi="Times New Roman"/>
          <w:sz w:val="16"/>
          <w:szCs w:val="16"/>
          <w:color w:val="auto"/>
        </w:rPr>
        <w:t>. If the Reference Property includes shares of stock or other securities or assets of a Person other than the Successor Person, then such other Person will also execute such instruments or agreements and such instruments or agreements will contain such additional provisions the Company reasonably determines are appropriate to preserve the economic interests of the Holder.</w:t>
      </w:r>
    </w:p>
    <w:p>
      <w:pPr>
        <w:spacing w:after="0" w:line="3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19050</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0"/>
          </w:cols>
          <w:pgMar w:left="920" w:top="839" w:right="339" w:bottom="1440" w:gutter="0" w:footer="0" w:header="0"/>
        </w:sectPr>
      </w:pPr>
    </w:p>
    <w:bookmarkStart w:id="41" w:name="page42"/>
    <w:bookmarkEnd w:id="41"/>
    <w:p>
      <w:pPr>
        <w:jc w:val="both"/>
        <w:ind w:left="600" w:firstLine="584"/>
        <w:spacing w:after="0" w:line="279" w:lineRule="auto"/>
        <w:tabs>
          <w:tab w:leader="none" w:pos="1435"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Common Stock Change Events</w:t>
      </w:r>
      <w:r>
        <w:rPr>
          <w:rFonts w:ascii="Times New Roman" w:cs="Times New Roman" w:eastAsia="Times New Roman" w:hAnsi="Times New Roman"/>
          <w:sz w:val="16"/>
          <w:szCs w:val="16"/>
          <w:color w:val="auto"/>
        </w:rPr>
        <w:t>. As soon as practicable after learning the anticipated or actual effective date of any Common Stock 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 the Company will provide written notice to the Holder of such Common Stock Change Event, including a brief description of such Common Stock Change Event, its anticipated effective date and a brief description of the anticipated change in the conversion right of this Note.</w:t>
      </w:r>
    </w:p>
    <w:p>
      <w:pPr>
        <w:spacing w:after="0" w:line="146" w:lineRule="exact"/>
        <w:rPr>
          <w:rFonts w:ascii="Times New Roman" w:cs="Times New Roman" w:eastAsia="Times New Roman" w:hAnsi="Times New Roman"/>
          <w:sz w:val="16"/>
          <w:szCs w:val="16"/>
          <w:color w:val="auto"/>
        </w:rPr>
      </w:pPr>
    </w:p>
    <w:p>
      <w:pPr>
        <w:ind w:left="1480" w:hanging="296"/>
        <w:spacing w:after="0"/>
        <w:tabs>
          <w:tab w:leader="none" w:pos="14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Covenant</w:t>
      </w:r>
      <w:r>
        <w:rPr>
          <w:rFonts w:ascii="Times New Roman" w:cs="Times New Roman" w:eastAsia="Times New Roman" w:hAnsi="Times New Roman"/>
          <w:sz w:val="16"/>
          <w:szCs w:val="16"/>
          <w:color w:val="auto"/>
        </w:rPr>
        <w:t>. The Company will not become a party to any Common Stock Change Event unless its terms are consistent with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w:t>
      </w:r>
    </w:p>
    <w:p>
      <w:pPr>
        <w:spacing w:after="0" w:line="34"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7(H)</w:t>
      </w:r>
      <w:r>
        <w:rPr>
          <w:rFonts w:ascii="Times New Roman" w:cs="Times New Roman" w:eastAsia="Times New Roman" w:hAnsi="Times New Roman"/>
          <w:sz w:val="16"/>
          <w:szCs w:val="16"/>
          <w:color w:val="auto"/>
        </w:rPr>
        <w:t>.</w:t>
      </w:r>
    </w:p>
    <w:p>
      <w:pPr>
        <w:spacing w:after="0" w:line="192" w:lineRule="exact"/>
        <w:rPr>
          <w:rFonts w:ascii="Times New Roman" w:cs="Times New Roman" w:eastAsia="Times New Roman" w:hAnsi="Times New Roman"/>
          <w:sz w:val="16"/>
          <w:szCs w:val="16"/>
          <w:color w:val="auto"/>
        </w:rPr>
      </w:pPr>
    </w:p>
    <w:p>
      <w:pPr>
        <w:jc w:val="both"/>
        <w:ind w:firstLine="592"/>
        <w:spacing w:after="0" w:line="258" w:lineRule="auto"/>
        <w:tabs>
          <w:tab w:leader="none" w:pos="81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Limitations on Conversions. </w:t>
      </w:r>
      <w:r>
        <w:rPr>
          <w:rFonts w:ascii="Times New Roman" w:cs="Times New Roman" w:eastAsia="Times New Roman" w:hAnsi="Times New Roman"/>
          <w:sz w:val="16"/>
          <w:szCs w:val="16"/>
          <w:color w:val="auto"/>
        </w:rPr>
        <w:t>Notwithstanding anything to the contrary contained herein, the Company shall not effect the conversion of any portion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or otherwise issue shares pursuant to this Note, and the Holder shall not have the right to convert any portion of this Note, pursuant to the terms and conditions of this Note and any such conversion or issuance shall be null and void and treated as if never made, to the extent that after giving effect to such conversion or issuance, the Holder together with the other Attribution Parties collectively would beneficially own in the aggregate in excess of 4.99% (the “</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xml:space="preserve">”) of the number of shares of Common Stock outstanding immediately after giving effect to such conversion or issuance.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or otherwise pursuant to, this Note with respect to which the determination of such sentence is being made, but shall exclude the number of shares of Common Stock which would be issuable upon (A) conversion of the remaining, unconverted portion of this Note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 beneficial ownership shall be calculated in accordance with Section 13(d) of the Exchange Act. For purposes of this Note, in determining the number of outstanding shares of Common Stock the Holder may acquire in connection with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Commission, as the case may be, (y) a more recent public announcement by the Company or (z) any other written notice by the Company or the Transfer Agent (as defined in the Securities Purchase Agreement) setting forth the number of shares of Common Stock outstanding (the “</w:t>
      </w:r>
      <w:r>
        <w:rPr>
          <w:rFonts w:ascii="Times New Roman" w:cs="Times New Roman" w:eastAsia="Times New Roman" w:hAnsi="Times New Roman"/>
          <w:sz w:val="16"/>
          <w:szCs w:val="16"/>
          <w:b w:val="1"/>
          <w:bCs w:val="1"/>
          <w:color w:val="auto"/>
        </w:rPr>
        <w:t>Reported Outstanding Share Number</w:t>
      </w:r>
      <w:r>
        <w:rPr>
          <w:rFonts w:ascii="Times New Roman" w:cs="Times New Roman" w:eastAsia="Times New Roman" w:hAnsi="Times New Roman"/>
          <w:sz w:val="16"/>
          <w:szCs w:val="16"/>
          <w:color w:val="auto"/>
        </w:rPr>
        <w:t xml:space="preserve">”). If the Company receives a notice from the Holder related to the conversion of this Note or any issuance of shares of Common Stock in connection with this Note at a time when the actual number of outstanding shares of Common Stock is less than the Reported Outstanding Share Number, the Company shall promptly notify the Holder in writing of the number of shares of Common Stock then outstanding and, to the extent that such conversion or issuance of shares of Common Stock would otherwise cause the Holder’s beneficial ownership, as determined pursuant to this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 to exceed the Maximum Percentage, the Holder must notify the Company of a reduced number of shares of Common Stock to be issued pursuant to such notice. For any reason at any time, upon the written or oral request of the Holder, the Company shall within one (1) Trading Day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or otherwise pursuant to, this Note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6"/>
          <w:szCs w:val="16"/>
          <w:b w:val="1"/>
          <w:bCs w:val="1"/>
          <w:color w:val="auto"/>
        </w:rPr>
        <w:t>Excess Shares</w:t>
      </w:r>
      <w:r>
        <w:rPr>
          <w:rFonts w:ascii="Times New Roman" w:cs="Times New Roman" w:eastAsia="Times New Roman" w:hAnsi="Times New Roman"/>
          <w:sz w:val="16"/>
          <w:szCs w:val="16"/>
          <w:color w:val="auto"/>
        </w:rPr>
        <w:t xml:space="preserve">”) shall be deemed null and void and shall be cancelled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the Holder shall not have the power to vote or to transfer the Excess Shares. Upon delivery of a written notice to the Company, the Holder may from time to time increase or decrease the Maximum Percentage to any other percentage not in excess of 9.99% as specified in such notice;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(i) any such increase in the Maximum Percentage will not be effective</w:t>
      </w:r>
    </w:p>
    <w:p>
      <w:pPr>
        <w:spacing w:after="0" w:line="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until the sixty-first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Exchange Act. No prior inability to convert this Note or receive shares pursuant to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6"/>
          <w:szCs w:val="16"/>
          <w:b w:val="1"/>
          <w:bCs w:val="1"/>
          <w:color w:val="auto"/>
        </w:rPr>
        <w:t>Section 7(I)</w:t>
      </w:r>
      <w:r>
        <w:rPr>
          <w:rFonts w:ascii="Times New Roman" w:cs="Times New Roman" w:eastAsia="Times New Roman" w:hAnsi="Times New Roman"/>
          <w:sz w:val="16"/>
          <w:szCs w:val="16"/>
          <w:color w:val="auto"/>
        </w:rPr>
        <w:t xml:space="preserve"> or to make changes or supplements necessary or desirable to properly give effect to such limitation. The limitation contained in this paragraph may not be waived and shall apply to a successor holder of this Note.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Section 8. R</w:t>
      </w:r>
      <w:r>
        <w:rPr>
          <w:rFonts w:ascii="Times New Roman" w:cs="Times New Roman" w:eastAsia="Times New Roman" w:hAnsi="Times New Roman"/>
          <w:sz w:val="11"/>
          <w:szCs w:val="11"/>
          <w:b w:val="1"/>
          <w:bCs w:val="1"/>
          <w:color w:val="auto"/>
        </w:rPr>
        <w:t>edemption of this</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p>
      <w:pPr>
        <w:jc w:val="both"/>
        <w:ind w:firstLine="592"/>
        <w:spacing w:after="0" w:line="261" w:lineRule="auto"/>
        <w:tabs>
          <w:tab w:leader="none" w:pos="86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Company Redemption Election</w:t>
      </w:r>
      <w:r>
        <w:rPr>
          <w:rFonts w:ascii="Times New Roman" w:cs="Times New Roman" w:eastAsia="Times New Roman" w:hAnsi="Times New Roman"/>
          <w:sz w:val="16"/>
          <w:szCs w:val="16"/>
          <w:color w:val="auto"/>
        </w:rPr>
        <w:t>. Provided that an Optional Holder Redemption Notice has not been delivered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redeem all (or a portion thereof not less than five million dollars ($5,000,000)) of the then outstanding Principal Amount on any date by paying on the Company Redemption Date (as defined below) a cash redemption price equal to the Company Redemption Price; provided, that (i) the Company shall have not received a Holder Conversion Notice from the Holder prior to the Company Redemption Date (as defined below) with respect to the applicable Principal Amount to be redeemed pursuant to this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 xml:space="preserve"> and (ii) the Company must provide irrevocable written notice thereof (a “</w:t>
      </w:r>
      <w:r>
        <w:rPr>
          <w:rFonts w:ascii="Times New Roman" w:cs="Times New Roman" w:eastAsia="Times New Roman" w:hAnsi="Times New Roman"/>
          <w:sz w:val="16"/>
          <w:szCs w:val="16"/>
          <w:b w:val="1"/>
          <w:bCs w:val="1"/>
          <w:color w:val="auto"/>
        </w:rPr>
        <w:t>Company Redemption Notice</w:t>
      </w:r>
      <w:r>
        <w:rPr>
          <w:rFonts w:ascii="Times New Roman" w:cs="Times New Roman" w:eastAsia="Times New Roman" w:hAnsi="Times New Roman"/>
          <w:sz w:val="16"/>
          <w:szCs w:val="16"/>
          <w:color w:val="auto"/>
        </w:rPr>
        <w:t>”) certifying that no Default has occurred or is continuing as of the date of such notice and that no Event of Default has occurred as of the date of such notice that has not been waived and setting forth the date upon which such redemption shall occur (the “</w:t>
      </w:r>
      <w:r>
        <w:rPr>
          <w:rFonts w:ascii="Times New Roman" w:cs="Times New Roman" w:eastAsia="Times New Roman" w:hAnsi="Times New Roman"/>
          <w:sz w:val="16"/>
          <w:szCs w:val="16"/>
          <w:b w:val="1"/>
          <w:bCs w:val="1"/>
          <w:color w:val="auto"/>
        </w:rPr>
        <w:t>Company Redemption Date</w:t>
      </w:r>
      <w:r>
        <w:rPr>
          <w:rFonts w:ascii="Times New Roman" w:cs="Times New Roman" w:eastAsia="Times New Roman" w:hAnsi="Times New Roman"/>
          <w:sz w:val="16"/>
          <w:szCs w:val="16"/>
          <w:color w:val="auto"/>
        </w:rPr>
        <w:t xml:space="preserve">”) at least twenty (20) Trading Days prior to the Company Redemption Date and the Company must have, on or prior to 9:00 am, New York City time, on such notice delivery date, publicly disclosed any material, non-public information regarding the Company (including the fact that the Company is redeeming the Note) on a Form 8-K or otherwise; provided, however, that this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 xml:space="preserve"> will cease to have any force and effect if a Default has occurred and is continuing or an Event of Default has occurred and has not been waived by the Required Holders. If this Note is to be redeemed in full pursuant to this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 xml:space="preserve">, then, from and after the date the related Company Redemption Price is paid in full, this Note will cease to be outstanding. Notwithstanding the foregoing (and for the avoidance of doubt), the Holder may elect to convert any Principal Amount to be redeemed pursuant to this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 xml:space="preserve"> into shares of Common Stock in accordance with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xml:space="preserve"> by delivering a Holder Conversion Notice to the Company prior to the Company Redemption Date.</w:t>
      </w:r>
    </w:p>
    <w:p>
      <w:pPr>
        <w:spacing w:after="0" w:line="167" w:lineRule="exact"/>
        <w:rPr>
          <w:rFonts w:ascii="Times New Roman" w:cs="Times New Roman" w:eastAsia="Times New Roman" w:hAnsi="Times New Roman"/>
          <w:sz w:val="16"/>
          <w:szCs w:val="16"/>
          <w:color w:val="auto"/>
        </w:rPr>
      </w:pPr>
    </w:p>
    <w:p>
      <w:pPr>
        <w:jc w:val="both"/>
        <w:ind w:firstLine="592"/>
        <w:spacing w:after="0" w:line="260" w:lineRule="auto"/>
        <w:tabs>
          <w:tab w:leader="none" w:pos="86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Holder Redemption Election</w:t>
      </w:r>
      <w:r>
        <w:rPr>
          <w:rFonts w:ascii="Times New Roman" w:cs="Times New Roman" w:eastAsia="Times New Roman" w:hAnsi="Times New Roman"/>
          <w:sz w:val="16"/>
          <w:szCs w:val="16"/>
          <w:color w:val="auto"/>
        </w:rPr>
        <w:t>. The Holder may elect to require the Company to redeem all or any portion of this Note at par in an amount equal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Optional Holder Redemption Amount on the First Optional Holder Redemption Date and/or the Second Optional Holder Redemption Date by delivering to the Company a written notice of any such election, including the Principal Amount to be redeemed (an “</w:t>
      </w:r>
      <w:r>
        <w:rPr>
          <w:rFonts w:ascii="Times New Roman" w:cs="Times New Roman" w:eastAsia="Times New Roman" w:hAnsi="Times New Roman"/>
          <w:sz w:val="16"/>
          <w:szCs w:val="16"/>
          <w:b w:val="1"/>
          <w:bCs w:val="1"/>
          <w:color w:val="auto"/>
        </w:rPr>
        <w:t>Optional Holder Redemption Notice</w:t>
      </w:r>
      <w:r>
        <w:rPr>
          <w:rFonts w:ascii="Times New Roman" w:cs="Times New Roman" w:eastAsia="Times New Roman" w:hAnsi="Times New Roman"/>
          <w:sz w:val="16"/>
          <w:szCs w:val="16"/>
          <w:color w:val="auto"/>
        </w:rPr>
        <w:t>”), on or before the First Optional Holder Redemption Date or the Second Optional Holder Redemption Date, as applicable. Following the delivery of any Optional Holder Redemption Notice, the Company shall pay the Holder the Optional Holder Redemption Amount by wire transfer of immediately available funds on the First Optional Holder Redemption Date or the Second Optional Holder Redemption Date, as applicable (the date on which the Optional Holder Redemption Amount is received by the Holder is referred to herein as the “</w:t>
      </w:r>
      <w:r>
        <w:rPr>
          <w:rFonts w:ascii="Times New Roman" w:cs="Times New Roman" w:eastAsia="Times New Roman" w:hAnsi="Times New Roman"/>
          <w:sz w:val="16"/>
          <w:szCs w:val="16"/>
          <w:b w:val="1"/>
          <w:bCs w:val="1"/>
          <w:color w:val="auto"/>
        </w:rPr>
        <w:t>Optional Holder Redemption Date</w:t>
      </w:r>
      <w:r>
        <w:rPr>
          <w:rFonts w:ascii="Times New Roman" w:cs="Times New Roman" w:eastAsia="Times New Roman" w:hAnsi="Times New Roman"/>
          <w:sz w:val="16"/>
          <w:szCs w:val="16"/>
          <w:color w:val="auto"/>
        </w:rPr>
        <w:t xml:space="preserve">”). Notwithstanding the foregoing, if the Company has consummated one or more Equity Issuances resulting in aggregate gross unrestricted, unencumbered cash proceeds equal to or exceeding eight million dollars ($8,000,000) during the period beginning on the Issue Date and ending on the immediately preceding Business Day prior to the First Optional Holder Redemption Date, the Holder may no longer require the Company to redeem all or any portion of this Note pursuant to this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xml:space="preserve"> on the First Optional Holder Redemption Date, irrespective of whether or not the Holder has delivered an Optional Holder Redemption Notice; provided, that for avoidance of doubt, the foregoing sentence shall not impact the Holder’s right to require the Company to redeem all or any portion of this Note pursuant to this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xml:space="preserve"> on the Second Optional Holder Redemption Date; and provided, further, that for the purposes of this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xml:space="preserve">, the Holder’s right to receive any Cash Sweep Payment pursuant to this Note or any other note outstanding and issued by the Company to the Holder pursuant to the Transaction Documents shall not constitute a restriction or encumbrance. If this Note is to be redeemed in full pursuant to this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then, from and after the Optional Holder Redemption Date, this Note will cease to be outstanding.</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9. A</w:t>
      </w:r>
      <w:r>
        <w:rPr>
          <w:rFonts w:ascii="Times New Roman" w:cs="Times New Roman" w:eastAsia="Times New Roman" w:hAnsi="Times New Roman"/>
          <w:sz w:val="11"/>
          <w:szCs w:val="11"/>
          <w:b w:val="1"/>
          <w:bCs w:val="1"/>
          <w:color w:val="auto"/>
        </w:rPr>
        <w:t>ffirmative and</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egative</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ovenants</w:t>
      </w:r>
      <w:r>
        <w:rPr>
          <w:rFonts w:ascii="Times New Roman" w:cs="Times New Roman" w:eastAsia="Times New Roman" w:hAnsi="Times New Roman"/>
          <w:sz w:val="16"/>
          <w:szCs w:val="16"/>
          <w:b w:val="1"/>
          <w:bCs w:val="1"/>
          <w:color w:val="auto"/>
        </w:rPr>
        <w:t>.</w:t>
      </w:r>
    </w:p>
    <w:p>
      <w:pPr>
        <w:spacing w:after="0" w:line="213" w:lineRule="exact"/>
        <w:rPr>
          <w:sz w:val="20"/>
          <w:szCs w:val="20"/>
          <w:color w:val="auto"/>
        </w:rPr>
      </w:pPr>
    </w:p>
    <w:p>
      <w:pPr>
        <w:jc w:val="both"/>
        <w:ind w:firstLine="592"/>
        <w:spacing w:after="0" w:line="270" w:lineRule="auto"/>
        <w:tabs>
          <w:tab w:leader="none" w:pos="86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Stay, Extension and Usury Laws</w:t>
      </w:r>
      <w:r>
        <w:rPr>
          <w:rFonts w:ascii="Times New Roman" w:cs="Times New Roman" w:eastAsia="Times New Roman" w:hAnsi="Times New Roman"/>
          <w:sz w:val="16"/>
          <w:szCs w:val="16"/>
          <w:color w:val="auto"/>
        </w:rPr>
        <w:t>. To the extent that it may lawfully do so, the Company (A) agrees that it will not at any time insist upon, plead, or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3" w:name="page44"/>
    <w:bookmarkEnd w:id="43"/>
    <w:p>
      <w:pPr>
        <w:ind w:left="860" w:hanging="268"/>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Corporate Existence. </w:t>
      </w:r>
      <w:r>
        <w:rPr>
          <w:rFonts w:ascii="Times New Roman" w:cs="Times New Roman" w:eastAsia="Times New Roman" w:hAnsi="Times New Roman"/>
          <w:sz w:val="16"/>
          <w:szCs w:val="16"/>
          <w:color w:val="auto"/>
        </w:rPr>
        <w:t>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10</w:t>
      </w:r>
      <w:r>
        <w:rPr>
          <w:rFonts w:ascii="Times New Roman" w:cs="Times New Roman" w:eastAsia="Times New Roman" w:hAnsi="Times New Roman"/>
          <w:sz w:val="16"/>
          <w:szCs w:val="16"/>
          <w:color w:val="auto"/>
        </w:rPr>
        <w:t>, the Company will cause to preserve and keep in full force and effect:</w:t>
      </w:r>
    </w:p>
    <w:p>
      <w:pPr>
        <w:spacing w:after="0" w:line="215" w:lineRule="exact"/>
        <w:rPr>
          <w:rFonts w:ascii="Times New Roman" w:cs="Times New Roman" w:eastAsia="Times New Roman" w:hAnsi="Times New Roman"/>
          <w:sz w:val="16"/>
          <w:szCs w:val="16"/>
          <w:color w:val="auto"/>
        </w:rPr>
      </w:pPr>
    </w:p>
    <w:p>
      <w:pPr>
        <w:ind w:firstLine="1184"/>
        <w:spacing w:after="0" w:line="297" w:lineRule="auto"/>
        <w:tabs>
          <w:tab w:leader="none" w:pos="141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corporate existence and the corporate existence of its Subsidiaries in accordance with the organizational documents of the Company or its Subsidiaries, as applicable; and</w:t>
      </w:r>
    </w:p>
    <w:p>
      <w:pPr>
        <w:spacing w:after="0" w:line="137" w:lineRule="exact"/>
        <w:rPr>
          <w:rFonts w:ascii="Times New Roman" w:cs="Times New Roman" w:eastAsia="Times New Roman" w:hAnsi="Times New Roman"/>
          <w:sz w:val="16"/>
          <w:szCs w:val="16"/>
          <w:color w:val="auto"/>
        </w:rPr>
      </w:pPr>
    </w:p>
    <w:p>
      <w:pPr>
        <w:ind w:left="1420" w:hanging="236"/>
        <w:spacing w:after="0"/>
        <w:tabs>
          <w:tab w:leader="none" w:pos="142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rights (charter and statutory), licenses and franchises of the Company and its Subsidiaries;</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Company need not preserve or keep in full force and effect any such rights (charter and statutory), license or franchise or existence of any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Subsidiaries if the Board of Directors determines in good faith that (x) the preservation thereof is no longer desirable in the conduct of the business of the Company and its Subsidiaries, taken as a whole; and (y) the loss thereof is not, individually or in the aggregate, materially adverse to the Holder.</w:t>
      </w:r>
    </w:p>
    <w:p>
      <w:pPr>
        <w:spacing w:after="0" w:line="149" w:lineRule="exact"/>
        <w:rPr>
          <w:sz w:val="20"/>
          <w:szCs w:val="20"/>
          <w:color w:val="auto"/>
        </w:rPr>
      </w:pPr>
    </w:p>
    <w:p>
      <w:pPr>
        <w:ind w:firstLine="592"/>
        <w:spacing w:after="0" w:line="300" w:lineRule="auto"/>
        <w:tabs>
          <w:tab w:leader="none" w:pos="85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Ranking</w:t>
      </w:r>
      <w:r>
        <w:rPr>
          <w:rFonts w:ascii="Times New Roman" w:cs="Times New Roman" w:eastAsia="Times New Roman" w:hAnsi="Times New Roman"/>
          <w:sz w:val="16"/>
          <w:szCs w:val="16"/>
          <w:color w:val="auto"/>
        </w:rPr>
        <w:t>. All payments due under this Note (i) shall rank pari passu with all Other Notes and (ii) shall rank senior to all other indebtedness of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the indebtedness described in clauses (i)) and any Subordinated Indebtedness.</w:t>
      </w:r>
    </w:p>
    <w:p>
      <w:pPr>
        <w:spacing w:after="0" w:line="132" w:lineRule="exact"/>
        <w:rPr>
          <w:rFonts w:ascii="Times New Roman" w:cs="Times New Roman" w:eastAsia="Times New Roman" w:hAnsi="Times New Roman"/>
          <w:sz w:val="16"/>
          <w:szCs w:val="16"/>
          <w:color w:val="auto"/>
        </w:rPr>
      </w:pPr>
    </w:p>
    <w:p>
      <w:pPr>
        <w:jc w:val="both"/>
        <w:ind w:firstLine="592"/>
        <w:spacing w:after="0" w:line="262" w:lineRule="auto"/>
        <w:tabs>
          <w:tab w:leader="none" w:pos="87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Indebtedness; Amendments to Indebtedness</w:t>
      </w:r>
      <w:r>
        <w:rPr>
          <w:rFonts w:ascii="Times New Roman" w:cs="Times New Roman" w:eastAsia="Times New Roman" w:hAnsi="Times New Roman"/>
          <w:sz w:val="16"/>
          <w:szCs w:val="16"/>
          <w:color w:val="auto"/>
        </w:rPr>
        <w:t>. The Company shall not and shall not permit any Subsidiary to: (a) create, incur, assume, guarantee or be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 liable with respect to any Indebtedness, other than Permitted Indebtedness; (b) prepay any Indebtedness except for (i) by the conversion of Indebtedness into equity securities (other than Disqualified Stock) and the payment of cash in lieu of fractional shares in connection with such conversion, and (ii) a refinancing of the entire amount of such Indebtedness which does not impose materially more burdensome terms upon the Company or its Subsidiaries than exist in such Indebtedness prior to such refinancing, but with a maturity date which is later than one hundred eighty-one (181) days following the Maturity Date; or (c) amend or modify any documents or notes evidencing any Indebtedness in any manner which shortens the maturity date or any amortization, redemption or interest payment date thereof or otherwise imposes materially more burdensome terms upon the Company or its Subsidiaries than exist in such Indebtedness prior to such amendment or modification without the prior written consent of Holder. The Company shall not and shall not permit any Subsidiary to incur any Indebtedness that would cause a breach or Default under the Notes or prohibit or restrict the performance of any of the Company’s or its Subsidiaries’ obligations under the Notes, including without limitation, the payment of interest and principal thereon.</w:t>
      </w:r>
    </w:p>
    <w:p>
      <w:pPr>
        <w:spacing w:after="0" w:line="365" w:lineRule="exact"/>
        <w:rPr>
          <w:rFonts w:ascii="Times New Roman" w:cs="Times New Roman" w:eastAsia="Times New Roman" w:hAnsi="Times New Roman"/>
          <w:sz w:val="16"/>
          <w:szCs w:val="16"/>
          <w:color w:val="auto"/>
        </w:rPr>
      </w:pPr>
    </w:p>
    <w:p>
      <w:pPr>
        <w:ind w:firstLine="592"/>
        <w:spacing w:after="0" w:line="300" w:lineRule="auto"/>
        <w:tabs>
          <w:tab w:leader="none" w:pos="84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Liens</w:t>
      </w:r>
      <w:r>
        <w:rPr>
          <w:rFonts w:ascii="Times New Roman" w:cs="Times New Roman" w:eastAsia="Times New Roman" w:hAnsi="Times New Roman"/>
          <w:sz w:val="16"/>
          <w:szCs w:val="16"/>
          <w:color w:val="auto"/>
        </w:rPr>
        <w:t>. The Company will not, and will not permit any of its Subsidiaries to, directly or indirectly, create, incur, assume or permit to exist any Lien of any kind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any asset now owned or hereafter acquired, except Permitted Liens.</w:t>
      </w:r>
    </w:p>
    <w:p>
      <w:pPr>
        <w:spacing w:after="0" w:line="132" w:lineRule="exact"/>
        <w:rPr>
          <w:rFonts w:ascii="Times New Roman" w:cs="Times New Roman" w:eastAsia="Times New Roman" w:hAnsi="Times New Roman"/>
          <w:sz w:val="16"/>
          <w:szCs w:val="16"/>
          <w:color w:val="auto"/>
        </w:rPr>
      </w:pPr>
    </w:p>
    <w:p>
      <w:pPr>
        <w:jc w:val="both"/>
        <w:ind w:firstLine="592"/>
        <w:spacing w:after="0" w:line="268" w:lineRule="auto"/>
        <w:tabs>
          <w:tab w:leader="none" w:pos="87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Investments</w:t>
      </w:r>
      <w:r>
        <w:rPr>
          <w:rFonts w:ascii="Times New Roman" w:cs="Times New Roman" w:eastAsia="Times New Roman" w:hAnsi="Times New Roman"/>
          <w:sz w:val="16"/>
          <w:szCs w:val="16"/>
          <w:color w:val="auto"/>
        </w:rPr>
        <w:t>. The Company shall not directly or indirectly acquire or own, or make any Investment in or to any Person, or permit any of its Subsidiaries so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do, other than Permitted Investments;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may not make any Investment (including a Permitted Investment) or permit any of its Subsidiaries to make any Investment (including a Permitted Investment) if (i) any Event of Default has occurred hereunder or (ii)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6"/>
          <w:szCs w:val="16"/>
          <w:b w:val="1"/>
          <w:bCs w:val="1"/>
          <w:color w:val="auto"/>
        </w:rPr>
        <w:t>Section 11(A)(ii)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11(A)(x)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11(A)(xv)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11(A)(xvi)</w:t>
      </w:r>
      <w:r>
        <w:rPr>
          <w:rFonts w:ascii="Times New Roman" w:cs="Times New Roman" w:eastAsia="Times New Roman" w:hAnsi="Times New Roman"/>
          <w:sz w:val="16"/>
          <w:szCs w:val="16"/>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4" w:name="page45"/>
    <w:bookmarkEnd w:id="44"/>
    <w:p>
      <w:pPr>
        <w:jc w:val="both"/>
        <w:ind w:firstLine="592"/>
        <w:spacing w:after="0" w:line="259" w:lineRule="auto"/>
        <w:tabs>
          <w:tab w:leader="none" w:pos="86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Distributions. </w:t>
      </w:r>
      <w:r>
        <w:rPr>
          <w:rFonts w:ascii="Times New Roman" w:cs="Times New Roman" w:eastAsia="Times New Roman" w:hAnsi="Times New Roman"/>
          <w:sz w:val="16"/>
          <w:szCs w:val="16"/>
          <w:color w:val="auto"/>
        </w:rPr>
        <w:t>The Company shall not, and shall not allow any Subsidiary to, (a) repurchase or redeem any class of stock or other Equity Interest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(except as permitted under clause (F) of the definition of Permitted Investment), or guarantee the payment of any such loans granted by a third party in excess of fifty thousand dollars ($50,000) in the aggregate or (d) waive, release or forgive any Indebtedness owed by any employees, officers or directors in excess of fifty thousand dollars ($50,000) in the aggregate. Within one (1) Business Day following the date on which the Company files an Annual Report on Form 10-K or Quarterly Report on Form 10-Q with the Commission, the Company will provide the Holder with a written notice setting forth the aggregate amount of dividends or distributions made by the Company or any Subsidiary pursuant to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for the period covered by such Annual Report on Form 10-K or Quarterly Report on Form 10-Q,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Required Holders or (B)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6"/>
          <w:szCs w:val="16"/>
          <w:b w:val="1"/>
          <w:bCs w:val="1"/>
          <w:color w:val="auto"/>
        </w:rPr>
        <w:t>Section 11(A)(ii)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w:t>
      </w:r>
    </w:p>
    <w:p>
      <w:pPr>
        <w:spacing w:after="0" w:line="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b w:val="1"/>
          <w:bCs w:val="1"/>
          <w:color w:val="auto"/>
        </w:rPr>
        <w:t>11(A)(iii)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11(A)(xv)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11(A)(xvi)</w:t>
      </w:r>
      <w:r>
        <w:rPr>
          <w:rFonts w:ascii="Times New Roman" w:cs="Times New Roman" w:eastAsia="Times New Roman" w:hAnsi="Times New Roman"/>
          <w:sz w:val="16"/>
          <w:szCs w:val="16"/>
          <w:color w:val="auto"/>
        </w:rPr>
        <w:t>.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Business Day of each calendar month,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Company shall provide to the Holder a certification, executed on behalf of the Company by the Chief Financial Officer of the Company, certifying whether or not the Company has satisfied the requirements of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during the immediately preceding calendar month.” If the Company determines in its sole discretion that any such information constitutes material non-public information, then the Company will so indicate in the certification provided pursuant to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and the Company will concurrently disclose such material non-public information on a Current Report on Form 8-K or otherwise.</w:t>
      </w:r>
    </w:p>
    <w:p>
      <w:pPr>
        <w:spacing w:after="0" w:line="179" w:lineRule="exact"/>
        <w:rPr>
          <w:sz w:val="20"/>
          <w:szCs w:val="20"/>
          <w:color w:val="auto"/>
        </w:rPr>
      </w:pPr>
    </w:p>
    <w:p>
      <w:pPr>
        <w:jc w:val="both"/>
        <w:ind w:firstLine="592"/>
        <w:spacing w:after="0" w:line="279" w:lineRule="auto"/>
        <w:tabs>
          <w:tab w:leader="none" w:pos="90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Transfers</w:t>
      </w:r>
      <w:r>
        <w:rPr>
          <w:rFonts w:ascii="Times New Roman" w:cs="Times New Roman" w:eastAsia="Times New Roman" w:hAnsi="Times New Roman"/>
          <w:sz w:val="16"/>
          <w:szCs w:val="16"/>
          <w:color w:val="auto"/>
        </w:rPr>
        <w:t>. The Company shall not, and shall not allow any Subsidiary to, voluntarily or involuntarily transfer, sell, lease, license, lend or in any other manner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convey any equitable, beneficial or legal interest in any material portion of the assets of the Company and its Subsidiaries (taken as a whole), except for Permitted Transfers and Permitted Investments.</w:t>
      </w:r>
    </w:p>
    <w:p>
      <w:pPr>
        <w:spacing w:after="0" w:line="148" w:lineRule="exact"/>
        <w:rPr>
          <w:rFonts w:ascii="Times New Roman" w:cs="Times New Roman" w:eastAsia="Times New Roman" w:hAnsi="Times New Roman"/>
          <w:sz w:val="16"/>
          <w:szCs w:val="16"/>
          <w:color w:val="auto"/>
        </w:rPr>
      </w:pPr>
    </w:p>
    <w:p>
      <w:pPr>
        <w:jc w:val="both"/>
        <w:ind w:firstLine="592"/>
        <w:spacing w:after="0" w:line="268" w:lineRule="auto"/>
        <w:tabs>
          <w:tab w:leader="none" w:pos="79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The Company and its Subsidiaries shall pay when due all material taxes, fees or other similar governmental charges (together with any related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penalties) now or hereafter imposed or assessed against the Company and its Subsidiaries or their respective assets or upon their ownership, possession, use, operation or disposition thereof or upon their rents, receipts or earnings arising therefrom. The Company and its Subsidiaries shall file on or before the due date therefor all material personal property tax returns. Notwithstanding the foregoing, the Company and its Subsidiaries may contest, in good faith and by appropriate proceedings, taxes for which they maintain adequate reserves therefor in accordance with GAAP.</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5" w:name="page46"/>
    <w:bookmarkEnd w:id="45"/>
    <w:p>
      <w:pPr>
        <w:ind w:left="800" w:hanging="208"/>
        <w:spacing w:after="0"/>
        <w:tabs>
          <w:tab w:leader="none" w:pos="8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840" w:hanging="248"/>
        <w:spacing w:after="0"/>
        <w:tabs>
          <w:tab w:leader="none" w:pos="8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firstLine="592"/>
        <w:spacing w:after="0" w:line="271" w:lineRule="auto"/>
        <w:tabs>
          <w:tab w:leader="none" w:pos="9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Nature of Business</w:t>
      </w:r>
      <w:r>
        <w:rPr>
          <w:rFonts w:ascii="Times New Roman" w:cs="Times New Roman" w:eastAsia="Times New Roman" w:hAnsi="Times New Roman"/>
          <w:sz w:val="16"/>
          <w:szCs w:val="16"/>
          <w:color w:val="auto"/>
        </w:rPr>
        <w:t>. The Company shall not, and the Company shall cause each of its Subsidiaries to not, directly or indirectly, engage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line of business substantially different from those lines of business conducted by or publicly contemplated to be conducted by the Company and each of its Subsidiaries on the Issue Date; provided</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that the foregoing shall not prevent the Company and its Subsidiaries from engaging in any business that is reasonably related or incidental or ancillary to its or their business.</w:t>
      </w:r>
    </w:p>
    <w:p>
      <w:pPr>
        <w:spacing w:after="0" w:line="156" w:lineRule="exact"/>
        <w:rPr>
          <w:rFonts w:ascii="Times New Roman" w:cs="Times New Roman" w:eastAsia="Times New Roman" w:hAnsi="Times New Roman"/>
          <w:sz w:val="16"/>
          <w:szCs w:val="16"/>
          <w:color w:val="auto"/>
        </w:rPr>
      </w:pPr>
    </w:p>
    <w:p>
      <w:pPr>
        <w:jc w:val="both"/>
        <w:ind w:firstLine="592"/>
        <w:spacing w:after="0" w:line="270" w:lineRule="auto"/>
        <w:tabs>
          <w:tab w:leader="none" w:pos="86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Properties, Etc</w:t>
      </w:r>
      <w:r>
        <w:rPr>
          <w:rFonts w:ascii="Times New Roman" w:cs="Times New Roman" w:eastAsia="Times New Roman" w:hAnsi="Times New Roman"/>
          <w:sz w:val="16"/>
          <w:szCs w:val="16"/>
          <w:color w:val="auto"/>
        </w:rPr>
        <w:t>. The Company shall maintain and preserve, and the Company shall cause each of its Subsidiaries to maintain and preserve,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 of its properties which are necessary or useful (as determined by the Company in good faith) to the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where the failure to do so would not, individually or in the aggregate, have a material effect on the Company or any Subsidiary).</w:t>
      </w:r>
    </w:p>
    <w:p>
      <w:pPr>
        <w:spacing w:after="0" w:line="357" w:lineRule="exact"/>
        <w:rPr>
          <w:rFonts w:ascii="Times New Roman" w:cs="Times New Roman" w:eastAsia="Times New Roman" w:hAnsi="Times New Roman"/>
          <w:sz w:val="16"/>
          <w:szCs w:val="16"/>
          <w:color w:val="auto"/>
        </w:rPr>
      </w:pPr>
    </w:p>
    <w:p>
      <w:pPr>
        <w:jc w:val="both"/>
        <w:ind w:firstLine="592"/>
        <w:spacing w:after="0" w:line="279" w:lineRule="auto"/>
        <w:tabs>
          <w:tab w:leader="none" w:pos="88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Intellectual Property</w:t>
      </w:r>
      <w:r>
        <w:rPr>
          <w:rFonts w:ascii="Times New Roman" w:cs="Times New Roman" w:eastAsia="Times New Roman" w:hAnsi="Times New Roman"/>
          <w:sz w:val="16"/>
          <w:szCs w:val="16"/>
          <w:color w:val="auto"/>
        </w:rPr>
        <w:t>. The Company will take, and the Company shall cause each of its Subsidiaries to take, all actions necessary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advisable to maintain all of the Intellectual Property Rights (as defined in the Securities Exchange Agreement) of the Company or such Subsidiary that are necessary or material (as determined by the Company in good faith) to the conduct of its business in full force and effect.</w:t>
      </w:r>
    </w:p>
    <w:p>
      <w:pPr>
        <w:spacing w:after="0" w:line="148" w:lineRule="exact"/>
        <w:rPr>
          <w:rFonts w:ascii="Times New Roman" w:cs="Times New Roman" w:eastAsia="Times New Roman" w:hAnsi="Times New Roman"/>
          <w:sz w:val="16"/>
          <w:szCs w:val="16"/>
          <w:color w:val="auto"/>
        </w:rPr>
      </w:pPr>
    </w:p>
    <w:p>
      <w:pPr>
        <w:jc w:val="both"/>
        <w:ind w:firstLine="592"/>
        <w:spacing w:after="0" w:line="270" w:lineRule="auto"/>
        <w:tabs>
          <w:tab w:leader="none" w:pos="83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Insurance</w:t>
      </w:r>
      <w:r>
        <w:rPr>
          <w:rFonts w:ascii="Times New Roman" w:cs="Times New Roman" w:eastAsia="Times New Roman" w:hAnsi="Times New Roman"/>
          <w:sz w:val="16"/>
          <w:szCs w:val="16"/>
          <w:color w:val="auto"/>
        </w:rPr>
        <w:t>. The Company shall maintain, and the Company shall cause each of its Subsidiaries to maintain, insurance with responsible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357" w:lineRule="exact"/>
        <w:rPr>
          <w:rFonts w:ascii="Times New Roman" w:cs="Times New Roman" w:eastAsia="Times New Roman" w:hAnsi="Times New Roman"/>
          <w:sz w:val="16"/>
          <w:szCs w:val="16"/>
          <w:color w:val="auto"/>
        </w:rPr>
      </w:pPr>
    </w:p>
    <w:p>
      <w:pPr>
        <w:jc w:val="both"/>
        <w:ind w:firstLine="592"/>
        <w:spacing w:after="0" w:line="266" w:lineRule="auto"/>
        <w:tabs>
          <w:tab w:leader="none" w:pos="87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Transactions with Affiliates</w:t>
      </w:r>
      <w:r>
        <w:rPr>
          <w:rFonts w:ascii="Times New Roman" w:cs="Times New Roman" w:eastAsia="Times New Roman" w:hAnsi="Times New Roman"/>
          <w:sz w:val="16"/>
          <w:szCs w:val="16"/>
          <w:color w:val="auto"/>
        </w:rPr>
        <w:t>. Neither the Company, nor any of its Subsidiaries, shall enter into, renew, extend or be a party to, any transaction or series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related transactions (including, without limitation, the purchase, sale, lease, transfer or exchange of property or assets of any kind or the rendering of services of any kind) with any affiliate (other than the Company or any of its Wholly Owned Subsidiaries), except (i) transactions for fair consideration and on terms no less favorable to it than would be obtainable in a comparable arm’s length transaction with a Person that is not an affiliate thereof, (ii) loans or advances made by the Company or one of its Subsidiaries to its directors, officers and other employees in the ordinary course of business for reasonable travel and entertainment expenses, and relocation costs up to a maximum of one hundred thousand dollars ($100,000) in the aggregate at any one time outstanding, and (iii) distributions permitted by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6" w:name="page47"/>
    <w:bookmarkEnd w:id="46"/>
    <w:p>
      <w:pPr>
        <w:jc w:val="both"/>
        <w:ind w:firstLine="592"/>
        <w:spacing w:after="0" w:line="268" w:lineRule="auto"/>
        <w:tabs>
          <w:tab w:leader="none" w:pos="85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Issuances. </w:t>
      </w:r>
      <w:r>
        <w:rPr>
          <w:rFonts w:ascii="Times New Roman" w:cs="Times New Roman" w:eastAsia="Times New Roman" w:hAnsi="Times New Roman"/>
          <w:sz w:val="16"/>
          <w:szCs w:val="16"/>
          <w:color w:val="auto"/>
        </w:rPr>
        <w:t>The Company shall not, and shall cause its Subsidiaries not to, directly or indirectly, without the prior written consent of the holders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majority in aggregate principal amount of the Notes then outstanding, (i) issue any Notes (other than as contemplated by the Securities Purchase Agreement, the Securities Exchange Agreement and the Notes) or (ii) issue any other securities or incur any Indebtedness, in each case, that would cause a breach or Default under the Notes or that by its terms would prohibit or restrict the performance of any of the Company’s or its Subsidiaries’ obligations under the Notes, including without limitation, the payment of interest and principal thereon.</w:t>
      </w:r>
    </w:p>
    <w:p>
      <w:pPr>
        <w:spacing w:after="0" w:line="158" w:lineRule="exact"/>
        <w:rPr>
          <w:rFonts w:ascii="Times New Roman" w:cs="Times New Roman" w:eastAsia="Times New Roman" w:hAnsi="Times New Roman"/>
          <w:sz w:val="16"/>
          <w:szCs w:val="16"/>
          <w:color w:val="auto"/>
        </w:rPr>
      </w:pPr>
    </w:p>
    <w:p>
      <w:pPr>
        <w:jc w:val="both"/>
        <w:ind w:firstLine="592"/>
        <w:spacing w:after="0" w:line="260" w:lineRule="auto"/>
        <w:tabs>
          <w:tab w:leader="none" w:pos="83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Independent Investigation</w:t>
      </w:r>
      <w:r>
        <w:rPr>
          <w:rFonts w:ascii="Times New Roman" w:cs="Times New Roman" w:eastAsia="Times New Roman" w:hAnsi="Times New Roman"/>
          <w:sz w:val="16"/>
          <w:szCs w:val="16"/>
          <w:color w:val="auto"/>
        </w:rPr>
        <w:t>. At the request of the Required Holders (as defined in the Securities Exchange Agreement) at any time the Required Holders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in good faith that (i) an Event of Default has occurred or (ii) any event or circumstance has occurred and is continuing which, with the giving of notice or passage of time or both, could constitute an Event of Default but the Company has not timely agreed to such determination in writing, the Company shall hire an independent, reputable investment bank selected by the Company and approved by the Required Holders to investigate as to whether such Event of Default or event or circumstance has occurred (the “</w:t>
      </w:r>
      <w:r>
        <w:rPr>
          <w:rFonts w:ascii="Times New Roman" w:cs="Times New Roman" w:eastAsia="Times New Roman" w:hAnsi="Times New Roman"/>
          <w:sz w:val="16"/>
          <w:szCs w:val="16"/>
          <w:b w:val="1"/>
          <w:bCs w:val="1"/>
          <w:color w:val="auto"/>
        </w:rPr>
        <w:t>Independent Investigator</w:t>
      </w:r>
      <w:r>
        <w:rPr>
          <w:rFonts w:ascii="Times New Roman" w:cs="Times New Roman" w:eastAsia="Times New Roman" w:hAnsi="Times New Roman"/>
          <w:sz w:val="16"/>
          <w:szCs w:val="16"/>
          <w:color w:val="auto"/>
        </w:rPr>
        <w:t>”). If the Independent Investigator determines that such Event of Default or event or circumstance has occurred, the Independent Investigator shall notify the Company of such Event of Default or occurrence of such event or circumstance and the Company shall promptly deliver written notice to the Holder of such Event of Default if such Event of Default has occurred. In connection with such investigation, the Independent Investigator may, during normal business hours and upon signing a confidentiality agreement in a form reasonably acceptable to the Company, inspect all contracts, books, records, personnel, offices and other facilities and properties of the Company and its Subsidiaries and, to the extent available to the Company after the Company uses reasonable efforts to obtain them, the records of its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any of the Company’s officers, directors, key employees and independent public accountants (and by this provision the Company authorizes said accountants to discuss with such Independent Investigator the finances and affairs of the Company and any Subsidiaries); provided, that the Company’s chief executive officer and chief financial officer shall be invited to join any such discussion, all at such reasonable times, upon reasonable notice, and as often as may be reasonably requested.</w:t>
      </w:r>
    </w:p>
    <w:p>
      <w:pPr>
        <w:spacing w:after="0" w:line="367" w:lineRule="exact"/>
        <w:rPr>
          <w:rFonts w:ascii="Times New Roman" w:cs="Times New Roman" w:eastAsia="Times New Roman" w:hAnsi="Times New Roman"/>
          <w:sz w:val="16"/>
          <w:szCs w:val="16"/>
          <w:color w:val="auto"/>
        </w:rPr>
      </w:pPr>
    </w:p>
    <w:p>
      <w:pPr>
        <w:jc w:val="both"/>
        <w:ind w:firstLine="592"/>
        <w:spacing w:after="0" w:line="263" w:lineRule="auto"/>
        <w:tabs>
          <w:tab w:leader="none" w:pos="84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 w:cs="Times New Roman" w:eastAsia="Times New Roman" w:hAnsi="Times New Roman"/>
          <w:sz w:val="16"/>
          <w:szCs w:val="16"/>
          <w:b w:val="1"/>
          <w:bCs w:val="1"/>
          <w:color w:val="auto"/>
        </w:rPr>
        <w:t>Section 9(T)</w:t>
      </w:r>
      <w:r>
        <w:rPr>
          <w:rFonts w:ascii="Times New Roman" w:cs="Times New Roman" w:eastAsia="Times New Roman" w:hAnsi="Times New Roman"/>
          <w:sz w:val="16"/>
          <w:szCs w:val="16"/>
          <w:color w:val="auto"/>
        </w:rPr>
        <w:t xml:space="preserve"> shall limit any obligations of the Company, or any rights of the Holder, under the Securities Exchange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7" w:name="page48"/>
    <w:bookmarkEnd w:id="47"/>
    <w:p>
      <w:pPr>
        <w:jc w:val="both"/>
        <w:ind w:firstLine="592"/>
        <w:spacing w:after="0" w:line="263" w:lineRule="auto"/>
        <w:tabs>
          <w:tab w:leader="none" w:pos="8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acknowledges and agrees that the Holder is not a fiduciary or agent of the Company, the Holder will not have any obligations hereunder except those obligations expressly set forth herein (and in the Securities Exchange Agreement)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362" w:lineRule="exact"/>
        <w:rPr>
          <w:rFonts w:ascii="Times New Roman" w:cs="Times New Roman" w:eastAsia="Times New Roman" w:hAnsi="Times New Roman"/>
          <w:sz w:val="16"/>
          <w:szCs w:val="16"/>
          <w:color w:val="auto"/>
        </w:rPr>
      </w:pPr>
    </w:p>
    <w:p>
      <w:pPr>
        <w:jc w:val="both"/>
        <w:ind w:firstLine="592"/>
        <w:spacing w:after="0" w:line="264" w:lineRule="auto"/>
        <w:tabs>
          <w:tab w:leader="none" w:pos="86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cause this Note and any shares of Common Stock issuable pursuant to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64" w:lineRule="exact"/>
        <w:rPr>
          <w:rFonts w:ascii="Times New Roman" w:cs="Times New Roman" w:eastAsia="Times New Roman" w:hAnsi="Times New Roman"/>
          <w:sz w:val="16"/>
          <w:szCs w:val="16"/>
          <w:color w:val="auto"/>
        </w:rPr>
      </w:pPr>
    </w:p>
    <w:p>
      <w:pPr>
        <w:jc w:val="both"/>
        <w:ind w:firstLine="592"/>
        <w:spacing w:after="0" w:line="260" w:lineRule="auto"/>
        <w:tabs>
          <w:tab w:leader="none" w:pos="9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all times have a number of authorized and unissued shares of Common Stock no less than a number of shares of Common Stock equal to the sum of (i) 100% of the maximum number of shares of Common Stock as shall be necessary to satisfy the Company’s obligation to issue shares of Common Stock under the warrants then outstanding issued under the Prior Securities Exchange Agreement and/or the Securities Purchase Agreement, reserved for the purpose of issuance pursuant to such warrants, plus (ii) a fraction, the numerator of which shall be the then outstanding Principal Amount of this Note plus an amount equal to all interest accrued on such outstanding Principal Amount and the denominator of which shall be the Conversion Price (as such term is defined in the Initial Exchange Notes) of the Initial Exchange Notes, plus (iii) a fraction, the numerator of which shall be the then outstanding Principal Amount (as such term is defined in the Optional Exchange Notes) of the Optional Exchange Notes, if any, plus an amount equal to all interest accrued on such outstanding Principal Amount (as such term is defined in the Optional Exchange Notes) and the denominator of which shall be the Conversion Price (as such term is defined in the Optional Exchange Notes) of the Optional Exchange Notes plus (iv) an additional twenty million (20,000,000) unreserved and available shares of Common Stock (the “</w:t>
      </w:r>
      <w:r>
        <w:rPr>
          <w:rFonts w:ascii="Times New Roman" w:cs="Times New Roman" w:eastAsia="Times New Roman" w:hAnsi="Times New Roman"/>
          <w:sz w:val="16"/>
          <w:szCs w:val="16"/>
          <w:b w:val="1"/>
          <w:bCs w:val="1"/>
          <w:color w:val="auto"/>
        </w:rPr>
        <w:t>Required Reserve Amount</w:t>
      </w:r>
      <w:r>
        <w:rPr>
          <w:rFonts w:ascii="Times New Roman" w:cs="Times New Roman" w:eastAsia="Times New Roman" w:hAnsi="Times New Roman"/>
          <w:sz w:val="16"/>
          <w:szCs w:val="16"/>
          <w:color w:val="auto"/>
        </w:rPr>
        <w:t xml:space="preserve">”), provided that at no time shall the number of shares of Common Stock reserved pursuant to this </w:t>
      </w:r>
      <w:r>
        <w:rPr>
          <w:rFonts w:ascii="Times New Roman" w:cs="Times New Roman" w:eastAsia="Times New Roman" w:hAnsi="Times New Roman"/>
          <w:sz w:val="16"/>
          <w:szCs w:val="16"/>
          <w:b w:val="1"/>
          <w:bCs w:val="1"/>
          <w:color w:val="auto"/>
        </w:rPr>
        <w:t>Section 9(W)</w:t>
      </w:r>
      <w:r>
        <w:rPr>
          <w:rFonts w:ascii="Times New Roman" w:cs="Times New Roman" w:eastAsia="Times New Roman" w:hAnsi="Times New Roman"/>
          <w:sz w:val="16"/>
          <w:szCs w:val="16"/>
          <w:color w:val="auto"/>
        </w:rPr>
        <w:t xml:space="preserve"> be reduced other than in connection with any stock combination, reverse stock split or other similar transaction.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8" w:name="page49"/>
    <w:bookmarkEnd w:id="48"/>
    <w:p>
      <w:pPr>
        <w:jc w:val="both"/>
        <w:ind w:firstLine="592"/>
        <w:spacing w:after="0" w:line="274" w:lineRule="auto"/>
        <w:tabs>
          <w:tab w:leader="none" w:pos="86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date that is thirty (30) days after the Issue Date, the Company shall have delivered to the Holder the results of a recent lien, bankruptcy and judgment search in each relevant jurisdiction with respect to the Company and its Subsidiaries and such search shall reveal no Liens on any of the Collateral (as such term is defined in the Security Agreement Amendments) or other assets of the Company and its Subsidiaries except, in the case of assets other than Collateral, for Permitted Liens.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10. S</w:t>
      </w:r>
      <w:r>
        <w:rPr>
          <w:rFonts w:ascii="Times New Roman" w:cs="Times New Roman" w:eastAsia="Times New Roman" w:hAnsi="Times New Roman"/>
          <w:sz w:val="11"/>
          <w:szCs w:val="11"/>
          <w:b w:val="1"/>
          <w:bCs w:val="1"/>
          <w:color w:val="auto"/>
        </w:rPr>
        <w:t>uccessors</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77" w:lineRule="auto"/>
        <w:rPr>
          <w:sz w:val="20"/>
          <w:szCs w:val="20"/>
          <w:color w:val="auto"/>
        </w:rPr>
      </w:pPr>
      <w:r>
        <w:rPr>
          <w:rFonts w:ascii="Times New Roman" w:cs="Times New Roman" w:eastAsia="Times New Roman" w:hAnsi="Times New Roman"/>
          <w:sz w:val="16"/>
          <w:szCs w:val="16"/>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6"/>
          <w:szCs w:val="16"/>
          <w:b w:val="1"/>
          <w:bCs w:val="1"/>
          <w:color w:val="auto"/>
        </w:rPr>
        <w:t>Business Combination Event</w:t>
      </w:r>
      <w:r>
        <w:rPr>
          <w:rFonts w:ascii="Times New Roman" w:cs="Times New Roman" w:eastAsia="Times New Roman" w:hAnsi="Times New Roman"/>
          <w:sz w:val="16"/>
          <w:szCs w:val="16"/>
          <w:color w:val="auto"/>
        </w:rPr>
        <w:t>”), unless:</w:t>
      </w:r>
    </w:p>
    <w:p>
      <w:pPr>
        <w:spacing w:after="0" w:line="149" w:lineRule="exact"/>
        <w:rPr>
          <w:sz w:val="20"/>
          <w:szCs w:val="20"/>
          <w:color w:val="auto"/>
        </w:rPr>
      </w:pPr>
    </w:p>
    <w:p>
      <w:pPr>
        <w:jc w:val="both"/>
        <w:ind w:firstLine="592"/>
        <w:spacing w:after="0" w:line="280" w:lineRule="auto"/>
        <w:tabs>
          <w:tab w:leader="none" w:pos="88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either (x) is the Company or (y) if not the Company, is a corporation (the “</w:t>
      </w:r>
      <w:r>
        <w:rPr>
          <w:rFonts w:ascii="Times New Roman" w:cs="Times New Roman" w:eastAsia="Times New Roman" w:hAnsi="Times New Roman"/>
          <w:sz w:val="16"/>
          <w:szCs w:val="16"/>
          <w:b w:val="1"/>
          <w:bCs w:val="1"/>
          <w:color w:val="auto"/>
        </w:rPr>
        <w:t>Successor Corporation</w:t>
      </w:r>
      <w:r>
        <w:rPr>
          <w:rFonts w:ascii="Times New Roman" w:cs="Times New Roman" w:eastAsia="Times New Roman" w:hAnsi="Times New Roman"/>
          <w:sz w:val="16"/>
          <w:szCs w:val="16"/>
          <w:color w:val="auto"/>
        </w:rPr>
        <w:t>”) duly organized and existing under the laws of the United States of America, any State thereof or the District of Columbia that expressly assumes (by executing and delivering to the Holder, at or before the effective time of such Business Combination Event, a supplement to this instrument) all of the Company’s obligations under this Note; and</w:t>
      </w:r>
    </w:p>
    <w:p>
      <w:pPr>
        <w:spacing w:after="0" w:line="150"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Business Combination Event, no Default or Event of Default will have occurred and be continuing.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9" w:name="page50"/>
    <w:bookmarkEnd w:id="49"/>
    <w:p>
      <w:pPr>
        <w:jc w:val="both"/>
        <w:ind w:firstLine="593"/>
        <w:spacing w:after="0" w:line="277" w:lineRule="auto"/>
        <w:rPr>
          <w:sz w:val="20"/>
          <w:szCs w:val="20"/>
          <w:color w:val="auto"/>
        </w:rPr>
      </w:pPr>
      <w:r>
        <w:rPr>
          <w:rFonts w:ascii="Times New Roman" w:cs="Times New Roman" w:eastAsia="Times New Roman" w:hAnsi="Times New Roman"/>
          <w:sz w:val="16"/>
          <w:szCs w:val="16"/>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11. D</w:t>
      </w:r>
      <w:r>
        <w:rPr>
          <w:rFonts w:ascii="Times New Roman" w:cs="Times New Roman" w:eastAsia="Times New Roman" w:hAnsi="Times New Roman"/>
          <w:sz w:val="11"/>
          <w:szCs w:val="11"/>
          <w:b w:val="1"/>
          <w:bCs w:val="1"/>
          <w:color w:val="auto"/>
        </w:rPr>
        <w:t>efaults and</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1"/>
          <w:szCs w:val="11"/>
          <w:b w:val="1"/>
          <w:bCs w:val="1"/>
          <w:color w:val="auto"/>
        </w:rPr>
        <w:t>emedies</w:t>
      </w:r>
    </w:p>
    <w:p>
      <w:pPr>
        <w:spacing w:after="0" w:line="211" w:lineRule="exact"/>
        <w:rPr>
          <w:sz w:val="20"/>
          <w:szCs w:val="20"/>
          <w:color w:val="auto"/>
        </w:rPr>
      </w:pPr>
    </w:p>
    <w:p>
      <w:pPr>
        <w:ind w:left="860" w:hanging="268"/>
        <w:spacing w:after="0"/>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the occurrence of any of the following:</w:t>
      </w:r>
    </w:p>
    <w:p>
      <w:pPr>
        <w:spacing w:after="0" w:line="211" w:lineRule="exact"/>
        <w:rPr>
          <w:rFonts w:ascii="Times New Roman" w:cs="Times New Roman" w:eastAsia="Times New Roman" w:hAnsi="Times New Roman"/>
          <w:sz w:val="16"/>
          <w:szCs w:val="16"/>
          <w:color w:val="auto"/>
        </w:rPr>
      </w:pPr>
    </w:p>
    <w:p>
      <w:pPr>
        <w:ind w:left="600" w:firstLine="584"/>
        <w:spacing w:after="0" w:line="302" w:lineRule="auto"/>
        <w:tabs>
          <w:tab w:leader="none" w:pos="1392"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the payment when due of the Principal Amount, any Cash Sweep Payment, any amount due under </w:t>
      </w:r>
      <w:r>
        <w:rPr>
          <w:rFonts w:ascii="Times New Roman" w:cs="Times New Roman" w:eastAsia="Times New Roman" w:hAnsi="Times New Roman"/>
          <w:sz w:val="16"/>
          <w:szCs w:val="16"/>
          <w:b w:val="1"/>
          <w:bCs w:val="1"/>
          <w:color w:val="auto"/>
        </w:rPr>
        <w:t>Section 8</w:t>
      </w:r>
      <w:r>
        <w:rPr>
          <w:rFonts w:ascii="Times New Roman" w:cs="Times New Roman" w:eastAsia="Times New Roman" w:hAnsi="Times New Roman"/>
          <w:sz w:val="16"/>
          <w:szCs w:val="16"/>
          <w:color w:val="auto"/>
        </w:rPr>
        <w:t xml:space="preserve"> or the Fundamental Change Repurchase Price under this Note;</w:t>
      </w:r>
    </w:p>
    <w:p>
      <w:pPr>
        <w:spacing w:after="0" w:line="133" w:lineRule="exact"/>
        <w:rPr>
          <w:rFonts w:ascii="Times New Roman" w:cs="Times New Roman" w:eastAsia="Times New Roman" w:hAnsi="Times New Roman"/>
          <w:sz w:val="16"/>
          <w:szCs w:val="16"/>
          <w:color w:val="auto"/>
        </w:rPr>
      </w:pPr>
    </w:p>
    <w:p>
      <w:pPr>
        <w:ind w:left="1420" w:hanging="236"/>
        <w:spacing w:after="0"/>
        <w:tabs>
          <w:tab w:leader="none" w:pos="142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for three (3) Business Days in the payment when due of the interest on this Note;</w:t>
      </w:r>
    </w:p>
    <w:p>
      <w:pPr>
        <w:spacing w:after="0" w:line="207" w:lineRule="exact"/>
        <w:rPr>
          <w:rFonts w:ascii="Times New Roman" w:cs="Times New Roman" w:eastAsia="Times New Roman" w:hAnsi="Times New Roman"/>
          <w:sz w:val="16"/>
          <w:szCs w:val="16"/>
          <w:color w:val="auto"/>
        </w:rPr>
      </w:pPr>
    </w:p>
    <w:p>
      <w:pPr>
        <w:ind w:left="600" w:firstLine="584"/>
        <w:spacing w:after="0" w:line="302" w:lineRule="auto"/>
        <w:tabs>
          <w:tab w:leader="none" w:pos="1488"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the Company’s obligation to issue shares pursuant to this Note (or any portion of this Note) in accordance with </w:t>
      </w:r>
      <w:r>
        <w:rPr>
          <w:rFonts w:ascii="Times New Roman" w:cs="Times New Roman" w:eastAsia="Times New Roman" w:hAnsi="Times New Roman"/>
          <w:sz w:val="16"/>
          <w:szCs w:val="16"/>
          <w:b w:val="1"/>
          <w:bCs w:val="1"/>
          <w:color w:val="auto"/>
        </w:rPr>
        <w:t>Section 7(C)</w:t>
      </w:r>
      <w:r>
        <w:rPr>
          <w:rFonts w:ascii="Times New Roman" w:cs="Times New Roman" w:eastAsia="Times New Roman" w:hAnsi="Times New Roman"/>
          <w:sz w:val="16"/>
          <w:szCs w:val="16"/>
          <w:color w:val="auto"/>
        </w:rPr>
        <w:t xml:space="preserve"> upon the exercise of the Holder’s right with respect thereto;</w:t>
      </w:r>
    </w:p>
    <w:p>
      <w:pPr>
        <w:spacing w:after="0" w:line="129" w:lineRule="exact"/>
        <w:rPr>
          <w:rFonts w:ascii="Times New Roman" w:cs="Times New Roman" w:eastAsia="Times New Roman" w:hAnsi="Times New Roman"/>
          <w:sz w:val="16"/>
          <w:szCs w:val="16"/>
          <w:color w:val="auto"/>
        </w:rPr>
      </w:pPr>
    </w:p>
    <w:p>
      <w:pPr>
        <w:jc w:val="both"/>
        <w:ind w:left="600" w:firstLine="584"/>
        <w:spacing w:after="0" w:line="276" w:lineRule="auto"/>
        <w:tabs>
          <w:tab w:leader="none" w:pos="1499"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the Company’s obligation to timely deliver a Fundamental Change Notice pursuant to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 xml:space="preserve">, a Cash Sweep Certification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xml:space="preserve">, or a Compliance Certification pursuant to </w:t>
      </w:r>
      <w:r>
        <w:rPr>
          <w:rFonts w:ascii="Times New Roman" w:cs="Times New Roman" w:eastAsia="Times New Roman" w:hAnsi="Times New Roman"/>
          <w:sz w:val="16"/>
          <w:szCs w:val="16"/>
          <w:b w:val="1"/>
          <w:bCs w:val="1"/>
          <w:color w:val="auto"/>
        </w:rPr>
        <w:t>Section 9(G) or Section 9(K)(ii)</w:t>
      </w:r>
      <w:r>
        <w:rPr>
          <w:rFonts w:ascii="Times New Roman" w:cs="Times New Roman" w:eastAsia="Times New Roman" w:hAnsi="Times New Roman"/>
          <w:sz w:val="16"/>
          <w:szCs w:val="16"/>
          <w:color w:val="auto"/>
        </w:rPr>
        <w:t>, and such default continues for three (3) Business Days, or the delivery of a materially false or inaccurate Fundamental Change Notice, Cash Sweep Certification, Company Redemption Notice or Compliance Certification;</w:t>
      </w:r>
    </w:p>
    <w:p>
      <w:pPr>
        <w:spacing w:after="0" w:line="357" w:lineRule="exact"/>
        <w:rPr>
          <w:rFonts w:ascii="Times New Roman" w:cs="Times New Roman" w:eastAsia="Times New Roman" w:hAnsi="Times New Roman"/>
          <w:sz w:val="16"/>
          <w:szCs w:val="16"/>
          <w:color w:val="auto"/>
        </w:rPr>
      </w:pPr>
    </w:p>
    <w:p>
      <w:pPr>
        <w:ind w:left="1420" w:hanging="236"/>
        <w:spacing w:after="0"/>
        <w:tabs>
          <w:tab w:leader="none" w:pos="142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in the Company’s obligation to deliver when due any Event of Default Acceleration Amount;</w:t>
      </w:r>
    </w:p>
    <w:p>
      <w:pPr>
        <w:spacing w:after="0" w:line="211" w:lineRule="exact"/>
        <w:rPr>
          <w:rFonts w:ascii="Times New Roman" w:cs="Times New Roman" w:eastAsia="Times New Roman" w:hAnsi="Times New Roman"/>
          <w:sz w:val="16"/>
          <w:szCs w:val="16"/>
          <w:color w:val="auto"/>
        </w:rPr>
      </w:pPr>
    </w:p>
    <w:p>
      <w:pPr>
        <w:ind w:left="1480" w:hanging="296"/>
        <w:spacing w:after="0"/>
        <w:tabs>
          <w:tab w:leader="none" w:pos="148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timely deliver an Event of Default Notice or a materially false or inaccurate certification as to whether any Event of Default has</w:t>
      </w:r>
    </w:p>
    <w:p>
      <w:pPr>
        <w:spacing w:after="0" w:line="30"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occurred;</w:t>
      </w:r>
    </w:p>
    <w:p>
      <w:pPr>
        <w:spacing w:after="0" w:line="194" w:lineRule="exact"/>
        <w:rPr>
          <w:rFonts w:ascii="Times New Roman" w:cs="Times New Roman" w:eastAsia="Times New Roman" w:hAnsi="Times New Roman"/>
          <w:sz w:val="16"/>
          <w:szCs w:val="16"/>
          <w:color w:val="auto"/>
        </w:rPr>
      </w:pPr>
    </w:p>
    <w:p>
      <w:pPr>
        <w:jc w:val="both"/>
        <w:ind w:left="600" w:firstLine="584"/>
        <w:spacing w:after="0" w:line="267" w:lineRule="auto"/>
        <w:tabs>
          <w:tab w:leader="none" w:pos="1526"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any of the Company’s obligations or agreements under this Note or the Transaction Documents (in each case, other than a default set forth in clauses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(vi)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(viii)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(xix)</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b w:val="1"/>
          <w:bCs w:val="1"/>
          <w:color w:val="auto"/>
        </w:rPr>
        <w:t>Section 11(A)</w:t>
      </w:r>
      <w:r>
        <w:rPr>
          <w:rFonts w:ascii="Times New Roman" w:cs="Times New Roman" w:eastAsia="Times New Roman" w:hAnsi="Times New Roman"/>
          <w:sz w:val="16"/>
          <w:szCs w:val="16"/>
          <w:color w:val="auto"/>
        </w:rPr>
        <w:t xml:space="preserve">), or a breach of any representation or warranty in any material respect (other than representations or warranties subject to material adverse effect or materiality qualifications, which may not be breached in any respect) of any Transaction Document;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default can be cured, then such default shall not be an Event of Default unless the Company has failed to cure such default within ten (10)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Days after its occurrence;</w:t>
      </w:r>
    </w:p>
    <w:p>
      <w:pPr>
        <w:spacing w:after="0" w:line="162" w:lineRule="exact"/>
        <w:rPr>
          <w:rFonts w:ascii="Times New Roman" w:cs="Times New Roman" w:eastAsia="Times New Roman" w:hAnsi="Times New Roman"/>
          <w:sz w:val="16"/>
          <w:szCs w:val="16"/>
          <w:color w:val="auto"/>
        </w:rPr>
      </w:pPr>
    </w:p>
    <w:p>
      <w:pPr>
        <w:jc w:val="both"/>
        <w:ind w:left="600" w:firstLine="584"/>
        <w:spacing w:after="0" w:line="271" w:lineRule="auto"/>
        <w:tabs>
          <w:tab w:leader="none" w:pos="157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of any Transaction Document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0" w:name="page51"/>
    <w:bookmarkEnd w:id="50"/>
    <w:p>
      <w:pPr>
        <w:ind w:left="-520" w:firstLine="584"/>
        <w:spacing w:after="0" w:line="303" w:lineRule="auto"/>
        <w:tabs>
          <w:tab w:leader="none" w:pos="36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fails to comply with any covenant set forth in </w:t>
      </w:r>
      <w:r>
        <w:rPr>
          <w:rFonts w:ascii="Times New Roman" w:cs="Times New Roman" w:eastAsia="Times New Roman" w:hAnsi="Times New Roman"/>
          <w:sz w:val="16"/>
          <w:szCs w:val="16"/>
          <w:b w:val="1"/>
          <w:bCs w:val="1"/>
          <w:color w:val="auto"/>
        </w:rPr>
        <w:t>Section 9(D)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9(J)</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9(K)</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9(R), Section 9(W), Section 9(X) or Section 9(Y) </w:t>
      </w:r>
      <w:r>
        <w:rPr>
          <w:rFonts w:ascii="Times New Roman" w:cs="Times New Roman" w:eastAsia="Times New Roman" w:hAnsi="Times New Roman"/>
          <w:sz w:val="16"/>
          <w:szCs w:val="16"/>
          <w:color w:val="auto"/>
        </w:rPr>
        <w:t>of this Note;</w:t>
      </w:r>
    </w:p>
    <w:p>
      <w:pPr>
        <w:spacing w:after="0" w:line="132" w:lineRule="exact"/>
        <w:rPr>
          <w:rFonts w:ascii="Times New Roman" w:cs="Times New Roman" w:eastAsia="Times New Roman" w:hAnsi="Times New Roman"/>
          <w:sz w:val="16"/>
          <w:szCs w:val="16"/>
          <w:color w:val="auto"/>
        </w:rPr>
      </w:pPr>
    </w:p>
    <w:p>
      <w:pPr>
        <w:ind w:left="-520" w:firstLine="584"/>
        <w:spacing w:after="0" w:line="297" w:lineRule="auto"/>
        <w:tabs>
          <w:tab w:leader="none" w:pos="31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suspension from trading or failure of the Common Stock to be trading or listed on an Eligible Exchange for a period of three (3) consecutive Trading Days;</w:t>
      </w:r>
    </w:p>
    <w:p>
      <w:pPr>
        <w:spacing w:after="0" w:line="137" w:lineRule="exact"/>
        <w:rPr>
          <w:rFonts w:ascii="Times New Roman" w:cs="Times New Roman" w:eastAsia="Times New Roman" w:hAnsi="Times New Roman"/>
          <w:sz w:val="16"/>
          <w:szCs w:val="16"/>
          <w:color w:val="auto"/>
        </w:rPr>
      </w:pPr>
    </w:p>
    <w:p>
      <w:pPr>
        <w:jc w:val="both"/>
        <w:ind w:left="-520" w:firstLine="584"/>
        <w:spacing w:after="0" w:line="264" w:lineRule="auto"/>
        <w:tabs>
          <w:tab w:leader="none" w:pos="37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failure of the Company or any of its Subsidiaries to pay when due or within any applicable grace period any Indebtedness having an individual principal amount in excess of at least five hundred thousand dollars ($500,000)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five hundred thousand dollars ($500,000)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five hundred thousand dollars ($500,000) to become or be declared due prior to its stated maturity;</w:t>
      </w:r>
    </w:p>
    <w:p>
      <w:pPr>
        <w:spacing w:after="0" w:line="164" w:lineRule="exact"/>
        <w:rPr>
          <w:rFonts w:ascii="Times New Roman" w:cs="Times New Roman" w:eastAsia="Times New Roman" w:hAnsi="Times New Roman"/>
          <w:sz w:val="16"/>
          <w:szCs w:val="16"/>
          <w:color w:val="auto"/>
        </w:rPr>
      </w:pPr>
    </w:p>
    <w:p>
      <w:pPr>
        <w:jc w:val="both"/>
        <w:ind w:left="-520" w:firstLine="584"/>
        <w:spacing w:after="0" w:line="265" w:lineRule="auto"/>
        <w:tabs>
          <w:tab w:leader="none" w:pos="40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final judgments, orders or awards (or any settlement of any litigation or other proceeding that, if breached, could result in a judgment, order or award) for the payment of at least five hundred thousand dollars ($500,000)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164" w:lineRule="exact"/>
        <w:rPr>
          <w:rFonts w:ascii="Times New Roman" w:cs="Times New Roman" w:eastAsia="Times New Roman" w:hAnsi="Times New Roman"/>
          <w:sz w:val="16"/>
          <w:szCs w:val="16"/>
          <w:color w:val="auto"/>
        </w:rPr>
      </w:pPr>
    </w:p>
    <w:p>
      <w:pPr>
        <w:jc w:val="both"/>
        <w:ind w:left="-520" w:firstLine="584"/>
        <w:spacing w:after="0" w:line="271" w:lineRule="auto"/>
        <w:tabs>
          <w:tab w:leader="none" w:pos="44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Company fails to timely file its quarterly reports on Form 10-Q or its annual reports on Form 10-K with the Commission in the manner and within the time periods required by the Exchange Act in a manner that results in the Company failing for any reason to satisfy the requirements of Rule 144(c)(1) under the Securities Act, including, without limitation, the failure to satisfy the current public information requirement under Rule 144(c), or (B) the Company withdraws or restates in any material respect any such quarterly report or annual report previously filed with the Commission;</w:t>
      </w:r>
    </w:p>
    <w:p>
      <w:pPr>
        <w:spacing w:after="0" w:line="156" w:lineRule="exact"/>
        <w:rPr>
          <w:rFonts w:ascii="Times New Roman" w:cs="Times New Roman" w:eastAsia="Times New Roman" w:hAnsi="Times New Roman"/>
          <w:sz w:val="16"/>
          <w:szCs w:val="16"/>
          <w:color w:val="auto"/>
        </w:rPr>
      </w:pPr>
    </w:p>
    <w:p>
      <w:pPr>
        <w:jc w:val="both"/>
        <w:ind w:left="-520" w:firstLine="584"/>
        <w:spacing w:after="0" w:line="269" w:lineRule="auto"/>
        <w:tabs>
          <w:tab w:leader="none" w:pos="43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Document shall for any reason fail or cease to create a separate valid and perfected first priority Lien on the Collateral, in each case, in favor of the Collateral Agent in accordance with the terms thereof,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200" w:lineRule="exact"/>
        <w:rPr>
          <w:sz w:val="20"/>
          <w:szCs w:val="20"/>
          <w:color w:val="auto"/>
        </w:rPr>
      </w:pPr>
    </w:p>
    <w:p>
      <w:pPr>
        <w:spacing w:after="0" w:line="3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375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5" w:right="339" w:bottom="1440" w:gutter="0" w:footer="0" w:header="0"/>
        </w:sectPr>
      </w:pPr>
    </w:p>
    <w:bookmarkStart w:id="51" w:name="page52"/>
    <w:bookmarkEnd w:id="51"/>
    <w:p>
      <w:pPr>
        <w:jc w:val="both"/>
        <w:ind w:left="600" w:firstLine="584"/>
        <w:spacing w:after="0" w:line="265" w:lineRule="auto"/>
        <w:tabs>
          <w:tab w:leader="none" w:pos="15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material damage to, or loss, theft or destruction of, any Collateral (provided that any damage, loss, theft or destruction of the Collateral that reduces the value of such Collateral by one million dollars ($1,000,000) or more shall be deemed to be material), that is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reasonably be expected to have a Material Adverse Effect (as defined in the Securities Exchange Agreement). For clarity, an Event of Default under this </w:t>
      </w:r>
      <w:r>
        <w:rPr>
          <w:rFonts w:ascii="Times New Roman" w:cs="Times New Roman" w:eastAsia="Times New Roman" w:hAnsi="Times New Roman"/>
          <w:sz w:val="16"/>
          <w:szCs w:val="16"/>
          <w:b w:val="1"/>
          <w:bCs w:val="1"/>
          <w:color w:val="auto"/>
        </w:rPr>
        <w:t>Section 11(A)(xv)</w:t>
      </w:r>
      <w:r>
        <w:rPr>
          <w:rFonts w:ascii="Times New Roman" w:cs="Times New Roman" w:eastAsia="Times New Roman" w:hAnsi="Times New Roman"/>
          <w:sz w:val="16"/>
          <w:szCs w:val="16"/>
          <w:color w:val="auto"/>
        </w:rPr>
        <w:t xml:space="preserve"> will not require any curtailment of revenue;</w:t>
      </w:r>
    </w:p>
    <w:p>
      <w:pPr>
        <w:spacing w:after="0" w:line="164" w:lineRule="exact"/>
        <w:rPr>
          <w:rFonts w:ascii="Times New Roman" w:cs="Times New Roman" w:eastAsia="Times New Roman" w:hAnsi="Times New Roman"/>
          <w:sz w:val="16"/>
          <w:szCs w:val="16"/>
          <w:color w:val="auto"/>
        </w:rPr>
      </w:pPr>
    </w:p>
    <w:p>
      <w:pPr>
        <w:jc w:val="both"/>
        <w:ind w:left="600" w:firstLine="584"/>
        <w:spacing w:after="0" w:line="271" w:lineRule="auto"/>
        <w:tabs>
          <w:tab w:leader="none" w:pos="15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fails to remove any restrictive legend on any certificate or any shares of Common Stock issued to the Holder pursuant to any Securities (as defined in the Securities Exchange Agreement) acquired by the Holder under the Securities Exchange Agreement as and when required by such Securities or the Securities Exchange Agreement, unless otherwise then prohibited by applicable federal securities laws and such failure continues for more than five (5) Trading Days;</w:t>
      </w:r>
    </w:p>
    <w:p>
      <w:pPr>
        <w:spacing w:after="0" w:line="156" w:lineRule="exact"/>
        <w:rPr>
          <w:rFonts w:ascii="Times New Roman" w:cs="Times New Roman" w:eastAsia="Times New Roman" w:hAnsi="Times New Roman"/>
          <w:sz w:val="16"/>
          <w:szCs w:val="16"/>
          <w:color w:val="auto"/>
        </w:rPr>
      </w:pPr>
    </w:p>
    <w:p>
      <w:pPr>
        <w:ind w:left="1600" w:hanging="416"/>
        <w:spacing w:after="0"/>
        <w:tabs>
          <w:tab w:leader="none" w:pos="16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of its Significant Subsidiaries, pursuant to or within the meaning of any Bankruptcy Law, either:</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commences a voluntary case or proceeding;</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entry of an order for relief against it in an involuntary case or proceeding;</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appointment of a custodian of it or for any substantial part of its property;</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for the benefit of its creditors;</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takes any comparable action under any foreign Bankruptcy Law; or</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is not paying its debts as they become due; or</w:t>
      </w:r>
    </w:p>
    <w:p>
      <w:pPr>
        <w:spacing w:after="0" w:line="211" w:lineRule="exact"/>
        <w:rPr>
          <w:rFonts w:ascii="Times New Roman" w:cs="Times New Roman" w:eastAsia="Times New Roman" w:hAnsi="Times New Roman"/>
          <w:sz w:val="16"/>
          <w:szCs w:val="16"/>
          <w:color w:val="auto"/>
        </w:rPr>
      </w:pPr>
    </w:p>
    <w:p>
      <w:pPr>
        <w:ind w:left="1640" w:hanging="456"/>
        <w:spacing w:after="0"/>
        <w:tabs>
          <w:tab w:leader="none" w:pos="1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of competent jurisdiction enters an order or decree under any Bankruptcy Law that either:</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for relief against Company or any of its Significant Subsidiaries in an involuntary case or proceeding;</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custodian of the Company or any of its Significant Subsidiaries, or for any substantial part of the property of the Company or any</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its Significant Subsidiaries;</w:t>
      </w:r>
    </w:p>
    <w:p>
      <w:pPr>
        <w:spacing w:after="0" w:line="194"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winding up or liquidation of the Company or any of its Significant Subsidiaries; or</w:t>
      </w:r>
    </w:p>
    <w:p>
      <w:pPr>
        <w:spacing w:after="0" w:line="211" w:lineRule="exact"/>
        <w:rPr>
          <w:rFonts w:ascii="Times New Roman" w:cs="Times New Roman" w:eastAsia="Times New Roman" w:hAnsi="Times New Roman"/>
          <w:sz w:val="16"/>
          <w:szCs w:val="16"/>
          <w:color w:val="auto"/>
        </w:rPr>
      </w:pPr>
    </w:p>
    <w:p>
      <w:pPr>
        <w:ind w:left="2020" w:hanging="243"/>
        <w:spacing w:after="0"/>
        <w:tabs>
          <w:tab w:leader="none" w:pos="20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any similar relief with respect to the Company or any of its Significant Subsidiaries under any foreign Bankruptcy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and, in each case under this </w:t>
      </w:r>
      <w:r>
        <w:rPr>
          <w:rFonts w:ascii="Times New Roman" w:cs="Times New Roman" w:eastAsia="Times New Roman" w:hAnsi="Times New Roman"/>
          <w:sz w:val="16"/>
          <w:szCs w:val="16"/>
          <w:b w:val="1"/>
          <w:bCs w:val="1"/>
          <w:color w:val="auto"/>
        </w:rPr>
        <w:t>Section 11(A)(xviii)</w:t>
      </w:r>
      <w:r>
        <w:rPr>
          <w:rFonts w:ascii="Times New Roman" w:cs="Times New Roman" w:eastAsia="Times New Roman" w:hAnsi="Times New Roman"/>
          <w:sz w:val="16"/>
          <w:szCs w:val="16"/>
          <w:color w:val="auto"/>
        </w:rPr>
        <w:t>, such order or decree remains unstayed and in effect for at least thirty (30) days.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2" w:name="page53"/>
    <w:bookmarkEnd w:id="52"/>
    <w:p>
      <w:pPr>
        <w:ind w:left="1540" w:hanging="356"/>
        <w:spacing w:after="0"/>
        <w:tabs>
          <w:tab w:leader="none" w:pos="154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stockholders approve any plan for the liquidation or dissolution of the Company:</w:t>
      </w:r>
    </w:p>
    <w:p>
      <w:pPr>
        <w:spacing w:after="0" w:line="209" w:lineRule="exact"/>
        <w:rPr>
          <w:rFonts w:ascii="Times New Roman" w:cs="Times New Roman" w:eastAsia="Times New Roman" w:hAnsi="Times New Roman"/>
          <w:sz w:val="16"/>
          <w:szCs w:val="16"/>
          <w:color w:val="auto"/>
        </w:rPr>
      </w:pPr>
    </w:p>
    <w:p>
      <w:pPr>
        <w:ind w:left="860" w:hanging="268"/>
        <w:spacing w:after="0"/>
        <w:tabs>
          <w:tab w:leader="none" w:pos="8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Acceleration.</w:t>
      </w:r>
    </w:p>
    <w:p>
      <w:pPr>
        <w:spacing w:after="0" w:line="209" w:lineRule="exact"/>
        <w:rPr>
          <w:rFonts w:ascii="Times New Roman" w:cs="Times New Roman" w:eastAsia="Times New Roman" w:hAnsi="Times New Roman"/>
          <w:sz w:val="16"/>
          <w:szCs w:val="16"/>
          <w:color w:val="auto"/>
        </w:rPr>
      </w:pPr>
    </w:p>
    <w:p>
      <w:pPr>
        <w:jc w:val="both"/>
        <w:ind w:left="600" w:firstLine="584"/>
        <w:spacing w:after="0" w:line="280" w:lineRule="auto"/>
        <w:tabs>
          <w:tab w:leader="none" w:pos="138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Automatic Acceleration in Certain Circumstances</w:t>
      </w:r>
      <w:r>
        <w:rPr>
          <w:rFonts w:ascii="Times New Roman" w:cs="Times New Roman" w:eastAsia="Times New Roman" w:hAnsi="Times New Roman"/>
          <w:sz w:val="16"/>
          <w:szCs w:val="16"/>
          <w:color w:val="auto"/>
        </w:rPr>
        <w:t>. If an Event of Default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occurs with respect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46" w:lineRule="exact"/>
        <w:rPr>
          <w:rFonts w:ascii="Times New Roman" w:cs="Times New Roman" w:eastAsia="Times New Roman" w:hAnsi="Times New Roman"/>
          <w:sz w:val="16"/>
          <w:szCs w:val="16"/>
          <w:color w:val="auto"/>
        </w:rPr>
      </w:pPr>
    </w:p>
    <w:p>
      <w:pPr>
        <w:jc w:val="both"/>
        <w:ind w:left="600" w:firstLine="584"/>
        <w:spacing w:after="0" w:line="276" w:lineRule="auto"/>
        <w:tabs>
          <w:tab w:leader="none" w:pos="1435"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Optional Acceleration</w:t>
      </w:r>
      <w:r>
        <w:rPr>
          <w:rFonts w:ascii="Times New Roman" w:cs="Times New Roman" w:eastAsia="Times New Roman" w:hAnsi="Times New Roman"/>
          <w:sz w:val="16"/>
          <w:szCs w:val="16"/>
          <w:color w:val="auto"/>
        </w:rPr>
        <w:t>. If an Event of Default (other than an Event of Default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and not solely with respect to a Subsidiary of the Company) occurs and has not been waived by the Holder, then the Holder, by notice to the Company, may declare this Note (or any portion thereof) to become due and payable immediately for cash in an amount equal to the Event of Default Acceleration Amount.</w:t>
      </w:r>
    </w:p>
    <w:p>
      <w:pPr>
        <w:spacing w:after="0" w:line="355" w:lineRule="exact"/>
        <w:rPr>
          <w:rFonts w:ascii="Times New Roman" w:cs="Times New Roman" w:eastAsia="Times New Roman" w:hAnsi="Times New Roman"/>
          <w:sz w:val="16"/>
          <w:szCs w:val="16"/>
          <w:color w:val="auto"/>
        </w:rPr>
      </w:pPr>
    </w:p>
    <w:p>
      <w:pPr>
        <w:jc w:val="both"/>
        <w:ind w:firstLine="592"/>
        <w:spacing w:after="0" w:line="271" w:lineRule="auto"/>
        <w:tabs>
          <w:tab w:leader="none" w:pos="85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Events of Default</w:t>
      </w:r>
      <w:r>
        <w:rPr>
          <w:rFonts w:ascii="Times New Roman" w:cs="Times New Roman" w:eastAsia="Times New Roman" w:hAnsi="Times New Roman"/>
          <w:sz w:val="16"/>
          <w:szCs w:val="16"/>
          <w:color w:val="auto"/>
        </w:rPr>
        <w:t>. Promptly, but in no event later than two (2) Business Days after an Event of Default, the Company will provide written notice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Event of Default to the Holder (an “</w:t>
      </w:r>
      <w:r>
        <w:rPr>
          <w:rFonts w:ascii="Times New Roman" w:cs="Times New Roman" w:eastAsia="Times New Roman" w:hAnsi="Times New Roman"/>
          <w:sz w:val="16"/>
          <w:szCs w:val="16"/>
          <w:b w:val="1"/>
          <w:bCs w:val="1"/>
          <w:color w:val="auto"/>
        </w:rPr>
        <w:t>Event of Default Notice</w:t>
      </w:r>
      <w:r>
        <w:rPr>
          <w:rFonts w:ascii="Times New Roman" w:cs="Times New Roman" w:eastAsia="Times New Roman" w:hAnsi="Times New Roman"/>
          <w:sz w:val="16"/>
          <w:szCs w:val="16"/>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12. R</w:t>
      </w:r>
      <w:r>
        <w:rPr>
          <w:rFonts w:ascii="Times New Roman" w:cs="Times New Roman" w:eastAsia="Times New Roman" w:hAnsi="Times New Roman"/>
          <w:sz w:val="11"/>
          <w:szCs w:val="11"/>
          <w:b w:val="1"/>
          <w:bCs w:val="1"/>
          <w:color w:val="auto"/>
        </w:rPr>
        <w:t>anking</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77" w:lineRule="auto"/>
        <w:rPr>
          <w:sz w:val="20"/>
          <w:szCs w:val="20"/>
          <w:color w:val="auto"/>
        </w:rPr>
      </w:pPr>
      <w:r>
        <w:rPr>
          <w:rFonts w:ascii="Times New Roman" w:cs="Times New Roman" w:eastAsia="Times New Roman" w:hAnsi="Times New Roman"/>
          <w:sz w:val="16"/>
          <w:szCs w:val="16"/>
          <w:color w:val="auto"/>
        </w:rPr>
        <w:t>All payments due under this Note shall rank (i) pari passu with all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13. R</w:t>
      </w:r>
      <w:r>
        <w:rPr>
          <w:rFonts w:ascii="Times New Roman" w:cs="Times New Roman" w:eastAsia="Times New Roman" w:hAnsi="Times New Roman"/>
          <w:sz w:val="11"/>
          <w:szCs w:val="11"/>
          <w:b w:val="1"/>
          <w:bCs w:val="1"/>
          <w:color w:val="auto"/>
        </w:rPr>
        <w:t>eplacement</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71" w:lineRule="auto"/>
        <w:rPr>
          <w:sz w:val="20"/>
          <w:szCs w:val="20"/>
          <w:color w:val="auto"/>
        </w:rPr>
      </w:pPr>
      <w:r>
        <w:rPr>
          <w:rFonts w:ascii="Times New Roman" w:cs="Times New Roman" w:eastAsia="Times New Roman" w:hAnsi="Times New Roman"/>
          <w:sz w:val="16"/>
          <w:szCs w:val="16"/>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Section 14. N</w:t>
      </w:r>
      <w:r>
        <w:rPr>
          <w:rFonts w:ascii="Times New Roman" w:cs="Times New Roman" w:eastAsia="Times New Roman" w:hAnsi="Times New Roman"/>
          <w:sz w:val="11"/>
          <w:szCs w:val="11"/>
          <w:b w:val="1"/>
          <w:bCs w:val="1"/>
          <w:color w:val="auto"/>
        </w:rPr>
        <w:t>otices</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77" w:lineRule="auto"/>
        <w:rPr>
          <w:sz w:val="20"/>
          <w:szCs w:val="20"/>
          <w:color w:val="auto"/>
        </w:rPr>
      </w:pPr>
      <w:r>
        <w:rPr>
          <w:rFonts w:ascii="Times New Roman" w:cs="Times New Roman" w:eastAsia="Times New Roman" w:hAnsi="Times New Roman"/>
          <w:sz w:val="16"/>
          <w:szCs w:val="16"/>
          <w:color w:val="auto"/>
        </w:rPr>
        <w:t>Any notice or communication to the Company will be deemed to have been duly given if in writing and delivered in person or by first class mail (registered or certified, return receipt requested), electronic transmission (including e-mail) or other similar means of unsecured electronic communication or overnight air courier guaranteeing next day delivery, or to the other’s address, which initially is as follows:</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76 Treble Cove Rd., Building 3</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Billerica, MA 01862</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Joshua Savitz, Esq., Associate General Counsel</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address: josh.savitz@agrify.com</w:t>
      </w:r>
    </w:p>
    <w:p>
      <w:pPr>
        <w:spacing w:after="0" w:line="1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125 High Street</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Boston, MA 02110</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617-345-3684</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Frank A. Segall, Esq.</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FSegall@burnslev.com</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 by notice to the Holder, may designate additional or different addresses for subsequent notices or communications.</w:t>
      </w:r>
    </w:p>
    <w:p>
      <w:pPr>
        <w:spacing w:after="0" w:line="211" w:lineRule="exact"/>
        <w:rPr>
          <w:sz w:val="20"/>
          <w:szCs w:val="20"/>
          <w:color w:val="auto"/>
        </w:rPr>
      </w:pPr>
    </w:p>
    <w:p>
      <w:pPr>
        <w:ind w:firstLine="593"/>
        <w:spacing w:after="0" w:line="297" w:lineRule="auto"/>
        <w:rPr>
          <w:sz w:val="20"/>
          <w:szCs w:val="20"/>
          <w:color w:val="auto"/>
        </w:rPr>
      </w:pPr>
      <w:r>
        <w:rPr>
          <w:rFonts w:ascii="Times New Roman" w:cs="Times New Roman" w:eastAsia="Times New Roman" w:hAnsi="Times New Roman"/>
          <w:sz w:val="16"/>
          <w:szCs w:val="16"/>
          <w:color w:val="auto"/>
        </w:rPr>
        <w:t>Any notice or communication to the Holder will be by email to its email address, which initially are as set forth in the Securities Exchange Agreement. The Holder, by notice to the Company, may designate additional or different addresses for subsequent notices or communications.</w:t>
      </w:r>
    </w:p>
    <w:p>
      <w:pPr>
        <w:spacing w:after="0" w:line="137" w:lineRule="exact"/>
        <w:rPr>
          <w:sz w:val="20"/>
          <w:szCs w:val="20"/>
          <w:color w:val="auto"/>
        </w:rPr>
      </w:pPr>
    </w:p>
    <w:p>
      <w:pPr>
        <w:ind w:firstLine="593"/>
        <w:spacing w:after="0" w:line="297" w:lineRule="auto"/>
        <w:rPr>
          <w:sz w:val="20"/>
          <w:szCs w:val="20"/>
          <w:color w:val="auto"/>
        </w:rPr>
      </w:pPr>
      <w:r>
        <w:rPr>
          <w:rFonts w:ascii="Times New Roman" w:cs="Times New Roman" w:eastAsia="Times New Roman" w:hAnsi="Times New Roman"/>
          <w:sz w:val="16"/>
          <w:szCs w:val="16"/>
          <w:color w:val="auto"/>
        </w:rPr>
        <w:t>If a notice or communication is mailed in the manner provided above within the time prescribed, it will be deemed to have been duly given, whether or not the addressee receives 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15. S</w:t>
      </w:r>
      <w:r>
        <w:rPr>
          <w:rFonts w:ascii="Times New Roman" w:cs="Times New Roman" w:eastAsia="Times New Roman" w:hAnsi="Times New Roman"/>
          <w:sz w:val="11"/>
          <w:szCs w:val="11"/>
          <w:b w:val="1"/>
          <w:bCs w:val="1"/>
          <w:color w:val="auto"/>
        </w:rPr>
        <w:t>uccessors and</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1"/>
          <w:szCs w:val="11"/>
          <w:b w:val="1"/>
          <w:bCs w:val="1"/>
          <w:color w:val="auto"/>
        </w:rPr>
        <w:t>ssigns</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All agreements of the Company in this Note will bind its successors and will inure to the benefit of the Holder’s successors and assigns.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16. S</w:t>
      </w:r>
      <w:r>
        <w:rPr>
          <w:rFonts w:ascii="Times New Roman" w:cs="Times New Roman" w:eastAsia="Times New Roman" w:hAnsi="Times New Roman"/>
          <w:sz w:val="11"/>
          <w:szCs w:val="11"/>
          <w:b w:val="1"/>
          <w:bCs w:val="1"/>
          <w:color w:val="auto"/>
        </w:rPr>
        <w:t>everability</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ind w:firstLine="593"/>
        <w:spacing w:after="0" w:line="297" w:lineRule="auto"/>
        <w:rPr>
          <w:sz w:val="20"/>
          <w:szCs w:val="20"/>
          <w:color w:val="auto"/>
        </w:rPr>
      </w:pPr>
      <w:r>
        <w:rPr>
          <w:rFonts w:ascii="Times New Roman" w:cs="Times New Roman" w:eastAsia="Times New Roman" w:hAnsi="Times New Roman"/>
          <w:sz w:val="16"/>
          <w:szCs w:val="16"/>
          <w:color w:val="auto"/>
        </w:rPr>
        <w:t>If any provision of this Note is invalid, illegal or unenforceable, then the validity, legality and enforceability of the remaining provisions of this Note will not in any way be affected or impaired thereby.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17. H</w:t>
      </w:r>
      <w:r>
        <w:rPr>
          <w:rFonts w:ascii="Times New Roman" w:cs="Times New Roman" w:eastAsia="Times New Roman" w:hAnsi="Times New Roman"/>
          <w:sz w:val="11"/>
          <w:szCs w:val="11"/>
          <w:b w:val="1"/>
          <w:bCs w:val="1"/>
          <w:color w:val="auto"/>
        </w:rPr>
        <w:t>eadings</w:t>
      </w:r>
      <w:r>
        <w:rPr>
          <w:rFonts w:ascii="Times New Roman" w:cs="Times New Roman" w:eastAsia="Times New Roman" w:hAnsi="Times New Roman"/>
          <w:sz w:val="16"/>
          <w:szCs w:val="16"/>
          <w:b w:val="1"/>
          <w:bCs w:val="1"/>
          <w:color w:val="auto"/>
        </w:rPr>
        <w:t>, E</w:t>
      </w:r>
      <w:r>
        <w:rPr>
          <w:rFonts w:ascii="Times New Roman" w:cs="Times New Roman" w:eastAsia="Times New Roman" w:hAnsi="Times New Roman"/>
          <w:sz w:val="11"/>
          <w:szCs w:val="11"/>
          <w:b w:val="1"/>
          <w:bCs w:val="1"/>
          <w:color w:val="auto"/>
        </w:rPr>
        <w:t>tc</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ind w:firstLine="593"/>
        <w:spacing w:after="0" w:line="297" w:lineRule="auto"/>
        <w:rPr>
          <w:sz w:val="20"/>
          <w:szCs w:val="20"/>
          <w:color w:val="auto"/>
        </w:rPr>
      </w:pPr>
      <w:r>
        <w:rPr>
          <w:rFonts w:ascii="Times New Roman" w:cs="Times New Roman" w:eastAsia="Times New Roman" w:hAnsi="Times New Roman"/>
          <w:sz w:val="16"/>
          <w:szCs w:val="16"/>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Section 18. A</w:t>
      </w:r>
      <w:r>
        <w:rPr>
          <w:rFonts w:ascii="Times New Roman" w:cs="Times New Roman" w:eastAsia="Times New Roman" w:hAnsi="Times New Roman"/>
          <w:sz w:val="11"/>
          <w:szCs w:val="11"/>
          <w:b w:val="1"/>
          <w:bCs w:val="1"/>
          <w:color w:val="auto"/>
        </w:rPr>
        <w:t>mendments</w:t>
      </w:r>
    </w:p>
    <w:p>
      <w:pPr>
        <w:spacing w:after="0" w:line="215" w:lineRule="exact"/>
        <w:rPr>
          <w:sz w:val="20"/>
          <w:szCs w:val="20"/>
          <w:color w:val="auto"/>
        </w:rPr>
      </w:pPr>
    </w:p>
    <w:p>
      <w:pPr>
        <w:jc w:val="both"/>
        <w:ind w:firstLine="593"/>
        <w:spacing w:after="0" w:line="297" w:lineRule="auto"/>
        <w:rPr>
          <w:sz w:val="20"/>
          <w:szCs w:val="20"/>
          <w:color w:val="auto"/>
        </w:rPr>
      </w:pPr>
      <w:r>
        <w:rPr>
          <w:rFonts w:ascii="Times New Roman" w:cs="Times New Roman" w:eastAsia="Times New Roman" w:hAnsi="Times New Roman"/>
          <w:sz w:val="16"/>
          <w:szCs w:val="16"/>
          <w:color w:val="auto"/>
        </w:rPr>
        <w:t>This Note may not be amended or modified unless in writing by the Company and the Required Holders (as defined in the Securities Exchange Agreement), and no condition herein (express or implied) may be waived unless waived in writing by each party whom the condition is meant to benefit.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19. G</w:t>
      </w:r>
      <w:r>
        <w:rPr>
          <w:rFonts w:ascii="Times New Roman" w:cs="Times New Roman" w:eastAsia="Times New Roman" w:hAnsi="Times New Roman"/>
          <w:sz w:val="11"/>
          <w:szCs w:val="11"/>
          <w:b w:val="1"/>
          <w:bCs w:val="1"/>
          <w:color w:val="auto"/>
        </w:rPr>
        <w:t>overning</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1"/>
          <w:szCs w:val="11"/>
          <w:b w:val="1"/>
          <w:bCs w:val="1"/>
          <w:color w:val="auto"/>
        </w:rPr>
        <w:t>aw</w:t>
      </w:r>
      <w:r>
        <w:rPr>
          <w:rFonts w:ascii="Times New Roman" w:cs="Times New Roman" w:eastAsia="Times New Roman" w:hAnsi="Times New Roman"/>
          <w:sz w:val="16"/>
          <w:szCs w:val="16"/>
          <w:b w:val="1"/>
          <w:bCs w:val="1"/>
          <w:color w:val="auto"/>
        </w:rPr>
        <w:t>; W</w:t>
      </w:r>
      <w:r>
        <w:rPr>
          <w:rFonts w:ascii="Times New Roman" w:cs="Times New Roman" w:eastAsia="Times New Roman" w:hAnsi="Times New Roman"/>
          <w:sz w:val="11"/>
          <w:szCs w:val="11"/>
          <w:b w:val="1"/>
          <w:bCs w:val="1"/>
          <w:color w:val="auto"/>
        </w:rPr>
        <w:t>aiver of</w:t>
      </w:r>
      <w:r>
        <w:rPr>
          <w:rFonts w:ascii="Times New Roman" w:cs="Times New Roman" w:eastAsia="Times New Roman" w:hAnsi="Times New Roman"/>
          <w:sz w:val="16"/>
          <w:szCs w:val="16"/>
          <w:b w:val="1"/>
          <w:bCs w:val="1"/>
          <w:color w:val="auto"/>
        </w:rPr>
        <w:t xml:space="preserve"> J</w:t>
      </w:r>
      <w:r>
        <w:rPr>
          <w:rFonts w:ascii="Times New Roman" w:cs="Times New Roman" w:eastAsia="Times New Roman" w:hAnsi="Times New Roman"/>
          <w:sz w:val="11"/>
          <w:szCs w:val="11"/>
          <w:b w:val="1"/>
          <w:bCs w:val="1"/>
          <w:color w:val="auto"/>
        </w:rPr>
        <w:t>ury</w:t>
      </w:r>
      <w:r>
        <w:rPr>
          <w:rFonts w:ascii="Times New Roman" w:cs="Times New Roman" w:eastAsia="Times New Roman" w:hAnsi="Times New Roman"/>
          <w:sz w:val="16"/>
          <w:szCs w:val="16"/>
          <w:b w:val="1"/>
          <w:bCs w:val="1"/>
          <w:color w:val="auto"/>
        </w:rPr>
        <w:t xml:space="preserve"> T</w:t>
      </w:r>
      <w:r>
        <w:rPr>
          <w:rFonts w:ascii="Times New Roman" w:cs="Times New Roman" w:eastAsia="Times New Roman" w:hAnsi="Times New Roman"/>
          <w:sz w:val="11"/>
          <w:szCs w:val="11"/>
          <w:b w:val="1"/>
          <w:bCs w:val="1"/>
          <w:color w:val="auto"/>
        </w:rPr>
        <w:t>rial</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60" w:lineRule="auto"/>
        <w:rPr>
          <w:sz w:val="20"/>
          <w:szCs w:val="20"/>
          <w:color w:val="auto"/>
        </w:rPr>
      </w:pPr>
      <w:r>
        <w:rPr>
          <w:rFonts w:ascii="Times New Roman" w:cs="Times New Roman" w:eastAsia="Times New Roman" w:hAnsi="Times New Roman"/>
          <w:sz w:val="16"/>
          <w:szCs w:val="16"/>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UNDER ANY OTHER TRANSACTION DOCUMENT OR IN CONNECTION WITH OR ARISING OUT OF THIS NOTE OR ANY OTHER TRANSACTION DOCUMENT OR ANY TRANSACTION CONTEMPLATED HEREBY OR THEREBY.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20. S</w:t>
      </w:r>
      <w:r>
        <w:rPr>
          <w:rFonts w:ascii="Times New Roman" w:cs="Times New Roman" w:eastAsia="Times New Roman" w:hAnsi="Times New Roman"/>
          <w:sz w:val="11"/>
          <w:szCs w:val="11"/>
          <w:b w:val="1"/>
          <w:bCs w:val="1"/>
          <w:color w:val="auto"/>
        </w:rPr>
        <w:t>ubmission to</w:t>
      </w:r>
      <w:r>
        <w:rPr>
          <w:rFonts w:ascii="Times New Roman" w:cs="Times New Roman" w:eastAsia="Times New Roman" w:hAnsi="Times New Roman"/>
          <w:sz w:val="16"/>
          <w:szCs w:val="16"/>
          <w:b w:val="1"/>
          <w:bCs w:val="1"/>
          <w:color w:val="auto"/>
        </w:rPr>
        <w:t xml:space="preserve"> J</w:t>
      </w:r>
      <w:r>
        <w:rPr>
          <w:rFonts w:ascii="Times New Roman" w:cs="Times New Roman" w:eastAsia="Times New Roman" w:hAnsi="Times New Roman"/>
          <w:sz w:val="11"/>
          <w:szCs w:val="11"/>
          <w:b w:val="1"/>
          <w:bCs w:val="1"/>
          <w:color w:val="auto"/>
        </w:rPr>
        <w:t>urisdiction</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71" w:lineRule="auto"/>
        <w:rPr>
          <w:sz w:val="20"/>
          <w:szCs w:val="20"/>
          <w:color w:val="auto"/>
        </w:rPr>
      </w:pPr>
      <w:r>
        <w:rPr>
          <w:rFonts w:ascii="Times New Roman" w:cs="Times New Roman" w:eastAsia="Times New Roman" w:hAnsi="Times New Roman"/>
          <w:sz w:val="16"/>
          <w:szCs w:val="16"/>
          <w:color w:val="auto"/>
        </w:rPr>
        <w:t>The Company and each Holder (A) agree that any suit, action or proceeding against it arising out of or relating to this Note shall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nonexclusive jurisdiction of such court in any such suit, action or proceeding.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Section 21. E</w:t>
      </w:r>
      <w:r>
        <w:rPr>
          <w:rFonts w:ascii="Times New Roman" w:cs="Times New Roman" w:eastAsia="Times New Roman" w:hAnsi="Times New Roman"/>
          <w:sz w:val="11"/>
          <w:szCs w:val="11"/>
          <w:b w:val="1"/>
          <w:bCs w:val="1"/>
          <w:color w:val="auto"/>
        </w:rPr>
        <w:t>nforcement</w:t>
      </w:r>
      <w:r>
        <w:rPr>
          <w:rFonts w:ascii="Times New Roman" w:cs="Times New Roman" w:eastAsia="Times New Roman" w:hAnsi="Times New Roman"/>
          <w:sz w:val="16"/>
          <w:szCs w:val="16"/>
          <w:b w:val="1"/>
          <w:bCs w:val="1"/>
          <w:color w:val="auto"/>
        </w:rPr>
        <w:t xml:space="preserve"> F</w:t>
      </w:r>
      <w:r>
        <w:rPr>
          <w:rFonts w:ascii="Times New Roman" w:cs="Times New Roman" w:eastAsia="Times New Roman" w:hAnsi="Times New Roman"/>
          <w:sz w:val="11"/>
          <w:szCs w:val="11"/>
          <w:b w:val="1"/>
          <w:bCs w:val="1"/>
          <w:color w:val="auto"/>
        </w:rPr>
        <w:t>ees</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97" w:lineRule="auto"/>
        <w:rPr>
          <w:sz w:val="20"/>
          <w:szCs w:val="20"/>
          <w:color w:val="auto"/>
        </w:rPr>
      </w:pPr>
      <w:r>
        <w:rPr>
          <w:rFonts w:ascii="Times New Roman" w:cs="Times New Roman" w:eastAsia="Times New Roman" w:hAnsi="Times New Roman"/>
          <w:sz w:val="16"/>
          <w:szCs w:val="16"/>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22. E</w:t>
      </w:r>
      <w:r>
        <w:rPr>
          <w:rFonts w:ascii="Times New Roman" w:cs="Times New Roman" w:eastAsia="Times New Roman" w:hAnsi="Times New Roman"/>
          <w:sz w:val="11"/>
          <w:szCs w:val="11"/>
          <w:b w:val="1"/>
          <w:bCs w:val="1"/>
          <w:color w:val="auto"/>
        </w:rPr>
        <w:t>lectronic</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1"/>
          <w:szCs w:val="11"/>
          <w:b w:val="1"/>
          <w:bCs w:val="1"/>
          <w:color w:val="auto"/>
        </w:rPr>
        <w:t>xecution</w:t>
      </w:r>
      <w:r>
        <w:rPr>
          <w:rFonts w:ascii="Times New Roman" w:cs="Times New Roman" w:eastAsia="Times New Roman" w:hAnsi="Times New Roman"/>
          <w:sz w:val="16"/>
          <w:szCs w:val="16"/>
          <w:b w:val="1"/>
          <w:bCs w:val="1"/>
          <w:color w:val="auto"/>
        </w:rPr>
        <w:t>.</w:t>
      </w:r>
    </w:p>
    <w:p>
      <w:pPr>
        <w:spacing w:after="0" w:line="215" w:lineRule="exact"/>
        <w:rPr>
          <w:sz w:val="20"/>
          <w:szCs w:val="20"/>
          <w:color w:val="auto"/>
        </w:rPr>
      </w:pPr>
    </w:p>
    <w:p>
      <w:pPr>
        <w:jc w:val="both"/>
        <w:ind w:firstLine="593"/>
        <w:spacing w:after="0" w:line="267" w:lineRule="auto"/>
        <w:rPr>
          <w:sz w:val="20"/>
          <w:szCs w:val="20"/>
          <w:color w:val="auto"/>
        </w:rPr>
      </w:pPr>
      <w:r>
        <w:rPr>
          <w:rFonts w:ascii="Times New Roman" w:cs="Times New Roman" w:eastAsia="Times New Roman" w:hAnsi="Times New Roman"/>
          <w:sz w:val="16"/>
          <w:szCs w:val="16"/>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Conversion Notice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Senior Secured Convertible Note due 2025</w:t>
      </w:r>
    </w:p>
    <w:p>
      <w:pPr>
        <w:spacing w:after="0" w:line="2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Subject to the terms of this Note, by executing and delivering this Conversion Notice, the undersigned Holder of this Note directs the Company to convert the following Principal Amount of this Note: $</w:t>
      </w:r>
      <w:r>
        <w:rPr>
          <w:rFonts w:ascii="Times New Roman" w:cs="Times New Roman" w:eastAsia="Times New Roman" w:hAnsi="Times New Roman"/>
          <w:sz w:val="16"/>
          <w:szCs w:val="16"/>
          <w:u w:val="single" w:color="auto"/>
          <w:color w:val="auto"/>
        </w:rPr>
        <w:t>_______</w:t>
      </w:r>
      <w:r>
        <w:rPr>
          <w:rFonts w:ascii="Times New Roman" w:cs="Times New Roman" w:eastAsia="Times New Roman" w:hAnsi="Times New Roman"/>
          <w:sz w:val="16"/>
          <w:szCs w:val="16"/>
          <w:color w:val="auto"/>
        </w:rPr>
        <w:t>,000 in accordance with the following details.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to be delivered (the “</w:t>
      </w:r>
      <w:r>
        <w:rPr>
          <w:rFonts w:ascii="Times New Roman" w:cs="Times New Roman" w:eastAsia="Times New Roman" w:hAnsi="Times New Roman"/>
          <w:sz w:val="16"/>
          <w:szCs w:val="16"/>
          <w:b w:val="1"/>
          <w:bCs w:val="1"/>
          <w:color w:val="auto"/>
        </w:rPr>
        <w:t>Delivered Shares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286258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258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interest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286258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6258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286258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6258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286258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6258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26670</wp:posOffset>
            </wp:positionV>
            <wp:extent cx="678307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83070" cy="15875"/>
                    </a:xfrm>
                    <a:prstGeom prst="rect">
                      <a:avLst/>
                    </a:prstGeom>
                    <a:noFill/>
                  </pic:spPr>
                </pic:pic>
              </a:graphicData>
            </a:graphic>
          </wp:anchor>
        </w:drawing>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(Legal Name of Holder)</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For the purposes of that certain Irrevocable Letter of Instructions to Transfer Agent, dated as of March 8, 2023, by and between the Company and the Holder (the “</w:t>
      </w:r>
      <w:r>
        <w:rPr>
          <w:rFonts w:ascii="Times New Roman" w:cs="Times New Roman" w:eastAsia="Times New Roman" w:hAnsi="Times New Roman"/>
          <w:sz w:val="16"/>
          <w:szCs w:val="16"/>
          <w:b w:val="1"/>
          <w:bCs w:val="1"/>
          <w:color w:val="auto"/>
        </w:rPr>
        <w:t>Instruction Letter</w:t>
      </w:r>
      <w:r>
        <w:rPr>
          <w:rFonts w:ascii="Times New Roman" w:cs="Times New Roman" w:eastAsia="Times New Roman" w:hAnsi="Times New Roman"/>
          <w:sz w:val="16"/>
          <w:szCs w:val="16"/>
          <w:color w:val="auto"/>
        </w:rPr>
        <w:t>”), to the extent the Delivered Shares exceed the Note Shares Reserve (as such term is defined in the Instruction Letter) as of the date hereof (such amount, the “</w:t>
      </w:r>
      <w:r>
        <w:rPr>
          <w:rFonts w:ascii="Times New Roman" w:cs="Times New Roman" w:eastAsia="Times New Roman" w:hAnsi="Times New Roman"/>
          <w:sz w:val="16"/>
          <w:szCs w:val="16"/>
          <w:b w:val="1"/>
          <w:bCs w:val="1"/>
          <w:color w:val="auto"/>
        </w:rPr>
        <w:t>Excess Shares</w:t>
      </w:r>
      <w:r>
        <w:rPr>
          <w:rFonts w:ascii="Times New Roman" w:cs="Times New Roman" w:eastAsia="Times New Roman" w:hAnsi="Times New Roman"/>
          <w:sz w:val="16"/>
          <w:szCs w:val="16"/>
          <w:color w:val="auto"/>
        </w:rPr>
        <w:t>”), the Note Shares Reserve shall be deemed to be increased by a number of shares of Common Stock equal to the Excess Shares.</w:t>
      </w:r>
    </w:p>
    <w:p>
      <w:pPr>
        <w:spacing w:after="0" w:line="1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19050</wp:posOffset>
            </wp:positionV>
            <wp:extent cx="256413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4130" cy="1587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Name:</w:t>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14375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 TO SENIOR SECURED NOTE</w:t>
      </w:r>
    </w:p>
    <w:p>
      <w:pPr>
        <w:spacing w:after="0" w:line="215" w:lineRule="exact"/>
        <w:rPr>
          <w:sz w:val="20"/>
          <w:szCs w:val="20"/>
          <w:color w:val="auto"/>
        </w:rPr>
      </w:pPr>
    </w:p>
    <w:p>
      <w:pPr>
        <w:ind w:left="1" w:firstLine="593"/>
        <w:spacing w:after="0" w:line="297" w:lineRule="auto"/>
        <w:rPr>
          <w:sz w:val="20"/>
          <w:szCs w:val="20"/>
          <w:color w:val="auto"/>
        </w:rPr>
      </w:pPr>
      <w:r>
        <w:rPr>
          <w:rFonts w:ascii="Times New Roman" w:cs="Times New Roman" w:eastAsia="Times New Roman" w:hAnsi="Times New Roman"/>
          <w:sz w:val="16"/>
          <w:szCs w:val="16"/>
          <w:color w:val="auto"/>
        </w:rPr>
        <w:t>This AMENDMENT NO. 1 TO SENIOR SECURED NOTE, dated as of March 9, 2023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entered into by and among Agrify Corporation, a Nevada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High Trail Special Situations LLC, a Delaware limited liability company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RECITALS</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WHEREAS, pursuant to the terms of the Securities Exchange Agreement by and between the Company and Holder, dated as of August 18, 2022, the Company</w:t>
      </w:r>
    </w:p>
    <w:p>
      <w:pPr>
        <w:spacing w:after="0" w:line="31" w:lineRule="exact"/>
        <w:rPr>
          <w:sz w:val="20"/>
          <w:szCs w:val="20"/>
          <w:color w:val="auto"/>
        </w:rPr>
      </w:pPr>
    </w:p>
    <w:p>
      <w:pPr>
        <w:jc w:val="both"/>
        <w:ind w:left="1" w:hanging="1"/>
        <w:spacing w:after="0" w:line="263" w:lineRule="auto"/>
        <w:tabs>
          <w:tab w:leader="none" w:pos="22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partially prepaid and exchanged the remaining balance of the senior secured promissory note originally issued to the Holder in March 2022 with an aggregate original principal amount of $65.0 million (the “</w:t>
      </w:r>
      <w:r>
        <w:rPr>
          <w:rFonts w:ascii="Times New Roman" w:cs="Times New Roman" w:eastAsia="Times New Roman" w:hAnsi="Times New Roman"/>
          <w:sz w:val="16"/>
          <w:szCs w:val="16"/>
          <w:u w:val="single" w:color="auto"/>
          <w:color w:val="auto"/>
        </w:rPr>
        <w:t>Original Note</w:t>
      </w:r>
      <w:r>
        <w:rPr>
          <w:rFonts w:ascii="Times New Roman" w:cs="Times New Roman" w:eastAsia="Times New Roman" w:hAnsi="Times New Roman"/>
          <w:sz w:val="16"/>
          <w:szCs w:val="16"/>
          <w:color w:val="auto"/>
        </w:rPr>
        <w:t>”) for (i) a new senior secured note (the “</w:t>
      </w:r>
      <w:r>
        <w:rPr>
          <w:rFonts w:ascii="Times New Roman" w:cs="Times New Roman" w:eastAsia="Times New Roman" w:hAnsi="Times New Roman"/>
          <w:sz w:val="16"/>
          <w:szCs w:val="16"/>
          <w:u w:val="single" w:color="auto"/>
          <w:color w:val="auto"/>
        </w:rPr>
        <w:t>Exchange Note</w:t>
      </w:r>
      <w:r>
        <w:rPr>
          <w:rFonts w:ascii="Times New Roman" w:cs="Times New Roman" w:eastAsia="Times New Roman" w:hAnsi="Times New Roman"/>
          <w:sz w:val="16"/>
          <w:szCs w:val="16"/>
          <w:color w:val="auto"/>
          <w:highlight w:val="white"/>
        </w:rPr>
        <w:t>”) with an aggregate original principal amount of $35.0</w:t>
      </w:r>
      <w:r>
        <w:rPr>
          <w:rFonts w:ascii="Times New Roman" w:cs="Times New Roman" w:eastAsia="Times New Roman" w:hAnsi="Times New Roman"/>
          <w:sz w:val="16"/>
          <w:szCs w:val="16"/>
          <w:color w:val="auto"/>
        </w:rPr>
        <w:t xml:space="preserve"> million and (ii) a new warrant to purchase 1,422,765 shares of common stock, and (b) exchanged the warrant to purchase 688,111 shares of common stock issued in connection with the Original Note for a new warrant for the same number of underlying shares but with a reduced exercise price;</w:t>
      </w:r>
    </w:p>
    <w:p>
      <w:pPr>
        <w:spacing w:after="0" w:line="164" w:lineRule="exact"/>
        <w:rPr>
          <w:sz w:val="20"/>
          <w:szCs w:val="20"/>
          <w:color w:val="auto"/>
        </w:rPr>
      </w:pPr>
    </w:p>
    <w:p>
      <w:pPr>
        <w:jc w:val="both"/>
        <w:ind w:left="1" w:firstLine="593"/>
        <w:spacing w:after="0" w:line="265" w:lineRule="auto"/>
        <w:rPr>
          <w:sz w:val="20"/>
          <w:szCs w:val="20"/>
          <w:color w:val="auto"/>
        </w:rPr>
      </w:pPr>
      <w:r>
        <w:rPr>
          <w:rFonts w:ascii="Times New Roman" w:cs="Times New Roman" w:eastAsia="Times New Roman" w:hAnsi="Times New Roman"/>
          <w:sz w:val="16"/>
          <w:szCs w:val="16"/>
          <w:color w:val="auto"/>
        </w:rPr>
        <w:t>WHEREAS, in connection with this Amendment, the Company and the Holder are entering into a Securities Exchange Agreement, dated as of the date hereof (the “</w:t>
      </w:r>
      <w:r>
        <w:rPr>
          <w:rFonts w:ascii="Times New Roman" w:cs="Times New Roman" w:eastAsia="Times New Roman" w:hAnsi="Times New Roman"/>
          <w:sz w:val="16"/>
          <w:szCs w:val="16"/>
          <w:u w:val="single" w:color="auto"/>
          <w:color w:val="auto"/>
        </w:rPr>
        <w:t>Exchange Agreement</w:t>
      </w:r>
      <w:r>
        <w:rPr>
          <w:rFonts w:ascii="Times New Roman" w:cs="Times New Roman" w:eastAsia="Times New Roman" w:hAnsi="Times New Roman"/>
          <w:sz w:val="16"/>
          <w:szCs w:val="16"/>
          <w:color w:val="auto"/>
        </w:rPr>
        <w:t xml:space="preserve">”), pursuant to which the Company and Holder have agreed that, in exchange for and in satisfaction of the full repayment of $10.0 million of outstanding principal amount on the Exchange Note, the Company shall issue to the Holder a new senior secured convertible note in an aggregate principal amount of $10.0 million, in substantially the form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New Convertible Note</w:t>
      </w:r>
      <w:r>
        <w:rPr>
          <w:rFonts w:ascii="Times New Roman" w:cs="Times New Roman" w:eastAsia="Times New Roman" w:hAnsi="Times New Roman"/>
          <w:sz w:val="16"/>
          <w:szCs w:val="16"/>
          <w:color w:val="auto"/>
        </w:rPr>
        <w:t>”), in reliance upon the exemption from securities registration afforded by Section 3(a)(9)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WHEREAS, pursuant to Section 18 of the Exchange Note, the provisions of the Exchange Note may only be amended by written consent of the Company and Holder (which constitutes the Required Holders pursuant to the Exchange Note); and</w:t>
      </w:r>
    </w:p>
    <w:p>
      <w:pPr>
        <w:spacing w:after="0" w:line="164"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WHEREAS, the Company and Holder desire to modify certain of the terms of the Exchange Note as further set forth herein.</w:t>
      </w:r>
    </w:p>
    <w:p>
      <w:pPr>
        <w:spacing w:after="0" w:line="21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NOW, THEREFORE, in consideration of the premises and the agreements, provisions and covenants herein contained, the Company and Holder agree as</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follows:</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SECTION 1 </w:t>
      </w:r>
      <w:r>
        <w:rPr>
          <w:rFonts w:ascii="Times New Roman" w:cs="Times New Roman" w:eastAsia="Times New Roman" w:hAnsi="Times New Roman"/>
          <w:sz w:val="16"/>
          <w:szCs w:val="16"/>
          <w:b w:val="1"/>
          <w:bCs w:val="1"/>
          <w:u w:val="single" w:color="auto"/>
          <w:color w:val="auto"/>
        </w:rPr>
        <w:t>DEFINED TERMS AND SECTIONS</w:t>
      </w:r>
    </w:p>
    <w:p>
      <w:pPr>
        <w:spacing w:after="0" w:line="215" w:lineRule="exact"/>
        <w:rPr>
          <w:sz w:val="20"/>
          <w:szCs w:val="20"/>
          <w:color w:val="auto"/>
        </w:rPr>
      </w:pPr>
    </w:p>
    <w:p>
      <w:pPr>
        <w:jc w:val="both"/>
        <w:ind w:left="1" w:firstLine="593"/>
        <w:spacing w:after="0" w:line="297" w:lineRule="auto"/>
        <w:rPr>
          <w:sz w:val="20"/>
          <w:szCs w:val="20"/>
          <w:color w:val="auto"/>
        </w:rPr>
      </w:pPr>
      <w:r>
        <w:rPr>
          <w:rFonts w:ascii="Times New Roman" w:cs="Times New Roman" w:eastAsia="Times New Roman" w:hAnsi="Times New Roman"/>
          <w:sz w:val="16"/>
          <w:szCs w:val="16"/>
          <w:color w:val="auto"/>
        </w:rPr>
        <w:t>Capitalized terms set forth herein shall, unless otherwise expressly provided, have the meanings when used herein as set forth in the Exchange Note. Section references used herein shall, unless otherwise expressly provided, be deemed to be references to Sections of the Exchange Note.</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SECTION 2 </w:t>
      </w:r>
      <w:r>
        <w:rPr>
          <w:rFonts w:ascii="Times New Roman" w:cs="Times New Roman" w:eastAsia="Times New Roman" w:hAnsi="Times New Roman"/>
          <w:sz w:val="16"/>
          <w:szCs w:val="16"/>
          <w:b w:val="1"/>
          <w:bCs w:val="1"/>
          <w:u w:val="single" w:color="auto"/>
          <w:color w:val="auto"/>
        </w:rPr>
        <w:t>AMENDMENTS</w:t>
      </w:r>
    </w:p>
    <w:p>
      <w:pPr>
        <w:spacing w:after="0" w:line="211"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color w:val="auto"/>
        </w:rPr>
        <w:t>The definition of “Cash Sweep Amount”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ind w:left="601"/>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Amount</w:t>
      </w:r>
      <w:r>
        <w:rPr>
          <w:rFonts w:ascii="Times New Roman" w:cs="Times New Roman" w:eastAsia="Times New Roman" w:hAnsi="Times New Roman"/>
          <w:sz w:val="16"/>
          <w:szCs w:val="16"/>
          <w:color w:val="auto"/>
        </w:rPr>
        <w:t>” means an amount equal to (i) with respect to any ATM Issuance, thirty percent (30%) of the net proceeds from such ATM Issuance, and (ii) with respect to any Equity Issuance that is not an ATM Issuance, twenty percent (20%) of the net proceeds from such Equity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361315</wp:posOffset>
            </wp:positionV>
            <wp:extent cx="714375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9"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2.2. </w:t>
      </w:r>
      <w:r>
        <w:rPr>
          <w:rFonts w:ascii="Times New Roman" w:cs="Times New Roman" w:eastAsia="Times New Roman" w:hAnsi="Times New Roman"/>
          <w:sz w:val="16"/>
          <w:szCs w:val="16"/>
          <w:color w:val="auto"/>
        </w:rPr>
        <w:t>The definition of “Compliance Certification”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Compliance Certification</w:t>
      </w:r>
      <w:r>
        <w:rPr>
          <w:rFonts w:ascii="Times New Roman" w:cs="Times New Roman" w:eastAsia="Times New Roman" w:hAnsi="Times New Roman"/>
          <w:sz w:val="16"/>
          <w:szCs w:val="16"/>
          <w:color w:val="auto"/>
        </w:rPr>
        <w:t xml:space="preserve">” means each certification delivered pursuant to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9(K)(ii)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firstLine="296"/>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color w:val="auto"/>
        </w:rPr>
        <w:t>The definitions of “Optional Holder Redemption Date” and “Optional Holder Redemption Notice”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entirety and replaced with the following in lieu thereof:</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8(B)(ii).</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8(B)(ii).</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color w:val="auto"/>
        </w:rPr>
        <w:t>The definition of “Permitted Acquisition”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Acquisition</w:t>
      </w:r>
      <w:r>
        <w:rPr>
          <w:rFonts w:ascii="Times New Roman" w:cs="Times New Roman" w:eastAsia="Times New Roman" w:hAnsi="Times New Roman"/>
          <w:sz w:val="16"/>
          <w:szCs w:val="16"/>
          <w:color w:val="auto"/>
        </w:rPr>
        <w:t>” means any transaction or series of related transactions consummated by the Company or one of its Subsidiaries for the purpose of or resulting, directly or indirectly, in (a) the acquisition of all or substantially all of the assets of a Person, or of any business or division of a Person, (b) the acquisition of in excess of fifty percent (50%) of the capital stock or equity interests of any Person or otherwise causing any Person to become a Subsidiary of the Company, or (c) a merger or consolidation or any other combination with another Person, in each case for which (i) the Holder provided prior written consent for such transaction or series of related transactions, provided that the purchase price or consideration in respect of such transaction or series of related transactions at any time shall not exceed an amount equal to the aggregate purchase price of the Purchased Securities (as defined in the Securities Purchase Agreement) outstanding at such time; or (ii) the consideration remitted by the Company or its applicable Subsidiary in connection with such transaction or series of related transactions is solely in the form of Equity Interests of the Company, provided that, in each case, no Default or Event of Default shall then exist or would exist after giving effect to any of the foregoing.”</w:t>
      </w:r>
    </w:p>
    <w:p>
      <w:pPr>
        <w:spacing w:after="0" w:line="161" w:lineRule="exact"/>
        <w:rPr>
          <w:sz w:val="20"/>
          <w:szCs w:val="20"/>
          <w:color w:val="auto"/>
        </w:rPr>
      </w:pPr>
    </w:p>
    <w:p>
      <w:pPr>
        <w:ind w:firstLine="296"/>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2.5. </w:t>
      </w:r>
      <w:r>
        <w:rPr>
          <w:rFonts w:ascii="Times New Roman" w:cs="Times New Roman" w:eastAsia="Times New Roman" w:hAnsi="Times New Roman"/>
          <w:sz w:val="16"/>
          <w:szCs w:val="16"/>
          <w:color w:val="auto"/>
        </w:rPr>
        <w:t>The definition of “Permitted Turnkey Investment”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w:t>
      </w:r>
    </w:p>
    <w:p>
      <w:pPr>
        <w:spacing w:after="0" w:line="385" w:lineRule="exact"/>
        <w:rPr>
          <w:sz w:val="20"/>
          <w:szCs w:val="20"/>
          <w:color w:val="auto"/>
        </w:rPr>
      </w:pPr>
    </w:p>
    <w:p>
      <w:pPr>
        <w:ind w:left="60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Turnkey Investment</w:t>
      </w:r>
      <w:r>
        <w:rPr>
          <w:rFonts w:ascii="Times New Roman" w:cs="Times New Roman" w:eastAsia="Times New Roman" w:hAnsi="Times New Roman"/>
          <w:sz w:val="16"/>
          <w:szCs w:val="16"/>
          <w:color w:val="auto"/>
        </w:rPr>
        <w:t>” shall mean any Investments in any customers using the Company’s Total Turnkey Solution not to exceed in the aggregate twelve million dollars ($12,000,000).”</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2.6. </w:t>
      </w:r>
      <w:r>
        <w:rPr>
          <w:rFonts w:ascii="Times New Roman" w:cs="Times New Roman" w:eastAsia="Times New Roman" w:hAnsi="Times New Roman"/>
          <w:sz w:val="16"/>
          <w:szCs w:val="16"/>
          <w:color w:val="auto"/>
        </w:rPr>
        <w:t>The definition of “Transaction Documents”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ind w:left="60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shall mean the documents included in the definitions of “Transaction Documents” under the Securities Exchange Agreement and the New Securities Exchange Agreement.”</w:t>
      </w:r>
    </w:p>
    <w:p>
      <w:pPr>
        <w:spacing w:after="0" w:line="128" w:lineRule="exact"/>
        <w:rPr>
          <w:sz w:val="20"/>
          <w:szCs w:val="20"/>
          <w:color w:val="auto"/>
        </w:rPr>
      </w:pPr>
    </w:p>
    <w:p>
      <w:pPr>
        <w:ind w:firstLine="296"/>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2.7. </w:t>
      </w:r>
      <w:r>
        <w:rPr>
          <w:rFonts w:ascii="Times New Roman" w:cs="Times New Roman" w:eastAsia="Times New Roman" w:hAnsi="Times New Roman"/>
          <w:sz w:val="16"/>
          <w:szCs w:val="16"/>
          <w:color w:val="auto"/>
        </w:rPr>
        <w:t>The following definitions of “First Optional Holder Redemption Date”, “New Securities Exchange Agreement” and “Second Optional Holder Redemption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shall be added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of the Exchange Note:</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Optional Holder Redemption Date</w:t>
      </w:r>
      <w:r>
        <w:rPr>
          <w:rFonts w:ascii="Times New Roman" w:cs="Times New Roman" w:eastAsia="Times New Roman" w:hAnsi="Times New Roman"/>
          <w:sz w:val="16"/>
          <w:szCs w:val="16"/>
          <w:color w:val="auto"/>
        </w:rPr>
        <w:t>” shall mean August 19, 2023.</w:t>
      </w:r>
    </w:p>
    <w:p>
      <w:pPr>
        <w:spacing w:after="0" w:line="211" w:lineRule="exact"/>
        <w:rPr>
          <w:sz w:val="20"/>
          <w:szCs w:val="20"/>
          <w:color w:val="auto"/>
        </w:rPr>
      </w:pPr>
    </w:p>
    <w:p>
      <w:pPr>
        <w:ind w:left="60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Securities Exchange Agreement</w:t>
      </w:r>
      <w:r>
        <w:rPr>
          <w:rFonts w:ascii="Times New Roman" w:cs="Times New Roman" w:eastAsia="Times New Roman" w:hAnsi="Times New Roman"/>
          <w:sz w:val="16"/>
          <w:szCs w:val="16"/>
          <w:color w:val="auto"/>
        </w:rPr>
        <w:t>” shall mean that certain Securities Exchange Agreement, dated as of March 8, 2023, by and among the Company and each of the investors listed on the Schedule of Holders attached thereto.”</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Second Optional Holder Redemption Date</w:t>
      </w:r>
      <w:r>
        <w:rPr>
          <w:rFonts w:ascii="Times New Roman" w:cs="Times New Roman" w:eastAsia="Times New Roman" w:hAnsi="Times New Roman"/>
          <w:sz w:val="16"/>
          <w:szCs w:val="16"/>
          <w:color w:val="auto"/>
        </w:rPr>
        <w:t>” shall mean August 19, 2024.”</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2.8. </w:t>
      </w:r>
      <w:r>
        <w:rPr>
          <w:rFonts w:ascii="Times New Roman" w:cs="Times New Roman" w:eastAsia="Times New Roman" w:hAnsi="Times New Roman"/>
          <w:sz w:val="16"/>
          <w:szCs w:val="16"/>
          <w:color w:val="auto"/>
        </w:rPr>
        <w:t>The reference to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amended to “</w:t>
      </w:r>
      <w:r>
        <w:rPr>
          <w:rFonts w:ascii="Times New Roman" w:cs="Times New Roman" w:eastAsia="Times New Roman" w:hAnsi="Times New Roman"/>
          <w:sz w:val="16"/>
          <w:szCs w:val="16"/>
          <w:b w:val="1"/>
          <w:bCs w:val="1"/>
          <w:color w:val="auto"/>
        </w:rPr>
        <w:t>Section 8(B)(i)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 xml:space="preserve">2.9. </w:t>
      </w:r>
      <w:r>
        <w:rPr>
          <w:rFonts w:ascii="Times New Roman" w:cs="Times New Roman" w:eastAsia="Times New Roman" w:hAnsi="Times New Roman"/>
          <w:sz w:val="16"/>
          <w:szCs w:val="16"/>
          <w:u w:val="single" w:color="auto"/>
          <w:color w:val="auto"/>
        </w:rPr>
        <w:t>Section 4(E)(iv)</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jc w:val="both"/>
        <w:ind w:left="300" w:firstLine="296"/>
        <w:spacing w:after="0" w:line="270" w:lineRule="auto"/>
        <w:rPr>
          <w:sz w:val="20"/>
          <w:szCs w:val="20"/>
          <w:color w:val="auto"/>
        </w:rPr>
      </w:pPr>
      <w:r>
        <w:rPr>
          <w:rFonts w:ascii="Times New Roman" w:cs="Times New Roman" w:eastAsia="Times New Roman" w:hAnsi="Times New Roman"/>
          <w:sz w:val="16"/>
          <w:szCs w:val="16"/>
          <w:color w:val="auto"/>
        </w:rPr>
        <w:t>“(iv) The Holder shall have the right to require the Company, exercisable by delivery of written notice to the Company of exercise of such right (a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Sweep Notice</w:t>
      </w:r>
      <w:r>
        <w:rPr>
          <w:rFonts w:ascii="Times New Roman" w:cs="Times New Roman" w:eastAsia="Times New Roman" w:hAnsi="Times New Roman"/>
          <w:sz w:val="16"/>
          <w:szCs w:val="16"/>
          <w:color w:val="auto"/>
        </w:rPr>
        <w:t>”) in connection with any particular Equity Issuance, to pay to the Holder in cash within two (2) Business Days following the delivery of such Cash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Sweep Notice, an amount not exceeding the Cash Sweep Amount arising from such Equity Issuance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any Cash Sweep Amount paid to the Holder by the Company in connection with such Equity Issuance pursuant to any other note outstanding and issued by the Company to the Holder pursuant to the Transaction Documents.”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2.10.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jc w:val="both"/>
        <w:ind w:firstLine="292"/>
        <w:spacing w:after="0" w:line="262" w:lineRule="auto"/>
        <w:tabs>
          <w:tab w:leader="none" w:pos="56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Company Redemption Election</w:t>
      </w:r>
      <w:r>
        <w:rPr>
          <w:rFonts w:ascii="Times New Roman" w:cs="Times New Roman" w:eastAsia="Times New Roman" w:hAnsi="Times New Roman"/>
          <w:sz w:val="16"/>
          <w:szCs w:val="16"/>
          <w:color w:val="auto"/>
        </w:rPr>
        <w:t>. Provided that an Optional Holder Redemption Notice has not been delivered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8(B)(i)</w:t>
      </w:r>
      <w:r>
        <w:rPr>
          <w:rFonts w:ascii="Times New Roman" w:cs="Times New Roman" w:eastAsia="Times New Roman" w:hAnsi="Times New Roman"/>
          <w:sz w:val="16"/>
          <w:szCs w:val="16"/>
          <w:color w:val="auto"/>
        </w:rPr>
        <w:t>,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redeem all (or a portion thereof not less than one million dollars ($1,000,000)) of the then outstanding Principal Amount on any date by paying on the Company Redemption Date (as defined below) a cash redemption price equal to the Company Redemption Price; provided, that the Company must provide irrevocable written notice thereof (a “</w:t>
      </w:r>
      <w:r>
        <w:rPr>
          <w:rFonts w:ascii="Times New Roman" w:cs="Times New Roman" w:eastAsia="Times New Roman" w:hAnsi="Times New Roman"/>
          <w:sz w:val="16"/>
          <w:szCs w:val="16"/>
          <w:b w:val="1"/>
          <w:bCs w:val="1"/>
          <w:color w:val="auto"/>
        </w:rPr>
        <w:t>Company Redemption Notice</w:t>
      </w:r>
      <w:r>
        <w:rPr>
          <w:rFonts w:ascii="Times New Roman" w:cs="Times New Roman" w:eastAsia="Times New Roman" w:hAnsi="Times New Roman"/>
          <w:sz w:val="16"/>
          <w:szCs w:val="16"/>
          <w:color w:val="auto"/>
        </w:rPr>
        <w:t>”) certifying that no Default has occurred or is continuing as of the date of such notice and that no Event of Default has occurred as of the date of such notice that has not been waived and setting forth the date upon which such redemption shall occur (the “</w:t>
      </w:r>
      <w:r>
        <w:rPr>
          <w:rFonts w:ascii="Times New Roman" w:cs="Times New Roman" w:eastAsia="Times New Roman" w:hAnsi="Times New Roman"/>
          <w:sz w:val="16"/>
          <w:szCs w:val="16"/>
          <w:b w:val="1"/>
          <w:bCs w:val="1"/>
          <w:color w:val="auto"/>
        </w:rPr>
        <w:t>Company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at least ten (10) days prior to the Company Redemption Date and the Company must have, on or prior to 9:00 am, New York City time, on such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delivery date, publicly disclosed any material, non-public information regarding the Company (including the fact that the Company is redeeming the Note) on a Form 8-K or otherwise; provided, however, that this Section 8(A) will cease to have any force and effect if a Default has occurred and is continuing or an Event of Default has occurred and has not been waived by the Required Holders. If this Note is to be redeemed in full pursuant to this Section 8(A), then, from and after the date the related Company Redemption Price is paid in full, this Note will cease to be outstanding.</w:t>
      </w:r>
    </w:p>
    <w:p>
      <w:pPr>
        <w:spacing w:after="0" w:line="167"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Holder Redemption Election</w:t>
      </w:r>
      <w:r>
        <w:rPr>
          <w:rFonts w:ascii="Times New Roman" w:cs="Times New Roman" w:eastAsia="Times New Roman" w:hAnsi="Times New Roman"/>
          <w:sz w:val="16"/>
          <w:szCs w:val="16"/>
          <w:color w:val="auto"/>
        </w:rPr>
        <w:t>.</w:t>
      </w:r>
    </w:p>
    <w:p>
      <w:pPr>
        <w:spacing w:after="0" w:line="213" w:lineRule="exact"/>
        <w:rPr>
          <w:rFonts w:ascii="Times New Roman" w:cs="Times New Roman" w:eastAsia="Times New Roman" w:hAnsi="Times New Roman"/>
          <w:sz w:val="16"/>
          <w:szCs w:val="16"/>
          <w:color w:val="auto"/>
        </w:rPr>
      </w:pPr>
    </w:p>
    <w:p>
      <w:pPr>
        <w:jc w:val="both"/>
        <w:ind w:left="300" w:firstLine="288"/>
        <w:spacing w:after="0" w:line="260" w:lineRule="auto"/>
        <w:tabs>
          <w:tab w:leader="none" w:pos="793"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below, the Holder may elect to require the Company to redeem all or any portion of this Note at par in an amount equal to the Optional Holder Redemption Amount on the First Optional Holder Redemption Date and/or the Second Optional Holder Redemption Date by delivering to the Company a written notice of any such election, including the Principal Amount to be redeemed (an “</w:t>
      </w:r>
      <w:r>
        <w:rPr>
          <w:rFonts w:ascii="Times New Roman" w:cs="Times New Roman" w:eastAsia="Times New Roman" w:hAnsi="Times New Roman"/>
          <w:sz w:val="16"/>
          <w:szCs w:val="16"/>
          <w:b w:val="1"/>
          <w:bCs w:val="1"/>
          <w:color w:val="auto"/>
        </w:rPr>
        <w:t>Optional Holder Redemption Notice</w:t>
      </w:r>
      <w:r>
        <w:rPr>
          <w:rFonts w:ascii="Times New Roman" w:cs="Times New Roman" w:eastAsia="Times New Roman" w:hAnsi="Times New Roman"/>
          <w:sz w:val="16"/>
          <w:szCs w:val="16"/>
          <w:color w:val="auto"/>
        </w:rPr>
        <w:t>”), on or before the First Optional Holder Redemption Date or the Second Optional Holder Redemption Date, as applicable. Following the delivery of any Optional Holder Redemption Notice, the Company shall pay the Holder the Optional Holder Redemption Amount by wire transfer of immediately available funds on the First Optional Holder Redemption Date or the Second Optional Holder Redemption Date, as applicable (the date on which the Optional Holder Redemption Amount is received by the Holder is referred to herein as the “</w:t>
      </w:r>
      <w:r>
        <w:rPr>
          <w:rFonts w:ascii="Times New Roman" w:cs="Times New Roman" w:eastAsia="Times New Roman" w:hAnsi="Times New Roman"/>
          <w:sz w:val="16"/>
          <w:szCs w:val="16"/>
          <w:b w:val="1"/>
          <w:bCs w:val="1"/>
          <w:color w:val="auto"/>
        </w:rPr>
        <w:t>Optional Holder Redemption Date</w:t>
      </w:r>
      <w:r>
        <w:rPr>
          <w:rFonts w:ascii="Times New Roman" w:cs="Times New Roman" w:eastAsia="Times New Roman" w:hAnsi="Times New Roman"/>
          <w:sz w:val="16"/>
          <w:szCs w:val="16"/>
          <w:color w:val="auto"/>
        </w:rPr>
        <w:t xml:space="preserve">”). Notwithstanding the foregoing, if the Company has consummated one or more Equity Issuances resulting in aggregate gross unrestricted, unencumbered cash proceeds equal to or exceeding eight million dollars ($8,000,000) during the period beginning on March 9, 2023 and ending on the immediately preceding Business Day prior to the First Optional Holder Redemption Date, the Holder may no longer require the Company to redeem all or any portion of this Note pursuant to this </w:t>
      </w:r>
      <w:r>
        <w:rPr>
          <w:rFonts w:ascii="Times New Roman" w:cs="Times New Roman" w:eastAsia="Times New Roman" w:hAnsi="Times New Roman"/>
          <w:sz w:val="16"/>
          <w:szCs w:val="16"/>
          <w:b w:val="1"/>
          <w:bCs w:val="1"/>
          <w:color w:val="auto"/>
        </w:rPr>
        <w:t>Section 8(B)(i)</w:t>
      </w:r>
      <w:r>
        <w:rPr>
          <w:rFonts w:ascii="Times New Roman" w:cs="Times New Roman" w:eastAsia="Times New Roman" w:hAnsi="Times New Roman"/>
          <w:sz w:val="16"/>
          <w:szCs w:val="16"/>
          <w:color w:val="auto"/>
        </w:rPr>
        <w:t xml:space="preserve"> on the First Optional Holder Redemption Date, irrespective of whether or not the Holder has delivered an Optional Holder Redemption Notice; provided, that for avoidance of doubt, the foregoing sentence shall not impact the Holder’s right to require the Company to redeem all or any portion of this Note pursuant to this </w:t>
      </w:r>
      <w:r>
        <w:rPr>
          <w:rFonts w:ascii="Times New Roman" w:cs="Times New Roman" w:eastAsia="Times New Roman" w:hAnsi="Times New Roman"/>
          <w:sz w:val="16"/>
          <w:szCs w:val="16"/>
          <w:b w:val="1"/>
          <w:bCs w:val="1"/>
          <w:color w:val="auto"/>
        </w:rPr>
        <w:t>Section 8(B)(i)</w:t>
      </w:r>
      <w:r>
        <w:rPr>
          <w:rFonts w:ascii="Times New Roman" w:cs="Times New Roman" w:eastAsia="Times New Roman" w:hAnsi="Times New Roman"/>
          <w:sz w:val="16"/>
          <w:szCs w:val="16"/>
          <w:color w:val="auto"/>
        </w:rPr>
        <w:t xml:space="preserve"> on the Second Optional Holder Redemption Date; and provided, further, that for the purposes of this Section 8(B), the Holder’s right to receive any Cash Sweep Payment pursuant to this Note or any other note outstanding and issued by the Company to the Holder pursuant to the Transaction Documents shall not constitute a restriction or encumbrance. If this Note is to be redeemed in full pursuant to this </w:t>
      </w:r>
      <w:r>
        <w:rPr>
          <w:rFonts w:ascii="Times New Roman" w:cs="Times New Roman" w:eastAsia="Times New Roman" w:hAnsi="Times New Roman"/>
          <w:sz w:val="16"/>
          <w:szCs w:val="16"/>
          <w:b w:val="1"/>
          <w:bCs w:val="1"/>
          <w:color w:val="auto"/>
        </w:rPr>
        <w:t>Section 8(B)(i)</w:t>
      </w:r>
      <w:r>
        <w:rPr>
          <w:rFonts w:ascii="Times New Roman" w:cs="Times New Roman" w:eastAsia="Times New Roman" w:hAnsi="Times New Roman"/>
          <w:sz w:val="16"/>
          <w:szCs w:val="16"/>
          <w:color w:val="auto"/>
        </w:rPr>
        <w:t>, then, from and after the Optional Holder Redemption Date, this Note will cease to be outstanding.</w:t>
      </w:r>
    </w:p>
    <w:p>
      <w:pPr>
        <w:spacing w:after="0" w:line="3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19050</wp:posOffset>
            </wp:positionV>
            <wp:extent cx="714375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940"/>
          </w:cols>
          <w:pgMar w:left="620" w:top="835" w:right="339" w:bottom="1440" w:gutter="0" w:footer="0" w:header="0"/>
        </w:sectPr>
      </w:pPr>
    </w:p>
    <w:bookmarkStart w:id="60" w:name="page61"/>
    <w:bookmarkEnd w:id="60"/>
    <w:p>
      <w:pPr>
        <w:jc w:val="both"/>
        <w:ind w:left="300" w:firstLine="288"/>
        <w:spacing w:after="0" w:line="271" w:lineRule="auto"/>
        <w:tabs>
          <w:tab w:leader="none" w:pos="83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may elect to retire a Principal Amount in an amount up to ten million dollars ($10,000,000) in exchange for an Optional Exchange Note (as such term is defined in the New Securities Exchange Agreement) with a principal amount of an amount up to ten million dollars ($10,000,000) on August 19, 2023 in accordance with the New Securities Exchange Agreement by delivering a Holder Optional Exchange Notes Notice (as defined in the New Securities Exchange Agreement) to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2.11. </w:t>
      </w:r>
      <w:r>
        <w:rPr>
          <w:rFonts w:ascii="Times New Roman" w:cs="Times New Roman" w:eastAsia="Times New Roman" w:hAnsi="Times New Roman"/>
          <w:sz w:val="16"/>
          <w:szCs w:val="16"/>
          <w:u w:val="single" w:color="auto"/>
          <w:color w:val="auto"/>
        </w:rPr>
        <w:t>Section 9(G)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3" w:lineRule="exact"/>
        <w:rPr>
          <w:sz w:val="20"/>
          <w:szCs w:val="20"/>
          <w:color w:val="auto"/>
        </w:rPr>
      </w:pPr>
    </w:p>
    <w:p>
      <w:pPr>
        <w:jc w:val="both"/>
        <w:ind w:firstLine="296"/>
        <w:spacing w:after="0" w:line="259" w:lineRule="auto"/>
        <w:rPr>
          <w:sz w:val="20"/>
          <w:szCs w:val="20"/>
          <w:color w:val="auto"/>
        </w:rPr>
      </w:pPr>
      <w:r>
        <w:rPr>
          <w:rFonts w:ascii="Times New Roman" w:cs="Times New Roman" w:eastAsia="Times New Roman" w:hAnsi="Times New Roman"/>
          <w:sz w:val="16"/>
          <w:szCs w:val="16"/>
          <w:color w:val="auto"/>
        </w:rPr>
        <w:t xml:space="preserve">“(G) </w:t>
      </w:r>
      <w:r>
        <w:rPr>
          <w:rFonts w:ascii="Times New Roman" w:cs="Times New Roman" w:eastAsia="Times New Roman" w:hAnsi="Times New Roman"/>
          <w:sz w:val="16"/>
          <w:szCs w:val="16"/>
          <w:i w:val="1"/>
          <w:iCs w:val="1"/>
          <w:color w:val="auto"/>
        </w:rPr>
        <w:t>Distributions</w:t>
      </w:r>
      <w:r>
        <w:rPr>
          <w:rFonts w:ascii="Times New Roman" w:cs="Times New Roman" w:eastAsia="Times New Roman" w:hAnsi="Times New Roman"/>
          <w:sz w:val="16"/>
          <w:szCs w:val="16"/>
          <w:color w:val="auto"/>
        </w:rPr>
        <w:t xml:space="preserve">. The Company shall not, and shall not allow any Subsidiary to, (a) repurchase or redeem any class of stock or other Equity Interest other than 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(except as permitted under clause (F) of the definition of Permitted Investment), or guarantee the payment of any such loans granted by a third party in excess of fifty thousand dollars ($50,000) in the aggregate or (d) waive, release or forgive any Indebtedness owed by any employees, officers or directors in excess of fifty thousand dollars ($50,000) in the aggregate. Within one (1) Business Day following the date on which the Company files an Annual Report on Form 10-K or Quarterly Report on Form 10-Q with the Commission, the Company will provide the Holder with a written notice setting forth the aggregate amount of dividends or distributions made by the Company or any Subsidiary pursuant to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for the period covered by such Annual Report on Form 10-K or Quarterly Report on Form 10-Q,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Required Holders or (B)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6"/>
          <w:szCs w:val="16"/>
          <w:b w:val="1"/>
          <w:bCs w:val="1"/>
          <w:color w:val="auto"/>
        </w:rPr>
        <w:t>Section 11(A)(ii)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11(A)(ix)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11(A)(xi)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11(A)(xiv)</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Section 11(A)(xv)</w:t>
      </w:r>
      <w:r>
        <w:rPr>
          <w:rFonts w:ascii="Times New Roman" w:cs="Times New Roman" w:eastAsia="Times New Roman" w:hAnsi="Times New Roman"/>
          <w:sz w:val="16"/>
          <w:szCs w:val="16"/>
          <w:color w:val="auto"/>
        </w:rPr>
        <w:t>. On or prior to</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Business Day of each calendar month, the Company shall provide to the Holder a certification, executed on behalf of the Company by the Chief Financial Officer of the Company, certifying whether or not the Company has satisfied the requirements of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during the immediately preceding calendar month.” If the Company determines in its sole discretion that any such information constitutes material non-public information, then the Company will so indicate in the certification provided pursuant to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and the Company will concurrently disclose such material non-public information on a Current Report on Form 8-K or otherwise.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2.12. </w:t>
      </w:r>
      <w:r>
        <w:rPr>
          <w:rFonts w:ascii="Times New Roman" w:cs="Times New Roman" w:eastAsia="Times New Roman" w:hAnsi="Times New Roman"/>
          <w:sz w:val="16"/>
          <w:szCs w:val="16"/>
          <w:u w:val="single" w:color="auto"/>
          <w:color w:val="auto"/>
        </w:rPr>
        <w:t>Section 9(J)</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“(J) </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2.13. </w:t>
      </w:r>
      <w:r>
        <w:rPr>
          <w:rFonts w:ascii="Times New Roman" w:cs="Times New Roman" w:eastAsia="Times New Roman" w:hAnsi="Times New Roman"/>
          <w:sz w:val="16"/>
          <w:szCs w:val="16"/>
          <w:u w:val="single" w:color="auto"/>
          <w:color w:val="auto"/>
        </w:rPr>
        <w:t>Section 9(K)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“(K) </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19050</wp:posOffset>
            </wp:positionV>
            <wp:extent cx="714375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940"/>
          </w:cols>
          <w:pgMar w:left="620" w:top="839" w:right="339"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2.14. </w:t>
      </w:r>
      <w:r>
        <w:rPr>
          <w:rFonts w:ascii="Times New Roman" w:cs="Times New Roman" w:eastAsia="Times New Roman" w:hAnsi="Times New Roman"/>
          <w:sz w:val="16"/>
          <w:szCs w:val="16"/>
          <w:color w:val="auto"/>
        </w:rPr>
        <w:t>The following provision shall be added to the Exchange Note as</w:t>
      </w:r>
      <w:r>
        <w:rPr>
          <w:rFonts w:ascii="Times New Roman" w:cs="Times New Roman" w:eastAsia="Times New Roman" w:hAnsi="Times New Roman"/>
          <w:sz w:val="16"/>
          <w:szCs w:val="16"/>
          <w:b w:val="1"/>
          <w:bCs w:val="1"/>
          <w:color w:val="auto"/>
        </w:rPr>
        <w:t xml:space="preserve"> Section 9(Z)</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jc w:val="both"/>
        <w:ind w:left="600" w:firstLine="288"/>
        <w:spacing w:after="0" w:line="266" w:lineRule="auto"/>
        <w:tabs>
          <w:tab w:leader="none" w:pos="114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Retirement of Principal Amount</w:t>
      </w:r>
      <w:r>
        <w:rPr>
          <w:rFonts w:ascii="Times New Roman" w:cs="Times New Roman" w:eastAsia="Times New Roman" w:hAnsi="Times New Roman"/>
          <w:sz w:val="16"/>
          <w:szCs w:val="16"/>
          <w:color w:val="auto"/>
        </w:rPr>
        <w:t>. During the period beginning on March 9, 2023 and ending on December 31, 2023, the Company shall have retired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outstanding Principal Amount of this Note by an aggregate amount equal to or greater than three million dollars ($3,000,000),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for the purposes of determining the Principal Amount retired in accordance with this </w:t>
      </w:r>
      <w:r>
        <w:rPr>
          <w:rFonts w:ascii="Times New Roman" w:cs="Times New Roman" w:eastAsia="Times New Roman" w:hAnsi="Times New Roman"/>
          <w:sz w:val="16"/>
          <w:szCs w:val="16"/>
          <w:b w:val="1"/>
          <w:bCs w:val="1"/>
          <w:color w:val="auto"/>
        </w:rPr>
        <w:t>Section 9(Z)</w:t>
      </w:r>
      <w:r>
        <w:rPr>
          <w:rFonts w:ascii="Times New Roman" w:cs="Times New Roman" w:eastAsia="Times New Roman" w:hAnsi="Times New Roman"/>
          <w:sz w:val="16"/>
          <w:szCs w:val="16"/>
          <w:color w:val="auto"/>
        </w:rPr>
        <w:t xml:space="preserve">, (x) amounts paid to Holder under and/or Principal Amounts otherwise exchanged pursuant to the New Securities Exchange Agreement (including, for the avoidance of doubt, Principal Amounts retired in connection with </w:t>
      </w:r>
      <w:r>
        <w:rPr>
          <w:rFonts w:ascii="Times New Roman" w:cs="Times New Roman" w:eastAsia="Times New Roman" w:hAnsi="Times New Roman"/>
          <w:sz w:val="16"/>
          <w:szCs w:val="16"/>
          <w:b w:val="1"/>
          <w:bCs w:val="1"/>
          <w:color w:val="auto"/>
        </w:rPr>
        <w:t>Section 8(B)(ii)</w:t>
      </w:r>
      <w:r>
        <w:rPr>
          <w:rFonts w:ascii="Times New Roman" w:cs="Times New Roman" w:eastAsia="Times New Roman" w:hAnsi="Times New Roman"/>
          <w:sz w:val="16"/>
          <w:szCs w:val="16"/>
          <w:color w:val="auto"/>
        </w:rPr>
        <w:t>) and consideration in the form of cash or Equity Securities remitted to the Holder prior to March 9, 2023 shall not be taken into account, and (y) amounts paid to Holder as Cash Sweep Payments pursuant to this Note shall be taken into account.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2.15. </w:t>
      </w:r>
      <w:r>
        <w:rPr>
          <w:rFonts w:ascii="Times New Roman" w:cs="Times New Roman" w:eastAsia="Times New Roman" w:hAnsi="Times New Roman"/>
          <w:sz w:val="16"/>
          <w:szCs w:val="16"/>
          <w:u w:val="single" w:color="auto"/>
          <w:color w:val="auto"/>
        </w:rPr>
        <w:t>Section 11(A)(iii)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jc w:val="both"/>
        <w:ind w:left="600" w:firstLine="296"/>
        <w:spacing w:after="0" w:line="280" w:lineRule="auto"/>
        <w:rPr>
          <w:sz w:val="20"/>
          <w:szCs w:val="20"/>
          <w:color w:val="auto"/>
        </w:rPr>
      </w:pPr>
      <w:r>
        <w:rPr>
          <w:rFonts w:ascii="Times New Roman" w:cs="Times New Roman" w:eastAsia="Times New Roman" w:hAnsi="Times New Roman"/>
          <w:sz w:val="16"/>
          <w:szCs w:val="16"/>
          <w:color w:val="auto"/>
        </w:rPr>
        <w:t xml:space="preserve">“(iii) a default in the Company’s obligation to timely deliver a Fundamental Change Notice pursuant to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 xml:space="preserve">, a Cash Sweep Certification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or a Compliance Certification pursuant to</w:t>
      </w:r>
      <w:r>
        <w:rPr>
          <w:rFonts w:ascii="Times New Roman" w:cs="Times New Roman" w:eastAsia="Times New Roman" w:hAnsi="Times New Roman"/>
          <w:sz w:val="16"/>
          <w:szCs w:val="16"/>
          <w:b w:val="1"/>
          <w:bCs w:val="1"/>
          <w:color w:val="auto"/>
        </w:rPr>
        <w:t xml:space="preserve"> Section 9(G) or Section 9(K)(ii)</w:t>
      </w:r>
      <w:r>
        <w:rPr>
          <w:rFonts w:ascii="Times New Roman" w:cs="Times New Roman" w:eastAsia="Times New Roman" w:hAnsi="Times New Roman"/>
          <w:sz w:val="16"/>
          <w:szCs w:val="16"/>
          <w:color w:val="auto"/>
        </w:rPr>
        <w:t>, and such default continues for three (3) Business Days, or the delivery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a materially false or inaccurate Fundamental Change Notice, Cash Sweep Certification, Compliance Certification or Company Redemption Notice;”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2.16. </w:t>
      </w:r>
      <w:r>
        <w:rPr>
          <w:rFonts w:ascii="Times New Roman" w:cs="Times New Roman" w:eastAsia="Times New Roman" w:hAnsi="Times New Roman"/>
          <w:sz w:val="16"/>
          <w:szCs w:val="16"/>
          <w:u w:val="single" w:color="auto"/>
          <w:color w:val="auto"/>
        </w:rPr>
        <w:t>Section 11(A)(viii)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Exchange Note shall be deleted in its entirety and replaced with the following in lieu thereof:</w:t>
      </w:r>
    </w:p>
    <w:p>
      <w:pPr>
        <w:spacing w:after="0" w:line="211" w:lineRule="exact"/>
        <w:rPr>
          <w:sz w:val="20"/>
          <w:szCs w:val="20"/>
          <w:color w:val="auto"/>
        </w:rPr>
      </w:pPr>
    </w:p>
    <w:p>
      <w:pPr>
        <w:jc w:val="both"/>
        <w:ind w:left="600" w:firstLine="296"/>
        <w:spacing w:after="0" w:line="303" w:lineRule="auto"/>
        <w:rPr>
          <w:sz w:val="20"/>
          <w:szCs w:val="20"/>
          <w:color w:val="auto"/>
        </w:rPr>
      </w:pPr>
      <w:r>
        <w:rPr>
          <w:rFonts w:ascii="Times New Roman" w:cs="Times New Roman" w:eastAsia="Times New Roman" w:hAnsi="Times New Roman"/>
          <w:sz w:val="16"/>
          <w:szCs w:val="16"/>
          <w:color w:val="auto"/>
        </w:rPr>
        <w:t xml:space="preserve">“(viii) the Company fails to comply with any covenant set forth in </w:t>
      </w:r>
      <w:r>
        <w:rPr>
          <w:rFonts w:ascii="Times New Roman" w:cs="Times New Roman" w:eastAsia="Times New Roman" w:hAnsi="Times New Roman"/>
          <w:sz w:val="16"/>
          <w:szCs w:val="16"/>
          <w:b w:val="1"/>
          <w:bCs w:val="1"/>
          <w:color w:val="auto"/>
        </w:rPr>
        <w:t>Section 9(D)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9(J)</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9(K)</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9(R), Section 9(W), Section 9(X)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9(Y)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9(Z) </w:t>
      </w:r>
      <w:r>
        <w:rPr>
          <w:rFonts w:ascii="Times New Roman" w:cs="Times New Roman" w:eastAsia="Times New Roman" w:hAnsi="Times New Roman"/>
          <w:sz w:val="16"/>
          <w:szCs w:val="16"/>
          <w:color w:val="auto"/>
        </w:rPr>
        <w:t>of this Note.”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3. </w:t>
      </w:r>
      <w:r>
        <w:rPr>
          <w:rFonts w:ascii="Times New Roman" w:cs="Times New Roman" w:eastAsia="Times New Roman" w:hAnsi="Times New Roman"/>
          <w:sz w:val="16"/>
          <w:szCs w:val="16"/>
          <w:b w:val="1"/>
          <w:bCs w:val="1"/>
          <w:u w:val="single" w:color="auto"/>
          <w:color w:val="auto"/>
        </w:rPr>
        <w:t>REPRESENTATIONS AND WARRANTIES OF THE COMPANY</w:t>
      </w:r>
    </w:p>
    <w:p>
      <w:pPr>
        <w:spacing w:after="0" w:line="215" w:lineRule="exact"/>
        <w:rPr>
          <w:sz w:val="20"/>
          <w:szCs w:val="20"/>
          <w:color w:val="auto"/>
        </w:rPr>
      </w:pPr>
    </w:p>
    <w:p>
      <w:pPr>
        <w:jc w:val="both"/>
        <w:ind w:firstLine="592"/>
        <w:spacing w:after="0" w:line="277" w:lineRule="auto"/>
        <w:tabs>
          <w:tab w:leader="none" w:pos="82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this Amendment, the New Convertible Note, and the Exchange Note (as amended hereby), constitutes a legal, valid and binding obligation of the Company,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3" w:lineRule="exact"/>
        <w:rPr>
          <w:rFonts w:ascii="Times New Roman" w:cs="Times New Roman" w:eastAsia="Times New Roman" w:hAnsi="Times New Roman"/>
          <w:sz w:val="16"/>
          <w:szCs w:val="16"/>
          <w:color w:val="auto"/>
        </w:rPr>
      </w:pPr>
    </w:p>
    <w:p>
      <w:pPr>
        <w:jc w:val="both"/>
        <w:ind w:firstLine="592"/>
        <w:spacing w:after="0" w:line="267" w:lineRule="auto"/>
        <w:tabs>
          <w:tab w:leader="none" w:pos="82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and immediately after giving effect to the terms of this Amendment, (i) no Default or Event of Default has occurred and is continuing and (ii) the representations and warranties of the Company set forth in the Exchange Agreement are true and correct in all material respects (or, in the case of any such representation or warranty qualified by materiality or Material Adverse Effect, in all respects), other than any such representation or warranty given as of a particular date in which case they are true and correct in all material respects (or, in the case of any such representation or warranty qualified by materiality or Material Adverse Effect, in all respects) as of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4. </w:t>
      </w:r>
      <w:r>
        <w:rPr>
          <w:rFonts w:ascii="Times New Roman" w:cs="Times New Roman" w:eastAsia="Times New Roman" w:hAnsi="Times New Roman"/>
          <w:sz w:val="16"/>
          <w:szCs w:val="16"/>
          <w:b w:val="1"/>
          <w:bCs w:val="1"/>
          <w:u w:val="single" w:color="auto"/>
          <w:color w:val="auto"/>
        </w:rPr>
        <w:t>CONDITIONS TO EFFECTIVENESS OF THIS AMENDMENT</w:t>
      </w:r>
    </w:p>
    <w:p>
      <w:pPr>
        <w:spacing w:after="0" w:line="215" w:lineRule="exact"/>
        <w:rPr>
          <w:sz w:val="20"/>
          <w:szCs w:val="20"/>
          <w:color w:val="auto"/>
        </w:rPr>
      </w:pPr>
    </w:p>
    <w:p>
      <w:pPr>
        <w:ind w:firstLine="592"/>
        <w:spacing w:after="0" w:line="297" w:lineRule="auto"/>
        <w:tabs>
          <w:tab w:leader="none" w:pos="81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all reasonable and documented out-of-pocket expenses and costs of Holder (including, without limitation, the reasonable and documented attorney fees and expenses of counsel for Holder) in connection with the preparation, negotiation, execution and approval of this Amendment.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62" w:name="page63"/>
    <w:bookmarkEnd w:id="62"/>
    <w:p>
      <w:pPr>
        <w:jc w:val="both"/>
        <w:ind w:firstLine="592"/>
        <w:spacing w:after="0" w:line="277" w:lineRule="auto"/>
        <w:tabs>
          <w:tab w:leader="none" w:pos="82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Holder a Company Redemption Notice for a portion of the outstanding principal amount of the Existing Note equal to $10,535,473.64 and, in accordance with Section 8(A) of the Exchange Note, such amount shall have been redeemed by the Company on the Company Redemption Date with respect to such redemption at the Company Redemption Price.</w:t>
      </w:r>
    </w:p>
    <w:p>
      <w:pPr>
        <w:spacing w:after="0" w:line="153" w:lineRule="exact"/>
        <w:rPr>
          <w:rFonts w:ascii="Times New Roman" w:cs="Times New Roman" w:eastAsia="Times New Roman" w:hAnsi="Times New Roman"/>
          <w:sz w:val="16"/>
          <w:szCs w:val="16"/>
          <w:color w:val="auto"/>
        </w:rPr>
      </w:pPr>
    </w:p>
    <w:p>
      <w:pPr>
        <w:ind w:firstLine="592"/>
        <w:spacing w:after="0" w:line="297" w:lineRule="auto"/>
        <w:tabs>
          <w:tab w:leader="none" w:pos="81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in reliance upon the exemption from securities registration afforded by Section 3(a)(9) of the Securities Act, have issued to the Holder the New Convertible Note in exchange for and in satisfaction of the full repayment of a principal amount of $10.0 million on the Exchange Note.</w:t>
      </w:r>
    </w:p>
    <w:p>
      <w:pPr>
        <w:spacing w:after="0" w:line="137"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Holder shall have executed the Exchange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5. </w:t>
      </w:r>
      <w:r>
        <w:rPr>
          <w:rFonts w:ascii="Times New Roman" w:cs="Times New Roman" w:eastAsia="Times New Roman" w:hAnsi="Times New Roman"/>
          <w:sz w:val="16"/>
          <w:szCs w:val="16"/>
          <w:b w:val="1"/>
          <w:bCs w:val="1"/>
          <w:u w:val="single" w:color="auto"/>
          <w:color w:val="auto"/>
        </w:rPr>
        <w:t>MISCELLANEOUS</w:t>
      </w:r>
    </w:p>
    <w:p>
      <w:pPr>
        <w:spacing w:after="0" w:line="215" w:lineRule="exact"/>
        <w:rPr>
          <w:sz w:val="20"/>
          <w:szCs w:val="20"/>
          <w:color w:val="auto"/>
        </w:rPr>
      </w:pPr>
    </w:p>
    <w:p>
      <w:pPr>
        <w:ind w:left="820" w:hanging="228"/>
        <w:spacing w:after="0"/>
        <w:tabs>
          <w:tab w:leader="none" w:pos="8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expressly modified herein, the Exchange Note shall remain in full force and effect with no further amendments, modifications or changes.</w:t>
      </w:r>
    </w:p>
    <w:p>
      <w:pPr>
        <w:spacing w:after="0" w:line="211" w:lineRule="exact"/>
        <w:rPr>
          <w:rFonts w:ascii="Times New Roman" w:cs="Times New Roman" w:eastAsia="Times New Roman" w:hAnsi="Times New Roman"/>
          <w:sz w:val="16"/>
          <w:szCs w:val="16"/>
          <w:color w:val="auto"/>
        </w:rPr>
      </w:pPr>
    </w:p>
    <w:p>
      <w:pPr>
        <w:jc w:val="both"/>
        <w:ind w:firstLine="592"/>
        <w:spacing w:after="0" w:line="263" w:lineRule="auto"/>
        <w:tabs>
          <w:tab w:leader="none" w:pos="82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16"/>
          <w:szCs w:val="16"/>
          <w:u w:val="single" w:color="auto"/>
          <w:color w:val="auto"/>
        </w:rPr>
        <w:t>Electronic Signatures</w:t>
      </w:r>
      <w:r>
        <w:rPr>
          <w:rFonts w:ascii="Times New Roman" w:cs="Times New Roman" w:eastAsia="Times New Roman" w:hAnsi="Times New Roman"/>
          <w:sz w:val="16"/>
          <w:szCs w:val="16"/>
          <w:color w:val="auto"/>
        </w:rPr>
        <w:t>” means any electronic symbol or process attached to, or associated with, any contract or other record and adopted by a person with the intent to sign, authenticate or accept such contract or record.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65" w:lineRule="exact"/>
        <w:rPr>
          <w:rFonts w:ascii="Times New Roman" w:cs="Times New Roman" w:eastAsia="Times New Roman" w:hAnsi="Times New Roman"/>
          <w:sz w:val="16"/>
          <w:szCs w:val="16"/>
          <w:color w:val="auto"/>
        </w:rPr>
      </w:pPr>
    </w:p>
    <w:p>
      <w:pPr>
        <w:jc w:val="both"/>
        <w:ind w:firstLine="592"/>
        <w:spacing w:after="0" w:line="271" w:lineRule="auto"/>
        <w:tabs>
          <w:tab w:leader="none" w:pos="81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Holder acknowledge and agree that the Exchange Note, as amended hereby, will continue to have, and the New Convertible Note will have, a holding period under Rule 144 (“</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promulgated under the Securities Act of 1933, as amended, that will be deemed to have commenced as of March 23, 2022. The Company further acknowledges and agrees that it will neither assert nor maintain a contrary position with respect to the date of commencement of the holding period under Rule 144 with respect to the Exchange Note, as amended hereby or the New Convertible Note.</w:t>
      </w:r>
    </w:p>
    <w:p>
      <w:pPr>
        <w:spacing w:after="0" w:line="156" w:lineRule="exact"/>
        <w:rPr>
          <w:rFonts w:ascii="Times New Roman" w:cs="Times New Roman" w:eastAsia="Times New Roman" w:hAnsi="Times New Roman"/>
          <w:sz w:val="16"/>
          <w:szCs w:val="16"/>
          <w:color w:val="auto"/>
        </w:rPr>
      </w:pPr>
    </w:p>
    <w:p>
      <w:pPr>
        <w:jc w:val="both"/>
        <w:ind w:firstLine="592"/>
        <w:spacing w:after="0" w:line="271" w:lineRule="auto"/>
        <w:tabs>
          <w:tab w:leader="none" w:pos="83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9:15 a.m., New York time, on March 14, 2023, the Company shall file a Current Report on Form 8-K (the “</w:t>
      </w:r>
      <w:r>
        <w:rPr>
          <w:rFonts w:ascii="Times New Roman" w:cs="Times New Roman" w:eastAsia="Times New Roman" w:hAnsi="Times New Roman"/>
          <w:sz w:val="16"/>
          <w:szCs w:val="16"/>
          <w:u w:val="single" w:color="auto"/>
          <w:color w:val="auto"/>
        </w:rPr>
        <w:t>Form 8-K</w:t>
      </w:r>
      <w:r>
        <w:rPr>
          <w:rFonts w:ascii="Times New Roman" w:cs="Times New Roman" w:eastAsia="Times New Roman" w:hAnsi="Times New Roman"/>
          <w:sz w:val="16"/>
          <w:szCs w:val="16"/>
          <w:color w:val="auto"/>
        </w:rPr>
        <w:t>”) disclosing all the material terms of the transactions contemplated by this Amendment. From and after the issuance of the Form 8-K, the Company shall have disclosed all material, nonpublic information (if any) provided to Holder by the Company or any of its subsidiaries or any of their respective officers, directors, employees or agents and Holder shall not be in possession of any material, non-public information regarding the Company or any of its Subsidiaries.</w:t>
      </w:r>
    </w:p>
    <w:p>
      <w:pPr>
        <w:spacing w:after="0" w:line="156" w:lineRule="exact"/>
        <w:rPr>
          <w:rFonts w:ascii="Times New Roman" w:cs="Times New Roman" w:eastAsia="Times New Roman" w:hAnsi="Times New Roman"/>
          <w:sz w:val="16"/>
          <w:szCs w:val="16"/>
          <w:color w:val="auto"/>
        </w:rPr>
      </w:pPr>
    </w:p>
    <w:p>
      <w:pPr>
        <w:ind w:firstLine="592"/>
        <w:spacing w:after="0" w:line="297" w:lineRule="auto"/>
        <w:tabs>
          <w:tab w:leader="none" w:pos="81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questions concerning the construction, validity, enforcement and interpretation of this Amendment shall be determined in accordance with the provisions of the Exchange Note.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 xml:space="preserve">WITNESS </w:t>
      </w:r>
      <w:r>
        <w:rPr>
          <w:rFonts w:ascii="Times New Roman" w:cs="Times New Roman" w:eastAsia="Times New Roman" w:hAnsi="Times New Roman"/>
          <w:sz w:val="16"/>
          <w:szCs w:val="16"/>
          <w:color w:val="auto"/>
        </w:rPr>
        <w:t>the due execution hereof by the respective duly authorized officers of the undersigned as of the date first written above.</w:t>
      </w:r>
    </w:p>
    <w:p>
      <w:pPr>
        <w:spacing w:after="0" w:line="2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11430</wp:posOffset>
            </wp:positionV>
            <wp:extent cx="249364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3645" cy="15875"/>
                    </a:xfrm>
                    <a:prstGeom prst="rect">
                      <a:avLst/>
                    </a:prstGeom>
                    <a:noFill/>
                  </pic:spPr>
                </pic:pic>
              </a:graphicData>
            </a:graphic>
          </wp:anchor>
        </w:drawing>
      </w:r>
    </w:p>
    <w:p>
      <w:pPr>
        <w:spacing w:after="0" w:line="11"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6"/>
          <w:szCs w:val="16"/>
          <w:color w:val="auto"/>
        </w:rPr>
        <w:t>Name:</w:t>
        <w:tab/>
        <w:t>Raymond Chang</w:t>
      </w:r>
    </w:p>
    <w:p>
      <w:pPr>
        <w:spacing w:after="0" w:line="26"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9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b w:val="1"/>
          <w:bCs w:val="1"/>
          <w:u w:val="single" w:color="auto"/>
          <w:color w:val="auto"/>
        </w:rPr>
        <w:t>HOLDER</w:t>
      </w: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b w:val="1"/>
          <w:bCs w:val="1"/>
          <w:color w:val="auto"/>
        </w:rPr>
        <w:t>HIGH TRAIL SPECIAL SITUATIONS LLC</w:t>
      </w:r>
    </w:p>
    <w:p>
      <w:pPr>
        <w:spacing w:after="0" w:line="21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11430</wp:posOffset>
            </wp:positionV>
            <wp:extent cx="249364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3645" cy="15875"/>
                    </a:xfrm>
                    <a:prstGeom prst="rect">
                      <a:avLst/>
                    </a:prstGeom>
                    <a:noFill/>
                  </pic:spPr>
                </pic:pic>
              </a:graphicData>
            </a:graphic>
          </wp:anchor>
        </w:drawing>
      </w:r>
    </w:p>
    <w:p>
      <w:pPr>
        <w:spacing w:after="0" w:line="11"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6"/>
          <w:szCs w:val="16"/>
          <w:color w:val="auto"/>
        </w:rPr>
        <w:t>Name:</w:t>
        <w:tab/>
        <w:t>Eric Helenek</w:t>
      </w:r>
    </w:p>
    <w:p>
      <w:pPr>
        <w:spacing w:after="0" w:line="26"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6"/>
          <w:szCs w:val="16"/>
          <w:color w:val="auto"/>
        </w:rPr>
        <w:t>Title:</w:t>
        <w:tab/>
        <w:t>Authorized Signatory</w:t>
      </w:r>
    </w:p>
    <w:p>
      <w:pPr>
        <w:spacing w:after="0" w:line="19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the Amendment No.1 to Senior Secured Note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412750</wp:posOffset>
            </wp:positionV>
            <wp:extent cx="71437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539"/>
          </w:cols>
          <w:pgMar w:left="920" w:top="835"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Senior Secured Convertible Note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272415</wp:posOffset>
            </wp:positionV>
            <wp:extent cx="714375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AGREEMENT</w:t>
      </w:r>
    </w:p>
    <w:p>
      <w:pPr>
        <w:spacing w:after="0" w:line="211" w:lineRule="exact"/>
        <w:rPr>
          <w:sz w:val="20"/>
          <w:szCs w:val="20"/>
          <w:color w:val="auto"/>
        </w:rPr>
      </w:pPr>
    </w:p>
    <w:p>
      <w:pPr>
        <w:jc w:val="both"/>
        <w:ind w:left="1" w:firstLine="593"/>
        <w:spacing w:after="0" w:line="280"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SECURITIES EXCHANGE AGREEMENT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as of March 8, 2023, is by and among Agrify Corporation, a Nevada corporation with offices located at 76 Treble Cove Road, Building 3, Billerica, MA 01862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each of the investors listed on the Schedule of Holders attached hereto (individually, a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Holders</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RECITALS</w:t>
      </w:r>
    </w:p>
    <w:p>
      <w:pPr>
        <w:spacing w:after="0" w:line="215" w:lineRule="exact"/>
        <w:rPr>
          <w:sz w:val="20"/>
          <w:szCs w:val="20"/>
          <w:color w:val="auto"/>
        </w:rPr>
      </w:pPr>
    </w:p>
    <w:p>
      <w:pPr>
        <w:jc w:val="both"/>
        <w:ind w:left="1" w:firstLine="593"/>
        <w:spacing w:after="0" w:line="297" w:lineRule="auto"/>
        <w:rPr>
          <w:sz w:val="20"/>
          <w:szCs w:val="20"/>
          <w:color w:val="auto"/>
        </w:rPr>
      </w:pPr>
      <w:r>
        <w:rPr>
          <w:rFonts w:ascii="Times New Roman" w:cs="Times New Roman" w:eastAsia="Times New Roman" w:hAnsi="Times New Roman"/>
          <w:sz w:val="16"/>
          <w:szCs w:val="16"/>
          <w:color w:val="auto"/>
        </w:rPr>
        <w:t>A. The Company and each Holder are executing and delivering this Agreement in reliance upon the exemption from securities registration afforded by Section 3(a)(9) of the Securities Act of 1933, as amended (the “</w:t>
      </w:r>
      <w:r>
        <w:rPr>
          <w:rFonts w:ascii="Times New Roman" w:cs="Times New Roman" w:eastAsia="Times New Roman" w:hAnsi="Times New Roman"/>
          <w:sz w:val="16"/>
          <w:szCs w:val="16"/>
          <w:b w:val="1"/>
          <w:bCs w:val="1"/>
          <w:color w:val="auto"/>
        </w:rPr>
        <w:t>1933 Act</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left="1" w:firstLine="593"/>
        <w:spacing w:after="0" w:line="272" w:lineRule="auto"/>
        <w:rPr>
          <w:sz w:val="20"/>
          <w:szCs w:val="20"/>
          <w:color w:val="auto"/>
        </w:rPr>
      </w:pPr>
      <w:r>
        <w:rPr>
          <w:rFonts w:ascii="Times New Roman" w:cs="Times New Roman" w:eastAsia="Times New Roman" w:hAnsi="Times New Roman"/>
          <w:sz w:val="16"/>
          <w:szCs w:val="16"/>
          <w:color w:val="auto"/>
        </w:rPr>
        <w:t xml:space="preserve">B. The Company has authorized a new series of Senior Secured Convertible Notes in the form attached hereto as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Exchange Notes</w:t>
      </w:r>
      <w:r>
        <w:rPr>
          <w:rFonts w:ascii="Times New Roman" w:cs="Times New Roman" w:eastAsia="Times New Roman" w:hAnsi="Times New Roman"/>
          <w:sz w:val="16"/>
          <w:szCs w:val="16"/>
          <w:color w:val="auto"/>
        </w:rPr>
        <w:t>”), which such Exchange Notes shall under certain circumstances entitle the Holders to receive shares of the Company’s common stock, par value $0.001 per share (together with any capital stock into which such common stock shall have been changed or any share capital resulting from a reclassification of such common stock,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(such underlying shares of Common Stock issuable pursuant to the terms of the Exchange Notes, the “</w:t>
      </w:r>
      <w:r>
        <w:rPr>
          <w:rFonts w:ascii="Times New Roman" w:cs="Times New Roman" w:eastAsia="Times New Roman" w:hAnsi="Times New Roman"/>
          <w:sz w:val="16"/>
          <w:szCs w:val="16"/>
          <w:b w:val="1"/>
          <w:bCs w:val="1"/>
          <w:color w:val="auto"/>
        </w:rPr>
        <w:t>Exchange Note Shares</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C. Each Holder is the beneficial owner of such outstanding principal amount of Senior Secured Notes due 2025 set forth opposite such Holder’s name in column</w:t>
      </w:r>
    </w:p>
    <w:p>
      <w:pPr>
        <w:spacing w:after="0" w:line="31" w:lineRule="exact"/>
        <w:rPr>
          <w:sz w:val="20"/>
          <w:szCs w:val="20"/>
          <w:color w:val="auto"/>
        </w:rPr>
      </w:pPr>
    </w:p>
    <w:p>
      <w:pPr>
        <w:jc w:val="both"/>
        <w:ind w:left="1" w:hanging="1"/>
        <w:spacing w:after="0" w:line="266" w:lineRule="auto"/>
        <w:tabs>
          <w:tab w:leader="none" w:pos="23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Schedule of Holders (each, a “</w:t>
      </w:r>
      <w:r>
        <w:rPr>
          <w:rFonts w:ascii="Times New Roman" w:cs="Times New Roman" w:eastAsia="Times New Roman" w:hAnsi="Times New Roman"/>
          <w:sz w:val="16"/>
          <w:szCs w:val="16"/>
          <w:b w:val="1"/>
          <w:bCs w:val="1"/>
          <w:color w:val="auto"/>
        </w:rPr>
        <w:t>Prior Note</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Prior Notes</w:t>
      </w:r>
      <w:r>
        <w:rPr>
          <w:rFonts w:ascii="Times New Roman" w:cs="Times New Roman" w:eastAsia="Times New Roman" w:hAnsi="Times New Roman"/>
          <w:sz w:val="16"/>
          <w:szCs w:val="16"/>
          <w:color w:val="auto"/>
        </w:rPr>
        <w:t>”) issued by the Company pursuant to that certain Securities Exchange Agreement, dated August 18, 2022 (the “</w:t>
      </w:r>
      <w:r>
        <w:rPr>
          <w:rFonts w:ascii="Times New Roman" w:cs="Times New Roman" w:eastAsia="Times New Roman" w:hAnsi="Times New Roman"/>
          <w:sz w:val="16"/>
          <w:szCs w:val="16"/>
          <w:b w:val="1"/>
          <w:bCs w:val="1"/>
          <w:color w:val="auto"/>
        </w:rPr>
        <w:t>Prior SEA</w:t>
      </w:r>
      <w:r>
        <w:rPr>
          <w:rFonts w:ascii="Times New Roman" w:cs="Times New Roman" w:eastAsia="Times New Roman" w:hAnsi="Times New Roman"/>
          <w:sz w:val="16"/>
          <w:szCs w:val="16"/>
          <w:color w:val="auto"/>
        </w:rPr>
        <w:t>”) in exchange for those certain Senior Secured Notes due 2026 (the “</w:t>
      </w:r>
      <w:r>
        <w:rPr>
          <w:rFonts w:ascii="Times New Roman" w:cs="Times New Roman" w:eastAsia="Times New Roman" w:hAnsi="Times New Roman"/>
          <w:sz w:val="16"/>
          <w:szCs w:val="16"/>
          <w:b w:val="1"/>
          <w:bCs w:val="1"/>
          <w:color w:val="auto"/>
        </w:rPr>
        <w:t>Initial Notes</w:t>
      </w:r>
      <w:r>
        <w:rPr>
          <w:rFonts w:ascii="Times New Roman" w:cs="Times New Roman" w:eastAsia="Times New Roman" w:hAnsi="Times New Roman"/>
          <w:sz w:val="16"/>
          <w:szCs w:val="16"/>
          <w:color w:val="auto"/>
        </w:rPr>
        <w:t>”) issued pursuant to that certain Securities Purchase Agreement, dated March 14, 2022 (the “</w:t>
      </w:r>
      <w:r>
        <w:rPr>
          <w:rFonts w:ascii="Times New Roman" w:cs="Times New Roman" w:eastAsia="Times New Roman" w:hAnsi="Times New Roman"/>
          <w:sz w:val="16"/>
          <w:szCs w:val="16"/>
          <w:b w:val="1"/>
          <w:bCs w:val="1"/>
          <w:color w:val="auto"/>
        </w:rPr>
        <w:t>Prior SPA</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1" w:firstLine="592"/>
        <w:spacing w:after="0" w:line="262" w:lineRule="auto"/>
        <w:tabs>
          <w:tab w:leader="none" w:pos="802"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Prior SPA and Prior SEA, each Holder and the Company entered into certain transaction documents, which included the Prior SPA, the Prior SEA, the Prior Notes, those certain warrants issued pursuant to the Prior SPA and Prior SEA (the “</w:t>
      </w:r>
      <w:r>
        <w:rPr>
          <w:rFonts w:ascii="Times New Roman" w:cs="Times New Roman" w:eastAsia="Times New Roman" w:hAnsi="Times New Roman"/>
          <w:sz w:val="16"/>
          <w:szCs w:val="16"/>
          <w:b w:val="1"/>
          <w:bCs w:val="1"/>
          <w:color w:val="auto"/>
        </w:rPr>
        <w:t>Previously Issued Warrants</w:t>
      </w:r>
      <w:r>
        <w:rPr>
          <w:rFonts w:ascii="Times New Roman" w:cs="Times New Roman" w:eastAsia="Times New Roman" w:hAnsi="Times New Roman"/>
          <w:sz w:val="16"/>
          <w:szCs w:val="16"/>
          <w:color w:val="auto"/>
        </w:rPr>
        <w:t>”), that certain Security Agreement, dated as of March 23, 2022, as amended by the Amendment to Security Agreement, dated August 18, 2022 (the “</w:t>
      </w:r>
      <w:r>
        <w:rPr>
          <w:rFonts w:ascii="Times New Roman" w:cs="Times New Roman" w:eastAsia="Times New Roman" w:hAnsi="Times New Roman"/>
          <w:sz w:val="16"/>
          <w:szCs w:val="16"/>
          <w:b w:val="1"/>
          <w:bCs w:val="1"/>
          <w:color w:val="auto"/>
        </w:rPr>
        <w:t>Security Agreement</w:t>
      </w:r>
      <w:r>
        <w:rPr>
          <w:rFonts w:ascii="Times New Roman" w:cs="Times New Roman" w:eastAsia="Times New Roman" w:hAnsi="Times New Roman"/>
          <w:sz w:val="16"/>
          <w:szCs w:val="16"/>
          <w:color w:val="auto"/>
        </w:rPr>
        <w:t>”), by and among the Company, each of the subsidiaries of the Company thereto and High Trail Special Situations LLC, a Delaware limited liability company (the “</w:t>
      </w:r>
      <w:r>
        <w:rPr>
          <w:rFonts w:ascii="Times New Roman" w:cs="Times New Roman" w:eastAsia="Times New Roman" w:hAnsi="Times New Roman"/>
          <w:sz w:val="16"/>
          <w:szCs w:val="16"/>
          <w:b w:val="1"/>
          <w:bCs w:val="1"/>
          <w:color w:val="auto"/>
        </w:rPr>
        <w:t>Initial Collateral Agent</w:t>
      </w:r>
      <w:r>
        <w:rPr>
          <w:rFonts w:ascii="Times New Roman" w:cs="Times New Roman" w:eastAsia="Times New Roman" w:hAnsi="Times New Roman"/>
          <w:sz w:val="16"/>
          <w:szCs w:val="16"/>
          <w:color w:val="auto"/>
        </w:rPr>
        <w:t>”), in its capacity as collateral agent for the benefit of the Holders, that certain Intellectual Property Security Agreement, dated as of March 23, 2022, as amended by the Amendment to Intellectual Property Security Agreement, dated August 18, 2022, by and among the Company, each of the subsidiaries of the Company thereto and the Initial Collateral Agent (the “</w:t>
      </w:r>
      <w:r>
        <w:rPr>
          <w:rFonts w:ascii="Times New Roman" w:cs="Times New Roman" w:eastAsia="Times New Roman" w:hAnsi="Times New Roman"/>
          <w:sz w:val="16"/>
          <w:szCs w:val="16"/>
          <w:b w:val="1"/>
          <w:bCs w:val="1"/>
          <w:color w:val="auto"/>
        </w:rPr>
        <w:t>IP Security Agreement</w:t>
      </w:r>
      <w:r>
        <w:rPr>
          <w:rFonts w:ascii="Times New Roman" w:cs="Times New Roman" w:eastAsia="Times New Roman" w:hAnsi="Times New Roman"/>
          <w:sz w:val="16"/>
          <w:szCs w:val="16"/>
          <w:color w:val="auto"/>
        </w:rPr>
        <w:t>” and together with the Security Agreement, the “</w:t>
      </w:r>
      <w:r>
        <w:rPr>
          <w:rFonts w:ascii="Times New Roman" w:cs="Times New Roman" w:eastAsia="Times New Roman" w:hAnsi="Times New Roman"/>
          <w:sz w:val="16"/>
          <w:szCs w:val="16"/>
          <w:b w:val="1"/>
          <w:bCs w:val="1"/>
          <w:color w:val="auto"/>
        </w:rPr>
        <w:t>Security Agreements</w:t>
      </w:r>
      <w:r>
        <w:rPr>
          <w:rFonts w:ascii="Times New Roman" w:cs="Times New Roman" w:eastAsia="Times New Roman" w:hAnsi="Times New Roman"/>
          <w:sz w:val="16"/>
          <w:szCs w:val="16"/>
          <w:color w:val="auto"/>
        </w:rPr>
        <w:t>”), the Security Documents (as defined in the Security Agreements), the Irrevocable Transfer Agent Instructions (in this instance, as defined in the Prior SPA and Prior SEA) and each of the other written agreements and instruments entered into or delivered by any of the parties thereto in connection with the transactions contemplated thereby, as may be amended from time to time (the “</w:t>
      </w:r>
      <w:r>
        <w:rPr>
          <w:rFonts w:ascii="Times New Roman" w:cs="Times New Roman" w:eastAsia="Times New Roman" w:hAnsi="Times New Roman"/>
          <w:sz w:val="16"/>
          <w:szCs w:val="16"/>
          <w:b w:val="1"/>
          <w:bCs w:val="1"/>
          <w:color w:val="auto"/>
        </w:rPr>
        <w:t>Prior Transaction Documents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12" w:right="339" w:bottom="1440" w:gutter="0" w:footer="0" w:header="0"/>
        </w:sectPr>
      </w:pPr>
    </w:p>
    <w:bookmarkStart w:id="66" w:name="page67"/>
    <w:bookmarkEnd w:id="66"/>
    <w:p>
      <w:pPr>
        <w:jc w:val="both"/>
        <w:ind w:left="1" w:firstLine="593"/>
        <w:spacing w:after="0" w:line="267" w:lineRule="auto"/>
        <w:rPr>
          <w:sz w:val="20"/>
          <w:szCs w:val="20"/>
          <w:color w:val="auto"/>
        </w:rPr>
      </w:pPr>
      <w:r>
        <w:rPr>
          <w:rFonts w:ascii="Times New Roman" w:cs="Times New Roman" w:eastAsia="Times New Roman" w:hAnsi="Times New Roman"/>
          <w:sz w:val="16"/>
          <w:szCs w:val="16"/>
          <w:color w:val="auto"/>
        </w:rPr>
        <w:t>E. Each Holder and the Company wish to exchange (i) such outstanding principal amount of Prior Notes set forth opposite such Holder’s name in column (4) of the Schedule of Holders for the principal amount of Initial Exchange Notes (as defined below) set forth opposite such Holder’s name in column (5) and (ii) at the Holders’ sole option, up to such outstanding principal amount of Prior Notes set forth opposite such Holder’s name in column (9) of the Schedule of Holders for an Optional Exchange Note (as defined below) in the same aggregate principal amount as such amount of Prior Notes being exchanged, and the Company shall pay to the Holder all accrued and unpaid interest, to, and including, such Closing Date, on such amount of principal being exchanged.</w:t>
      </w:r>
    </w:p>
    <w:p>
      <w:pPr>
        <w:spacing w:after="0" w:line="162" w:lineRule="exact"/>
        <w:rPr>
          <w:sz w:val="20"/>
          <w:szCs w:val="20"/>
          <w:color w:val="auto"/>
        </w:rPr>
      </w:pPr>
    </w:p>
    <w:p>
      <w:pPr>
        <w:jc w:val="both"/>
        <w:ind w:left="1" w:firstLine="593"/>
        <w:spacing w:after="0" w:line="267" w:lineRule="auto"/>
        <w:rPr>
          <w:sz w:val="20"/>
          <w:szCs w:val="20"/>
          <w:color w:val="auto"/>
        </w:rPr>
      </w:pPr>
      <w:r>
        <w:rPr>
          <w:rFonts w:ascii="Times New Roman" w:cs="Times New Roman" w:eastAsia="Times New Roman" w:hAnsi="Times New Roman"/>
          <w:sz w:val="16"/>
          <w:szCs w:val="16"/>
          <w:color w:val="auto"/>
        </w:rPr>
        <w:t>F. Immediately prior to the Initial Closing (as defined below), both parties agree that, notwithstanding anything to the contrary set forth in the Prior Notes, the Company shall make a payment under the Prior Notes at the Company Redemption Price (as defined in the Prior Notes) in the aggregate cash amount as set forth opposite such Holder’s name in column (7), along with all accrued but unpaid interest, to, and including the Initial Closing Date, on such amount of principal being repaid, and such payment (except for the payment of accrued and unpaid interest) shall decrease the principal amount of the Prior Note in the amount as set forth opposite such Holder’s name in column (8) (the “</w:t>
      </w:r>
      <w:r>
        <w:rPr>
          <w:rFonts w:ascii="Times New Roman" w:cs="Times New Roman" w:eastAsia="Times New Roman" w:hAnsi="Times New Roman"/>
          <w:sz w:val="16"/>
          <w:szCs w:val="16"/>
          <w:b w:val="1"/>
          <w:bCs w:val="1"/>
          <w:color w:val="auto"/>
        </w:rPr>
        <w:t>Prior Note Pay Down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1" w:firstLine="593"/>
        <w:spacing w:after="0" w:line="265" w:lineRule="auto"/>
        <w:rPr>
          <w:sz w:val="20"/>
          <w:szCs w:val="20"/>
          <w:color w:val="auto"/>
        </w:rPr>
      </w:pPr>
      <w:r>
        <w:rPr>
          <w:rFonts w:ascii="Times New Roman" w:cs="Times New Roman" w:eastAsia="Times New Roman" w:hAnsi="Times New Roman"/>
          <w:sz w:val="16"/>
          <w:szCs w:val="16"/>
          <w:color w:val="auto"/>
        </w:rPr>
        <w:t xml:space="preserve">G. Furthermore, at the Initial Closing (as defined below), the parties hereto shall execute and deliver amendments to the Prior Notes, in the form attached hereto as </w:t>
      </w:r>
      <w:r>
        <w:rPr>
          <w:rFonts w:ascii="Times New Roman" w:cs="Times New Roman" w:eastAsia="Times New Roman" w:hAnsi="Times New Roman"/>
          <w:sz w:val="16"/>
          <w:szCs w:val="16"/>
          <w:b w:val="1"/>
          <w:bCs w:val="1"/>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Amendment to Prior Notes</w:t>
      </w:r>
      <w:r>
        <w:rPr>
          <w:rFonts w:ascii="Times New Roman" w:cs="Times New Roman" w:eastAsia="Times New Roman" w:hAnsi="Times New Roman"/>
          <w:sz w:val="16"/>
          <w:szCs w:val="16"/>
          <w:color w:val="auto"/>
        </w:rPr>
        <w:t xml:space="preserve">”), the Security Agreements and that certain Subsidiary Guaranty, dated as of March 23, 2022, as amended by the Amendment to Subsidiary Guaranty, dated August 18, 2022, by and among the Company, each of the subsidiaries of the Company thereto and the Initial Collateral Agent, in its capacity as collateral agent for the benefit of the Holders, in the forms attached hereto as </w:t>
      </w:r>
      <w:r>
        <w:rPr>
          <w:rFonts w:ascii="Times New Roman" w:cs="Times New Roman" w:eastAsia="Times New Roman" w:hAnsi="Times New Roman"/>
          <w:sz w:val="16"/>
          <w:szCs w:val="16"/>
          <w:b w:val="1"/>
          <w:bCs w:val="1"/>
          <w:color w:val="auto"/>
        </w:rPr>
        <w:t>Exhibit C</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Amendments to Security Documents</w:t>
      </w:r>
      <w:r>
        <w:rPr>
          <w:rFonts w:ascii="Times New Roman" w:cs="Times New Roman" w:eastAsia="Times New Roman" w:hAnsi="Times New Roman"/>
          <w:sz w:val="16"/>
          <w:szCs w:val="16"/>
          <w:color w:val="auto"/>
        </w:rPr>
        <w:t>”), pursuant to which the Company has agreed to grant a first priority security interest to the Collateral Agent (as defined in the Security Agreements), as collateral agent for the holders of the Exchange Notes in all assets of the Company.</w:t>
      </w:r>
    </w:p>
    <w:p>
      <w:pPr>
        <w:spacing w:after="0" w:line="16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H. The Initial Exchange Notes, the Optional Exchange Notes and Exchange Note Shares are collectively referred to herein as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AGREEMENT</w:t>
      </w:r>
    </w:p>
    <w:p>
      <w:pPr>
        <w:spacing w:after="0" w:line="215" w:lineRule="exact"/>
        <w:rPr>
          <w:sz w:val="20"/>
          <w:szCs w:val="20"/>
          <w:color w:val="auto"/>
        </w:rPr>
      </w:pPr>
    </w:p>
    <w:p>
      <w:pPr>
        <w:jc w:val="both"/>
        <w:ind w:left="1" w:firstLine="593"/>
        <w:spacing w:after="0" w:line="297" w:lineRule="auto"/>
        <w:rPr>
          <w:sz w:val="20"/>
          <w:szCs w:val="20"/>
          <w:color w:val="auto"/>
        </w:rPr>
      </w:pPr>
      <w:r>
        <w:rPr>
          <w:rFonts w:ascii="Times New Roman" w:cs="Times New Roman" w:eastAsia="Times New Roman" w:hAnsi="Times New Roman"/>
          <w:sz w:val="16"/>
          <w:szCs w:val="16"/>
          <w:color w:val="auto"/>
        </w:rPr>
        <w:t>NOW, THEREFORE, in consideration of the premises and the mutual covenants and agreements contained herein and for other good and valuable consideration, the receipt and sufficiency of which are hereby acknowledged, the Company and each Holder hereby agree as follows:</w:t>
      </w:r>
    </w:p>
    <w:p>
      <w:pPr>
        <w:spacing w:after="0" w:line="133" w:lineRule="exact"/>
        <w:rPr>
          <w:sz w:val="20"/>
          <w:szCs w:val="20"/>
          <w:color w:val="auto"/>
        </w:rPr>
      </w:pPr>
    </w:p>
    <w:p>
      <w:pPr>
        <w:ind w:left="161" w:hanging="161"/>
        <w:spacing w:after="0"/>
        <w:tabs>
          <w:tab w:leader="none" w:pos="161"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OF PRIOR NOTES.</w:t>
      </w:r>
    </w:p>
    <w:p>
      <w:pPr>
        <w:spacing w:after="0" w:line="215" w:lineRule="exact"/>
        <w:rPr>
          <w:rFonts w:ascii="Times New Roman" w:cs="Times New Roman" w:eastAsia="Times New Roman" w:hAnsi="Times New Roman"/>
          <w:sz w:val="16"/>
          <w:szCs w:val="16"/>
          <w:b w:val="1"/>
          <w:bCs w:val="1"/>
          <w:color w:val="auto"/>
        </w:rPr>
      </w:pPr>
    </w:p>
    <w:p>
      <w:pPr>
        <w:jc w:val="both"/>
        <w:ind w:left="1" w:firstLine="592"/>
        <w:spacing w:after="0" w:line="271" w:lineRule="auto"/>
        <w:tabs>
          <w:tab w:leader="none" w:pos="818"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of Prior Notes for Initial Exchange Notes</w:t>
      </w:r>
      <w:r>
        <w:rPr>
          <w:rFonts w:ascii="Times New Roman" w:cs="Times New Roman" w:eastAsia="Times New Roman" w:hAnsi="Times New Roman"/>
          <w:sz w:val="16"/>
          <w:szCs w:val="16"/>
          <w:color w:val="auto"/>
        </w:rPr>
        <w:t>. Subject to the satisfaction (or waiver) of the conditions set forth in Sections 6 and 7(a), as applicable, the Company shall, in reliance upon the exemptions from securities registration afforded by Section 3(a)(9) of the 1933 Act, issue to each Holder, in exchange for the aggregate principal amount of Prior Notes as set forth opposite such Holder’s name in column (4), an Exchange Note in the aggregate principal amount of Exchange Notes as set forth opposite such Holder’s name in column (5) on the Schedule of Holders (the “</w:t>
      </w:r>
      <w:r>
        <w:rPr>
          <w:rFonts w:ascii="Times New Roman" w:cs="Times New Roman" w:eastAsia="Times New Roman" w:hAnsi="Times New Roman"/>
          <w:sz w:val="16"/>
          <w:szCs w:val="16"/>
          <w:b w:val="1"/>
          <w:bCs w:val="1"/>
          <w:color w:val="auto"/>
        </w:rPr>
        <w:t>Initial Exchange Notes</w:t>
      </w:r>
      <w:r>
        <w:rPr>
          <w:rFonts w:ascii="Times New Roman" w:cs="Times New Roman" w:eastAsia="Times New Roman" w:hAnsi="Times New Roman"/>
          <w:sz w:val="16"/>
          <w:szCs w:val="16"/>
          <w:color w:val="auto"/>
        </w:rPr>
        <w: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67" w:name="page68"/>
    <w:bookmarkEnd w:id="67"/>
    <w:p>
      <w:pPr>
        <w:jc w:val="both"/>
        <w:ind w:firstLine="592"/>
        <w:spacing w:after="0" w:line="264" w:lineRule="auto"/>
        <w:tabs>
          <w:tab w:leader="none" w:pos="82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Initial Closing</w:t>
      </w:r>
      <w:r>
        <w:rPr>
          <w:rFonts w:ascii="Times New Roman" w:cs="Times New Roman" w:eastAsia="Times New Roman" w:hAnsi="Times New Roman"/>
          <w:sz w:val="16"/>
          <w:szCs w:val="16"/>
          <w:color w:val="auto"/>
        </w:rPr>
        <w:t>. The closing (the “</w:t>
      </w:r>
      <w:r>
        <w:rPr>
          <w:rFonts w:ascii="Times New Roman" w:cs="Times New Roman" w:eastAsia="Times New Roman" w:hAnsi="Times New Roman"/>
          <w:sz w:val="16"/>
          <w:szCs w:val="16"/>
          <w:b w:val="1"/>
          <w:bCs w:val="1"/>
          <w:color w:val="auto"/>
        </w:rPr>
        <w:t>Initial Closing</w:t>
      </w:r>
      <w:r>
        <w:rPr>
          <w:rFonts w:ascii="Times New Roman" w:cs="Times New Roman" w:eastAsia="Times New Roman" w:hAnsi="Times New Roman"/>
          <w:sz w:val="16"/>
          <w:szCs w:val="16"/>
          <w:color w:val="auto"/>
        </w:rPr>
        <w:t>”) of the exchange of the Initial Exchange Notes by the Company and the Holders shall occur by electronic transmission or other transmission as mutually acceptable to the parties. The date and time of the Initial Closing (the “</w:t>
      </w:r>
      <w:r>
        <w:rPr>
          <w:rFonts w:ascii="Times New Roman" w:cs="Times New Roman" w:eastAsia="Times New Roman" w:hAnsi="Times New Roman"/>
          <w:sz w:val="16"/>
          <w:szCs w:val="16"/>
          <w:b w:val="1"/>
          <w:bCs w:val="1"/>
          <w:color w:val="auto"/>
        </w:rPr>
        <w:t>Initial Closing Date</w:t>
      </w:r>
      <w:r>
        <w:rPr>
          <w:rFonts w:ascii="Times New Roman" w:cs="Times New Roman" w:eastAsia="Times New Roman" w:hAnsi="Times New Roman"/>
          <w:sz w:val="16"/>
          <w:szCs w:val="16"/>
          <w:color w:val="auto"/>
        </w:rPr>
        <w:t>”) shall be 10:00 a.m., New York time, on the first (1st) Business Day on which the conditions to the Initial Closing set forth in Sections 6 and 7(a) are satisfied or waived (or such other date as is mutually agreed to by the Company and each Holder). As used herein “</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a Saturday, a Sunday or any day on which commercial banks in The City of New York are authorized or required by law or executive order to close or be closed; provided, however,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163" w:lineRule="exact"/>
        <w:rPr>
          <w:rFonts w:ascii="Times New Roman" w:cs="Times New Roman" w:eastAsia="Times New Roman" w:hAnsi="Times New Roman"/>
          <w:sz w:val="16"/>
          <w:szCs w:val="16"/>
          <w:color w:val="auto"/>
        </w:rPr>
      </w:pPr>
    </w:p>
    <w:p>
      <w:pPr>
        <w:jc w:val="both"/>
        <w:ind w:firstLine="592"/>
        <w:spacing w:after="0" w:line="265" w:lineRule="auto"/>
        <w:tabs>
          <w:tab w:leader="none" w:pos="81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of Prior Notes for Initial Exchange Notes</w:t>
      </w:r>
      <w:r>
        <w:rPr>
          <w:rFonts w:ascii="Times New Roman" w:cs="Times New Roman" w:eastAsia="Times New Roman" w:hAnsi="Times New Roman"/>
          <w:sz w:val="16"/>
          <w:szCs w:val="16"/>
          <w:color w:val="auto"/>
        </w:rPr>
        <w:t>. On the Initial Closing Date, (i) each Holder shall be deemed to have tendered the aggregate principal amount of Prior Notes as set forth opposite such Holder’s name in column (4) for exchange, and (ii) the Company shall deliver to each Holder the Initial Exchange Notes in the aggregate principal amount as is set forth opposite such Holder’s name in column (5) of the Schedule of Holders, duly executed on behalf of the Company and registered on the books and records of the Company in the name of such Holder or its designee and any interest then accrued on the portion of the Prior Notes being redeemed on the Initial Closing Date. For the avoidance of doubt, no prepayment penalties, premiums or default payments shall be applicable or due and owing in connection with the exchange of the portion of the aggregate principal of the Prior Notes for the Initial Exchange Notes.</w:t>
      </w:r>
    </w:p>
    <w:p>
      <w:pPr>
        <w:spacing w:after="0" w:line="160" w:lineRule="exact"/>
        <w:rPr>
          <w:rFonts w:ascii="Times New Roman" w:cs="Times New Roman" w:eastAsia="Times New Roman" w:hAnsi="Times New Roman"/>
          <w:sz w:val="16"/>
          <w:szCs w:val="16"/>
          <w:color w:val="auto"/>
        </w:rPr>
      </w:pPr>
    </w:p>
    <w:p>
      <w:pPr>
        <w:jc w:val="both"/>
        <w:ind w:firstLine="592"/>
        <w:spacing w:after="0" w:line="265" w:lineRule="auto"/>
        <w:tabs>
          <w:tab w:leader="none" w:pos="82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of Holder-Elected Optional Exchange Notes</w:t>
      </w:r>
      <w:r>
        <w:rPr>
          <w:rFonts w:ascii="Times New Roman" w:cs="Times New Roman" w:eastAsia="Times New Roman" w:hAnsi="Times New Roman"/>
          <w:sz w:val="16"/>
          <w:szCs w:val="16"/>
          <w:color w:val="auto"/>
        </w:rPr>
        <w:t>. On August 19, 2023 (the “</w:t>
      </w:r>
      <w:r>
        <w:rPr>
          <w:rFonts w:ascii="Times New Roman" w:cs="Times New Roman" w:eastAsia="Times New Roman" w:hAnsi="Times New Roman"/>
          <w:sz w:val="16"/>
          <w:szCs w:val="16"/>
          <w:b w:val="1"/>
          <w:bCs w:val="1"/>
          <w:color w:val="auto"/>
        </w:rPr>
        <w:t>Option Date</w:t>
      </w:r>
      <w:r>
        <w:rPr>
          <w:rFonts w:ascii="Times New Roman" w:cs="Times New Roman" w:eastAsia="Times New Roman" w:hAnsi="Times New Roman"/>
          <w:sz w:val="16"/>
          <w:szCs w:val="16"/>
          <w:color w:val="auto"/>
        </w:rPr>
        <w:t>”), the Holders shall have the option to exchange, in reliance upon the exemptions from securities registration afforded by Section 3(a)(9) of the 1933 Act and subject to the satisfaction (or waiver) of the conditions set forth in Sections 6 and 7(b), as applicable, up to the maximum aggregate principal of Prior Notes as set forth opposite such Holder’s name in column (9) for Exchange Notes in the aggregate principal amount equal to such aggregate principal amount of Prior Notes being exchanged (the “</w:t>
      </w:r>
      <w:r>
        <w:rPr>
          <w:rFonts w:ascii="Times New Roman" w:cs="Times New Roman" w:eastAsia="Times New Roman" w:hAnsi="Times New Roman"/>
          <w:sz w:val="16"/>
          <w:szCs w:val="16"/>
          <w:b w:val="1"/>
          <w:bCs w:val="1"/>
          <w:color w:val="auto"/>
        </w:rPr>
        <w:t>Optional Exchange Notes</w:t>
      </w:r>
      <w:r>
        <w:rPr>
          <w:rFonts w:ascii="Times New Roman" w:cs="Times New Roman" w:eastAsia="Times New Roman" w:hAnsi="Times New Roman"/>
          <w:sz w:val="16"/>
          <w:szCs w:val="16"/>
          <w:color w:val="auto"/>
        </w:rPr>
        <w:t>”). If the Holders elect to exercise such option, the Holders shall deliver to the Company a written notice setting forth the principal amount of Prior Notes, up to the maximum aggregate principal of Prior Notes as set forth opposite such Holder’s name in column (9), that the Holders are electing to exchange, (a “</w:t>
      </w:r>
      <w:r>
        <w:rPr>
          <w:rFonts w:ascii="Times New Roman" w:cs="Times New Roman" w:eastAsia="Times New Roman" w:hAnsi="Times New Roman"/>
          <w:sz w:val="16"/>
          <w:szCs w:val="16"/>
          <w:b w:val="1"/>
          <w:bCs w:val="1"/>
          <w:color w:val="auto"/>
        </w:rPr>
        <w:t>Holder Optional Exchange Notes Notice</w:t>
      </w:r>
      <w:r>
        <w:rPr>
          <w:rFonts w:ascii="Times New Roman" w:cs="Times New Roman" w:eastAsia="Times New Roman" w:hAnsi="Times New Roman"/>
          <w:sz w:val="16"/>
          <w:szCs w:val="16"/>
          <w:color w:val="auto"/>
        </w:rPr>
        <w:t>”), for Optional Exchange Notes. No consent of the Company shall be required in order for the Holders to exercise their rights pursuant to this Section 1(d).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68" w:name="page69"/>
    <w:bookmarkEnd w:id="68"/>
    <w:p>
      <w:pPr>
        <w:jc w:val="both"/>
        <w:ind w:left="1" w:firstLine="592"/>
        <w:spacing w:after="0" w:line="269" w:lineRule="auto"/>
        <w:tabs>
          <w:tab w:leader="none" w:pos="81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Optional Closings</w:t>
      </w:r>
      <w:r>
        <w:rPr>
          <w:rFonts w:ascii="Times New Roman" w:cs="Times New Roman" w:eastAsia="Times New Roman" w:hAnsi="Times New Roman"/>
          <w:sz w:val="16"/>
          <w:szCs w:val="16"/>
          <w:color w:val="auto"/>
        </w:rPr>
        <w:t>. The closing (the “</w:t>
      </w:r>
      <w:r>
        <w:rPr>
          <w:rFonts w:ascii="Times New Roman" w:cs="Times New Roman" w:eastAsia="Times New Roman" w:hAnsi="Times New Roman"/>
          <w:sz w:val="16"/>
          <w:szCs w:val="16"/>
          <w:b w:val="1"/>
          <w:bCs w:val="1"/>
          <w:color w:val="auto"/>
        </w:rPr>
        <w:t>Optional Closing</w:t>
      </w:r>
      <w:r>
        <w:rPr>
          <w:rFonts w:ascii="Times New Roman" w:cs="Times New Roman" w:eastAsia="Times New Roman" w:hAnsi="Times New Roman"/>
          <w:sz w:val="16"/>
          <w:szCs w:val="16"/>
          <w:color w:val="auto"/>
        </w:rPr>
        <w:t>” and together with the Initial Closing, each a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of the exchange by the Holder of Prior Notes for Optional Exchange Notes pursuant to the Holder Optional Exchange Notes Notice shall occur by electronic transmission or other transmission as mutually acceptable at 10:00 a.m., New York time, on the first (1st) Business Day after delivery of the Holder Optional Exchange Note Notice on which the conditions to such Optional Closing set forth in Sections 6 and 7(b) are satisfied or waived (or such other date as is mutually agreed to by the Company and each Holder) (the “</w:t>
      </w:r>
      <w:r>
        <w:rPr>
          <w:rFonts w:ascii="Times New Roman" w:cs="Times New Roman" w:eastAsia="Times New Roman" w:hAnsi="Times New Roman"/>
          <w:sz w:val="16"/>
          <w:szCs w:val="16"/>
          <w:b w:val="1"/>
          <w:bCs w:val="1"/>
          <w:color w:val="auto"/>
        </w:rPr>
        <w:t>Optional 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and together with the Initial Closing Date, each a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jc w:val="both"/>
        <w:ind w:left="1" w:firstLine="592"/>
        <w:spacing w:after="0" w:line="265" w:lineRule="auto"/>
        <w:tabs>
          <w:tab w:leader="none" w:pos="799"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of Prior Notes.</w:t>
      </w:r>
      <w:r>
        <w:rPr>
          <w:rFonts w:ascii="Times New Roman" w:cs="Times New Roman" w:eastAsia="Times New Roman" w:hAnsi="Times New Roman"/>
          <w:sz w:val="16"/>
          <w:szCs w:val="16"/>
          <w:color w:val="auto"/>
        </w:rPr>
        <w:t xml:space="preserve"> On the Optional Closing Date, (i) each Holder shall be deemed to have tendered the aggregate principal amount of Prior Notes as set forth opposite such Holder’s name on the Holder Optional Exchange Note Notice for exchange, and (ii) the Company shall deliver to each Holder an Optional Exchange Note in the same aggregate principal amount of such amount of Prior Notes being exchanged, duly executed on behalf of the Company and registered on the books and records of the Company in the name of such Holder or its designee and any interest then accrued on the portion of the Prior Notes being redeemed on the Optional Closing Date. For the avoidance of doubt, no prepayment penalties, premiums or default payments shall be applicable or due and owing in connection with the exchange of the portion of the aggregate principal of the Prior Notes for the Optional Exchange Notes.</w:t>
      </w:r>
    </w:p>
    <w:p>
      <w:pPr>
        <w:spacing w:after="0" w:line="160"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HOLDERS’ REPRESENTATIONS AND WARRANTIES.</w:t>
      </w:r>
    </w:p>
    <w:p>
      <w:pPr>
        <w:spacing w:after="0" w:line="215" w:lineRule="exact"/>
        <w:rPr>
          <w:sz w:val="20"/>
          <w:szCs w:val="20"/>
          <w:color w:val="auto"/>
        </w:rPr>
      </w:pPr>
    </w:p>
    <w:p>
      <w:pPr>
        <w:ind w:left="1" w:firstLine="593"/>
        <w:spacing w:after="0" w:line="297" w:lineRule="auto"/>
        <w:rPr>
          <w:sz w:val="20"/>
          <w:szCs w:val="20"/>
          <w:color w:val="auto"/>
        </w:rPr>
      </w:pPr>
      <w:r>
        <w:rPr>
          <w:rFonts w:ascii="Times New Roman" w:cs="Times New Roman" w:eastAsia="Times New Roman" w:hAnsi="Times New Roman"/>
          <w:sz w:val="16"/>
          <w:szCs w:val="16"/>
          <w:color w:val="auto"/>
        </w:rPr>
        <w:t>Each Holder, severally and not jointly, represents and warrants to the Company with respect to only itself that, as of the date hereof and as of the Initial Closing Date and the Optional Closing Date:</w:t>
      </w:r>
    </w:p>
    <w:p>
      <w:pPr>
        <w:spacing w:after="0" w:line="137" w:lineRule="exact"/>
        <w:rPr>
          <w:sz w:val="20"/>
          <w:szCs w:val="20"/>
          <w:color w:val="auto"/>
        </w:rPr>
      </w:pPr>
    </w:p>
    <w:p>
      <w:pPr>
        <w:jc w:val="both"/>
        <w:ind w:left="1" w:firstLine="592"/>
        <w:spacing w:after="0" w:line="277" w:lineRule="auto"/>
        <w:tabs>
          <w:tab w:leader="none" w:pos="81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Authority</w:t>
      </w:r>
      <w:r>
        <w:rPr>
          <w:rFonts w:ascii="Times New Roman" w:cs="Times New Roman" w:eastAsia="Times New Roman" w:hAnsi="Times New Roman"/>
          <w:sz w:val="16"/>
          <w:szCs w:val="16"/>
          <w:color w:val="auto"/>
        </w:rPr>
        <w:t>. Such Holder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53" w:lineRule="exact"/>
        <w:rPr>
          <w:rFonts w:ascii="Times New Roman" w:cs="Times New Roman" w:eastAsia="Times New Roman" w:hAnsi="Times New Roman"/>
          <w:sz w:val="16"/>
          <w:szCs w:val="16"/>
          <w:color w:val="auto"/>
        </w:rPr>
      </w:pPr>
    </w:p>
    <w:p>
      <w:pPr>
        <w:jc w:val="both"/>
        <w:ind w:left="1" w:firstLine="592"/>
        <w:spacing w:after="0" w:line="262" w:lineRule="auto"/>
        <w:tabs>
          <w:tab w:leader="none" w:pos="82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Public Sale or Distribution.</w:t>
      </w:r>
      <w:r>
        <w:rPr>
          <w:rFonts w:ascii="Times New Roman" w:cs="Times New Roman" w:eastAsia="Times New Roman" w:hAnsi="Times New Roman"/>
          <w:sz w:val="16"/>
          <w:szCs w:val="16"/>
          <w:color w:val="auto"/>
        </w:rPr>
        <w:t xml:space="preserve"> Such Holder (i) is exchanging its Prior Notes for the Exchange Notes, and (ii) upon conversion of, or otherwise in accordance with, its Exchange Notes, will acquire the Exchange Note Shares issuable upon conversion thereof, or otherwise in accordance therewith,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Holder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Holder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limited liability company, a partnership, a joint venture, a corporation, a trust, an unincorporated organization, any other entity and any Governmental Entity (as defined below) or any department or agency thereof.</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69" w:name="page70"/>
    <w:bookmarkEnd w:id="69"/>
    <w:p>
      <w:pPr>
        <w:jc w:val="both"/>
        <w:ind w:firstLine="592"/>
        <w:spacing w:after="0" w:line="266" w:lineRule="auto"/>
        <w:tabs>
          <w:tab w:leader="none" w:pos="81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Good Title; No Liens.</w:t>
      </w:r>
      <w:r>
        <w:rPr>
          <w:rFonts w:ascii="Times New Roman" w:cs="Times New Roman" w:eastAsia="Times New Roman" w:hAnsi="Times New Roman"/>
          <w:sz w:val="16"/>
          <w:szCs w:val="16"/>
          <w:color w:val="auto"/>
        </w:rPr>
        <w:t xml:space="preserve"> Each Holder has good and valid title to its Prior Notes, and owns and holds the entire legal and beneficial right, title, and interest in and to such Prior Notes (including, without limitation, accrued and unpaid interest thereon, as applicable), free and clear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6"/>
          <w:szCs w:val="16"/>
          <w:b w:val="1"/>
          <w:bCs w:val="1"/>
          <w:color w:val="auto"/>
        </w:rPr>
        <w:t>Liens</w:t>
      </w:r>
      <w:r>
        <w:rPr>
          <w:rFonts w:ascii="Times New Roman" w:cs="Times New Roman" w:eastAsia="Times New Roman" w:hAnsi="Times New Roman"/>
          <w:sz w:val="16"/>
          <w:szCs w:val="16"/>
          <w:color w:val="auto"/>
        </w:rPr>
        <w:t>”) and such Prior Notes are not subject to any contract, agreement, arrangement, commitment or understanding restricting or otherwise relating to the disposition of such Prior Notes; good and valid title to such Prior Notes (including, without limitation, accrued and unpaid interest thereon) will pass to the Company upon consummation of the transactions contemplated hereby.</w:t>
      </w:r>
    </w:p>
    <w:p>
      <w:pPr>
        <w:spacing w:after="0" w:line="363"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Accredited Investor Status</w:t>
      </w:r>
      <w:r>
        <w:rPr>
          <w:rFonts w:ascii="Times New Roman" w:cs="Times New Roman" w:eastAsia="Times New Roman" w:hAnsi="Times New Roman"/>
          <w:sz w:val="16"/>
          <w:szCs w:val="16"/>
          <w:color w:val="auto"/>
        </w:rPr>
        <w:t>. The Holder qualifies as an “accredited investor” as that term is defined in Rule 501(a) of Regulation D.</w:t>
      </w:r>
    </w:p>
    <w:p>
      <w:pPr>
        <w:spacing w:after="0" w:line="211" w:lineRule="exact"/>
        <w:rPr>
          <w:rFonts w:ascii="Times New Roman" w:cs="Times New Roman" w:eastAsia="Times New Roman" w:hAnsi="Times New Roman"/>
          <w:sz w:val="16"/>
          <w:szCs w:val="16"/>
          <w:color w:val="auto"/>
        </w:rPr>
      </w:pPr>
    </w:p>
    <w:p>
      <w:pPr>
        <w:jc w:val="both"/>
        <w:ind w:firstLine="592"/>
        <w:spacing w:after="0" w:line="271" w:lineRule="auto"/>
        <w:tabs>
          <w:tab w:leader="none" w:pos="81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Reliance on Exemptions</w:t>
      </w:r>
      <w:r>
        <w:rPr>
          <w:rFonts w:ascii="Times New Roman" w:cs="Times New Roman" w:eastAsia="Times New Roman" w:hAnsi="Times New Roman"/>
          <w:sz w:val="16"/>
          <w:szCs w:val="16"/>
          <w:color w:val="auto"/>
        </w:rPr>
        <w:t>. Such Holder understands that a portion of the aggregate principal of the Prior Notes is being exchanged for the Exchange Notes in reliance on specific exemptions from the registration requirements of United States federal and state securities laws and that the Company is relying in part upon the truth and accuracy of, and such Holder’s compliance with, the representations, warranties, agreements, acknowledgments and understandings of such Holder set forth herein in order to determine the availability of such exemptions and the eligibility of such Holder to acquire the Securities.</w:t>
      </w:r>
    </w:p>
    <w:p>
      <w:pPr>
        <w:spacing w:after="0" w:line="156" w:lineRule="exact"/>
        <w:rPr>
          <w:rFonts w:ascii="Times New Roman" w:cs="Times New Roman" w:eastAsia="Times New Roman" w:hAnsi="Times New Roman"/>
          <w:sz w:val="16"/>
          <w:szCs w:val="16"/>
          <w:color w:val="auto"/>
        </w:rPr>
      </w:pPr>
    </w:p>
    <w:p>
      <w:pPr>
        <w:jc w:val="both"/>
        <w:ind w:firstLine="592"/>
        <w:spacing w:after="0" w:line="260" w:lineRule="auto"/>
        <w:tabs>
          <w:tab w:leader="none" w:pos="79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 Such Holder and its advisors, if any, have been furnished with all materials relating to the business, finances and operations of the Company and materials relating to the exchange of a portion of the aggregate principal of the Prior Notes for the Exchange Notes that have been requested by such Holder. Such Holder and its advisors, if any, have had (i) the opportunity to review the Transaction Documents and the SEC Documents (as defined below) and has been afforded the opportunity to ask such questions of the Company as it has deemed necessary of, and to receive answers from, representatives of the Company concerning the terms and conditions of the exchange of a portion of the aggregate principal of the Prior Notes for the Exchange Notes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due diligence investigations conducted by such Holder or its advisors, if any, or its representatives shall modify, amend or affect such Holder’s right to rely on the Company’s representations and warranties contained herein. Such Holder understands that its investment in the Securities involves a high degree of risk. Such Holder acknowledges that it can bear the economic risk and complete loss of its investment in the Securities and has such knowledge and experience in financial or business matters that it is capable of evaluating the merits and risks of the investment contemplated hereby. Such Holder did not learn of the investment in the Securities as a result of any general solicitation or general advertising. Such Holder has sought such accounting, legal and tax advice as it has considered necessary to make an informed investment decision with respect to its acquisition of the Securities. Such Holder is not relying upon, and has not relied upon, any statement, representation or warranty made by any person, except for statements, representations and warranties contained in this Agreement, in making its decision to invest in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0" w:name="page71"/>
    <w:bookmarkEnd w:id="70"/>
    <w:p>
      <w:pPr>
        <w:jc w:val="both"/>
        <w:ind w:firstLine="592"/>
        <w:spacing w:after="0" w:line="277" w:lineRule="auto"/>
        <w:tabs>
          <w:tab w:leader="none" w:pos="83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Governmental Review</w:t>
      </w:r>
      <w:r>
        <w:rPr>
          <w:rFonts w:ascii="Times New Roman" w:cs="Times New Roman" w:eastAsia="Times New Roman" w:hAnsi="Times New Roman"/>
          <w:sz w:val="16"/>
          <w:szCs w:val="16"/>
          <w:color w:val="auto"/>
        </w:rPr>
        <w:t>. Such Holder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exchange of a portion of the aggregate principal of the Prior Notes for the Exchange Notes.</w:t>
      </w:r>
    </w:p>
    <w:p>
      <w:pPr>
        <w:spacing w:after="0" w:line="153" w:lineRule="exact"/>
        <w:rPr>
          <w:rFonts w:ascii="Times New Roman" w:cs="Times New Roman" w:eastAsia="Times New Roman" w:hAnsi="Times New Roman"/>
          <w:sz w:val="16"/>
          <w:szCs w:val="16"/>
          <w:color w:val="auto"/>
        </w:rPr>
      </w:pPr>
    </w:p>
    <w:p>
      <w:pPr>
        <w:jc w:val="both"/>
        <w:ind w:firstLine="592"/>
        <w:spacing w:after="0" w:line="260" w:lineRule="auto"/>
        <w:tabs>
          <w:tab w:leader="none" w:pos="826"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or Resale</w:t>
      </w:r>
      <w:r>
        <w:rPr>
          <w:rFonts w:ascii="Times New Roman" w:cs="Times New Roman" w:eastAsia="Times New Roman" w:hAnsi="Times New Roman"/>
          <w:sz w:val="16"/>
          <w:szCs w:val="16"/>
          <w:color w:val="auto"/>
        </w:rPr>
        <w:t>. Such Holder understands that: (i) the Securities have not been registered under the 1933 Act or any state securities laws, and may not be offered for sale, sold, assigned or transferred by any Holder or any other holder of such Securities unless (A) subsequently registered thereunder, (B) such Holder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Holder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provided, that, at the request of any Holder, the Company shall, if the Company is then in compliance with Section 4(c) hereof, deliver to such Holder or the Company’s transfer agent, as applicable, an opinion of counsel to the Company, at the Company’s expense and in a form reasonably acceptable to such Holder, that (A) adequate public information with respect to the Company is then available (within the meaning of Rule 144(c)) and (B) that a sale of the Securities may otherwise be made in accordance with the terms of Rule 144.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(as defined in Section 3(b)), including, without limitation, this Section 2(h).</w:t>
      </w:r>
    </w:p>
    <w:p>
      <w:pPr>
        <w:spacing w:after="0" w:line="171" w:lineRule="exact"/>
        <w:rPr>
          <w:rFonts w:ascii="Times New Roman" w:cs="Times New Roman" w:eastAsia="Times New Roman" w:hAnsi="Times New Roman"/>
          <w:sz w:val="16"/>
          <w:szCs w:val="16"/>
          <w:color w:val="auto"/>
        </w:rPr>
      </w:pPr>
    </w:p>
    <w:p>
      <w:pPr>
        <w:jc w:val="both"/>
        <w:ind w:firstLine="592"/>
        <w:spacing w:after="0" w:line="271" w:lineRule="auto"/>
        <w:tabs>
          <w:tab w:leader="none" w:pos="78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Validity; Enforcement</w:t>
      </w:r>
      <w:r>
        <w:rPr>
          <w:rFonts w:ascii="Times New Roman" w:cs="Times New Roman" w:eastAsia="Times New Roman" w:hAnsi="Times New Roman"/>
          <w:sz w:val="16"/>
          <w:szCs w:val="16"/>
          <w:color w:val="auto"/>
        </w:rPr>
        <w:t>. This Agreement and the Amendments to Security Documents have been duly and validly authorized, executed and delivered on behalf of such Holder and shall constitute the legal, valid and binding obligations of such Holder enforceable against such Holder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1" w:name="page72"/>
    <w:bookmarkEnd w:id="71"/>
    <w:p>
      <w:pPr>
        <w:jc w:val="both"/>
        <w:ind w:left="1" w:firstLine="592"/>
        <w:spacing w:after="0" w:line="265" w:lineRule="auto"/>
        <w:tabs>
          <w:tab w:leader="none" w:pos="79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delivery and performance by such Holder of this Agreement and the Amendments to Security Documents and the consummation by such Holder of the transactions contemplated hereby and thereby will not (i) result in a violation of the organizational documents of such Holder, or (ii) conflict with, or constitute a default (or an event which with notice or lapse of time or both would become a default) under, or give to others any rights of termination, amendment, acceleration or cancellation of, any agreement, indenture or instrument to which such Holder is a party, or (iii) result in a violation of any law, rule, regulation, order, judgment or decree (including federal and state securities laws) applicable to such Holder, except in the case of clauses (ii) and (iii) above, for such conflicts, defaults, rights or violations which could not, individually or in the aggregate, reasonably be expected to have a material adverse effect on the ability of such Holder to perform its obligations hereunder.</w:t>
      </w:r>
    </w:p>
    <w:p>
      <w:pPr>
        <w:spacing w:after="0" w:line="361" w:lineRule="exact"/>
        <w:rPr>
          <w:rFonts w:ascii="Times New Roman" w:cs="Times New Roman" w:eastAsia="Times New Roman" w:hAnsi="Times New Roman"/>
          <w:sz w:val="16"/>
          <w:szCs w:val="16"/>
          <w:color w:val="auto"/>
        </w:rPr>
      </w:pPr>
    </w:p>
    <w:p>
      <w:pPr>
        <w:ind w:left="1" w:firstLine="592"/>
        <w:spacing w:after="0" w:line="297" w:lineRule="auto"/>
        <w:tabs>
          <w:tab w:leader="none" w:pos="838"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acknowledges and agrees that neither the Company nor any Subsidiary of the Company makes or has made any representations or warranties with respect to the Company or its Subsidiaries, or transactions contemplated hereby, other than those specifically set forth in Section 3.</w:t>
      </w:r>
    </w:p>
    <w:p>
      <w:pPr>
        <w:spacing w:after="0" w:line="133"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Company represents and warrants to each of the Holders that, as of the date hereof and as of the Initial Closing Date and the Optional Closing Date:</w:t>
      </w:r>
    </w:p>
    <w:p>
      <w:pPr>
        <w:spacing w:after="0" w:line="211" w:lineRule="exact"/>
        <w:rPr>
          <w:sz w:val="20"/>
          <w:szCs w:val="20"/>
          <w:color w:val="auto"/>
        </w:rPr>
      </w:pPr>
    </w:p>
    <w:p>
      <w:pPr>
        <w:jc w:val="both"/>
        <w:ind w:left="1" w:firstLine="592"/>
        <w:spacing w:after="0" w:line="261" w:lineRule="auto"/>
        <w:tabs>
          <w:tab w:leader="none" w:pos="81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 xml:space="preserve">” means any material adverse effect on (i) the business, properties, assets, liabilities, operations (including results thereof) or condition (financial or otherwise) of the Company or its Subsidiaries, taken as a whole, (ii) the transactions contemplated hereby or in any of the other Transaction Documents or any other agreements or instruments entered into in connection herewith or therewith or (iii) the authority or ability of the Company or any of its Subsidiaries to perform any of their respective obligations under any of the Transaction Documents. Other than the Persons (as defined below) set forth on </w:t>
      </w:r>
      <w:r>
        <w:rPr>
          <w:rFonts w:ascii="Times New Roman" w:cs="Times New Roman" w:eastAsia="Times New Roman" w:hAnsi="Times New Roman"/>
          <w:sz w:val="16"/>
          <w:szCs w:val="16"/>
          <w:u w:val="single" w:color="auto"/>
          <w:color w:val="auto"/>
        </w:rPr>
        <w:t>Schedule 3(a)</w:t>
      </w:r>
      <w:r>
        <w:rPr>
          <w:rFonts w:ascii="Times New Roman" w:cs="Times New Roman" w:eastAsia="Times New Roman" w:hAnsi="Times New Roman"/>
          <w:sz w:val="16"/>
          <w:szCs w:val="16"/>
          <w:color w:val="auto"/>
        </w:rPr>
        <w:t>, the Company has no significant Subsidiaries within the meaning of Rule 1-02(w) of Regulation S-X. “</w:t>
      </w:r>
      <w:r>
        <w:rPr>
          <w:rFonts w:ascii="Times New Roman" w:cs="Times New Roman" w:eastAsia="Times New Roman" w:hAnsi="Times New Roman"/>
          <w:sz w:val="16"/>
          <w:szCs w:val="16"/>
          <w:b w:val="1"/>
          <w:bCs w:val="1"/>
          <w:color w:val="auto"/>
        </w:rPr>
        <w:t>Subsidiaries</w:t>
      </w:r>
      <w:r>
        <w:rPr>
          <w:rFonts w:ascii="Times New Roman" w:cs="Times New Roman" w:eastAsia="Times New Roman" w:hAnsi="Times New Roman"/>
          <w:sz w:val="16"/>
          <w:szCs w:val="16"/>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72" w:name="page73"/>
    <w:bookmarkEnd w:id="72"/>
    <w:p>
      <w:pPr>
        <w:jc w:val="both"/>
        <w:ind w:firstLine="592"/>
        <w:spacing w:after="0" w:line="260" w:lineRule="auto"/>
        <w:tabs>
          <w:tab w:leader="none" w:pos="82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Enforcement; Validity</w:t>
      </w:r>
      <w:r>
        <w:rPr>
          <w:rFonts w:ascii="Times New Roman" w:cs="Times New Roman" w:eastAsia="Times New Roman" w:hAnsi="Times New Roman"/>
          <w:sz w:val="16"/>
          <w:szCs w:val="16"/>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the consummation by the Company and its Subsidiaries of the transactions contemplated hereby and thereby (including, without limitation, the issuance of the Exchange Notes and the reservation for issuance and issuance of the Exchange Note Shares issuable pursuant to the Exchange Notes), have been duly authorized by the Company’s board of directors (the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and (other than (i) any filings as may be required by any state securities agencies and (ii) a Listing of Additional Shares Notification with the Principal Market (as defined below) (collectively, the “</w:t>
      </w:r>
      <w:r>
        <w:rPr>
          <w:rFonts w:ascii="Times New Roman" w:cs="Times New Roman" w:eastAsia="Times New Roman" w:hAnsi="Times New Roman"/>
          <w:sz w:val="16"/>
          <w:szCs w:val="16"/>
          <w:b w:val="1"/>
          <w:bCs w:val="1"/>
          <w:color w:val="auto"/>
        </w:rPr>
        <w:t>Required Filings</w:t>
      </w:r>
      <w:r>
        <w:rPr>
          <w:rFonts w:ascii="Times New Roman" w:cs="Times New Roman" w:eastAsia="Times New Roman" w:hAnsi="Times New Roman"/>
          <w:sz w:val="16"/>
          <w:szCs w:val="16"/>
          <w:color w:val="auto"/>
        </w:rPr>
        <w:t>”)) no further filing, consent or authorization is required by the Company, its Subsidiaries, their respective boards of directors or their stockholders or other governing body in connection therewith. This Agreement has been, and the other Transaction Documents to which it is a party will be prior to the Initial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means, collectively, this Agreement, the Exchange Notes, the Amendments to Security Documents, the Amendment to Prior Notes, the Irrevocable Transfer Agent Instructions (as defined below) and each of the other written agreements and instruments entered into or delivered by any of the parties hereto in connection with the transactions contemplated hereby and thereby, as may be amended from time to time.</w:t>
      </w:r>
    </w:p>
    <w:p>
      <w:pPr>
        <w:spacing w:after="0" w:line="171" w:lineRule="exact"/>
        <w:rPr>
          <w:rFonts w:ascii="Times New Roman" w:cs="Times New Roman" w:eastAsia="Times New Roman" w:hAnsi="Times New Roman"/>
          <w:sz w:val="16"/>
          <w:szCs w:val="16"/>
          <w:color w:val="auto"/>
        </w:rPr>
      </w:pPr>
    </w:p>
    <w:p>
      <w:pPr>
        <w:jc w:val="both"/>
        <w:ind w:firstLine="592"/>
        <w:spacing w:after="0" w:line="260" w:lineRule="auto"/>
        <w:tabs>
          <w:tab w:leader="none" w:pos="8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Securities</w:t>
      </w:r>
      <w:r>
        <w:rPr>
          <w:rFonts w:ascii="Times New Roman" w:cs="Times New Roman" w:eastAsia="Times New Roman" w:hAnsi="Times New Roman"/>
          <w:sz w:val="16"/>
          <w:szCs w:val="16"/>
          <w:color w:val="auto"/>
        </w:rPr>
        <w:t>. The issuance of the Securities is duly authorized and when issued and delivered in accordance with the terms of the Transaction Documents, the Securities shall be validly issued, fully paid and non-assessable and free from all Liens with respect to the issuance thereof. As of each Closing Date, the Company shall have not less than a number of shares of authorized but unissued Common Stock equal to the sum of (w) 100% of the maximum number of shares of Common Stock as shall be necessary to satisfy the Company’s obligation to issue shares of Common Stock under the warrants then outstanding issued under the Prior SEA and/or the Prior SPA, reserved for the purpose of issuance pursuant to such warrants, plus (x) a fraction, the numerator of which shall be the then outstanding Principal Amount (as defined in the Exchange Notes) of the Initial Exchange Notes plus an amount equal to all interest accrued on such outstanding Principal Amount and the denominator of which shall be the Conversion Price (as defined in the Initial Exchange Notes), plus (y) a fraction, the numerator of which shall be the then outstanding Principal Amount of the Optional Exchange Notes, if any, plus an amount equal to all interest accrued on such outstanding Principal Amount and the denominator of which shall be the Conversion Price (as defined in the Optional Exchange Notes) plus (z) an additional twenty million (20,000,000) unreserved and available shares of Common Stock. Upon issuance in accordance with the Exchange Notes, the Exchange Note Shares will be validly issued, fully paid and nonassessable and free from all preemptive or similar rights or Liens with respect to the issuance thereof, with the holders being entitled to all rights accorded to a holder of Common Stock. Subject to the accuracy of the representations and warranties of the Holders in this Agreement, the offer and issuance by the Company of the Securities is exempt from registration under the 1933 Act. The Company acknowledges that the holding period for purposes of Rule 144(d)(1) with respect to the Exchange Notes and the shares underlying the Exchange Notes commenced on March 23, 2022 and, therefore, such holding period expired September 23, 2022. The Company further acknowledges and agrees that it will neither assert nor maintain a contrary position with respect to the date of commencement of the holding period under Rule 144 with respect to the Exchange Notes and the shares underlying the Exchange Notes.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3" w:name="page74"/>
    <w:bookmarkEnd w:id="73"/>
    <w:p>
      <w:pPr>
        <w:jc w:val="both"/>
        <w:ind w:firstLine="592"/>
        <w:spacing w:after="0" w:line="261" w:lineRule="auto"/>
        <w:tabs>
          <w:tab w:leader="none" w:pos="85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xml:space="preserve">. The execution, delivery and performance of the Transaction Documents by the Company and the consummation by the Company of the transactions contemplated hereby and thereby (including, without limitation, the issuance of the Exchange Notes and the Exchange Note Shares and the reservation for issuance of the Exchange Note Shares) will not (i) result in a violation of the Articles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assuming the accuracy of the representations and warranties in Section 2, result in a violation of any law, rule, regulation, order, judgment or decree (including, without limitation, foreign, federal and state securities laws and regulations and the rules and regulations of the Nasdaq Capital Market (the </w:t>
      </w:r>
      <w:r>
        <w:rPr>
          <w:rFonts w:ascii="Times New Roman" w:cs="Times New Roman" w:eastAsia="Times New Roman" w:hAnsi="Times New Roman"/>
          <w:sz w:val="16"/>
          <w:szCs w:val="16"/>
          <w:b w:val="1"/>
          <w:bCs w:val="1"/>
          <w:color w:val="auto"/>
        </w:rPr>
        <w:t>“Principal Market</w:t>
      </w:r>
      <w:r>
        <w:rPr>
          <w:rFonts w:ascii="Times New Roman" w:cs="Times New Roman" w:eastAsia="Times New Roman" w:hAnsi="Times New Roman"/>
          <w:sz w:val="16"/>
          <w:szCs w:val="16"/>
          <w:color w:val="auto"/>
        </w:rPr>
        <w:t>”) and including all applicable foreign, federal and state laws, rules and regulations) applicable to the Company or any of its Subsidiaries or by which any property or asset of the Company or any of its Subsidiaries is bound or affected, assuming, with respect to clauses (ii) and (iii) above, the making of the Required Filings and except in the case of clauses (ii) and (iii) above, for such breaches, violations or conflicts as would not reasonably be expected, individually or in the aggregate, to have a Material Adverse Effect.</w:t>
      </w:r>
    </w:p>
    <w:p>
      <w:pPr>
        <w:spacing w:after="0" w:line="167" w:lineRule="exact"/>
        <w:rPr>
          <w:rFonts w:ascii="Times New Roman" w:cs="Times New Roman" w:eastAsia="Times New Roman" w:hAnsi="Times New Roman"/>
          <w:sz w:val="16"/>
          <w:szCs w:val="16"/>
          <w:color w:val="auto"/>
        </w:rPr>
      </w:pPr>
    </w:p>
    <w:p>
      <w:pPr>
        <w:jc w:val="both"/>
        <w:ind w:firstLine="592"/>
        <w:spacing w:after="0" w:line="260" w:lineRule="auto"/>
        <w:tabs>
          <w:tab w:leader="none" w:pos="81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Neither the Company nor any Subsidiary is required to obtain any consent from, authorization or order of, or make any filing or registration with (other than the Required Filings, filings necessary to perfect the Liens granted under the Security Documents, as amended by the Amendments to Security Documents and such consents, authorizations, filings or registrations the absence of which would not, individually or in the aggregate, reasonably be expected to have a Material Adverse Effect), any Governmental Entity or any regulatory or self-regulatory agency or any other Person in order for it to execute, deliver or perform any of its respective obligations under or contemplated by the Transaction Documents, in each case, in accordance with the terms hereof or thereof. To the Company’s knowledge, other than the Required Filings, all consents, authorizations, orders, filings and registrations which the Company or any Subsidiary is required to obtain pursuant to the preceding sentence have been or will be obtained or effected on or prior to the Initial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Except as set forth on Schedule 3(e), the Company is not in violation of the requirements of the Principal Market and has no knowledge of any facts or circumstances which could reasonably lead to delisting or suspension of the Common Stock. “</w:t>
      </w:r>
      <w:r>
        <w:rPr>
          <w:rFonts w:ascii="Times New Roman" w:cs="Times New Roman" w:eastAsia="Times New Roman" w:hAnsi="Times New Roman"/>
          <w:sz w:val="16"/>
          <w:szCs w:val="16"/>
          <w:b w:val="1"/>
          <w:bCs w:val="1"/>
          <w:color w:val="auto"/>
        </w:rPr>
        <w:t>Governmental Entity</w:t>
      </w:r>
      <w:r>
        <w:rPr>
          <w:rFonts w:ascii="Times New Roman" w:cs="Times New Roman" w:eastAsia="Times New Roman" w:hAnsi="Times New Roman"/>
          <w:sz w:val="16"/>
          <w:szCs w:val="16"/>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4" w:name="page75"/>
    <w:bookmarkEnd w:id="74"/>
    <w:p>
      <w:pPr>
        <w:jc w:val="both"/>
        <w:ind w:firstLine="592"/>
        <w:spacing w:after="0" w:line="262" w:lineRule="auto"/>
        <w:tabs>
          <w:tab w:leader="none" w:pos="79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 Regarding Each Holder’s Acquisition of Securities</w:t>
      </w:r>
      <w:r>
        <w:rPr>
          <w:rFonts w:ascii="Times New Roman" w:cs="Times New Roman" w:eastAsia="Times New Roman" w:hAnsi="Times New Roman"/>
          <w:sz w:val="16"/>
          <w:szCs w:val="16"/>
          <w:color w:val="auto"/>
        </w:rPr>
        <w:t>. The Company acknowledges and agrees that each Holder is acting solely in the capacity of an arm’s length acquirer with respect to the Transaction Documents and the transactions contemplated hereby and thereby and that no Holder is (i) an officer or director of the Company or any of its Subsidiaries, (ii) an “affiliate” (as defined in Rule 144) of the Company or any of its Subsidiaries or (iii) to its knowledge, a “beneficial owner” of more than 4.99% of the shares of Common Stock (as defined for purposes of Rule 13d-3 of the Securities Exchange Act of 1934, as amended (the “</w:t>
      </w:r>
      <w:r>
        <w:rPr>
          <w:rFonts w:ascii="Times New Roman" w:cs="Times New Roman" w:eastAsia="Times New Roman" w:hAnsi="Times New Roman"/>
          <w:sz w:val="16"/>
          <w:szCs w:val="16"/>
          <w:b w:val="1"/>
          <w:bCs w:val="1"/>
          <w:color w:val="auto"/>
        </w:rPr>
        <w:t>1934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The Company further acknowledges that no Holder is acting as a financial advisor or fiduciary of the Company or any of its Subsidiaries (or in any similar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capacity) with respect to the Transaction Documents and the transactions contemplated hereby and thereby, and any advice given by a Holder or any of its representatives or agents in connection with the Transaction Documents and the transactions contemplated hereby and thereby is merely incidental to such Holder’s acquisition of the Securities. The Company further represents to each Holder that the Company’s and each Subsidiary’s decision to enter into the Transaction Documents to which it is a party has been based solely on the independent evaluation by the Company, each Subsidiary and their respective representatives.</w:t>
      </w:r>
    </w:p>
    <w:p>
      <w:pPr>
        <w:spacing w:after="0" w:line="168" w:lineRule="exact"/>
        <w:rPr>
          <w:rFonts w:ascii="Times New Roman" w:cs="Times New Roman" w:eastAsia="Times New Roman" w:hAnsi="Times New Roman"/>
          <w:sz w:val="16"/>
          <w:szCs w:val="16"/>
          <w:color w:val="auto"/>
        </w:rPr>
      </w:pPr>
    </w:p>
    <w:p>
      <w:pPr>
        <w:jc w:val="both"/>
        <w:ind w:firstLine="592"/>
        <w:spacing w:after="0" w:line="263" w:lineRule="auto"/>
        <w:tabs>
          <w:tab w:leader="none" w:pos="82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General Solicitation; No Placement Agent</w:t>
      </w:r>
      <w:r>
        <w:rPr>
          <w:rFonts w:ascii="Times New Roman" w:cs="Times New Roman" w:eastAsia="Times New Roman" w:hAnsi="Times New Roman"/>
          <w:sz w:val="16"/>
          <w:szCs w:val="16"/>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Neither the Company nor any of its Subsidiaries has engaged any placement agent in connection with the exchange of a portion of the aggregate principal of the Prior Notes for the Exchange Notes. Neither the Company nor any of its Subsidiaries has paid or given, directly or indirectly any commission or other remuneration for soliciting the exchange of a portion of the aggregate principal of the Prior Notes for the Exchange Notes. The Company shall pay, and hold each Holder harmless against, any liability, loss or expense (including, without limitation, attorney’s fees and reasonable and documented out-of-pocket expenses) arising in connection with any claim for the payment of any placement agent’s fees, financial advisory fees, or brokers’ commissions (other than for Persons engaged by any Holder) relating to or arising out of the transactions contemplated hereby.</w:t>
      </w:r>
    </w:p>
    <w:p>
      <w:pPr>
        <w:spacing w:after="0" w:line="165" w:lineRule="exact"/>
        <w:rPr>
          <w:rFonts w:ascii="Times New Roman" w:cs="Times New Roman" w:eastAsia="Times New Roman" w:hAnsi="Times New Roman"/>
          <w:sz w:val="16"/>
          <w:szCs w:val="16"/>
          <w:color w:val="auto"/>
        </w:rPr>
      </w:pPr>
    </w:p>
    <w:p>
      <w:pPr>
        <w:jc w:val="both"/>
        <w:ind w:firstLine="592"/>
        <w:spacing w:after="0" w:line="263" w:lineRule="auto"/>
        <w:tabs>
          <w:tab w:leader="none" w:pos="82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Integrated Offering</w:t>
      </w:r>
      <w:r>
        <w:rPr>
          <w:rFonts w:ascii="Times New Roman" w:cs="Times New Roman" w:eastAsia="Times New Roman" w:hAnsi="Times New Roman"/>
          <w:sz w:val="16"/>
          <w:szCs w:val="16"/>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in connection with the offering of the Securities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has taken or will take any action or steps that would require registration of the issuance of any of the Securities under the 1933 Act or cause the offering of any of the Securities to be integrated with other offerings of securities of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5" w:name="page76"/>
    <w:bookmarkEnd w:id="75"/>
    <w:p>
      <w:pPr>
        <w:jc w:val="both"/>
        <w:ind w:firstLine="592"/>
        <w:spacing w:after="0" w:line="277" w:lineRule="auto"/>
        <w:tabs>
          <w:tab w:leader="none" w:pos="78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Dilutive Effect</w:t>
      </w:r>
      <w:r>
        <w:rPr>
          <w:rFonts w:ascii="Times New Roman" w:cs="Times New Roman" w:eastAsia="Times New Roman" w:hAnsi="Times New Roman"/>
          <w:sz w:val="16"/>
          <w:szCs w:val="16"/>
          <w:color w:val="auto"/>
        </w:rPr>
        <w:t>. The Company understands and acknowledges that the number of Exchange Note Shares will increase in certain circumstances. The Company further acknowledges that its obligation to issue the Exchange Note Shares pursuant to the terms of the Exchange Notes in accordance with this Agreement is absolute and unconditional regardless of the dilutive effect that such issuance may have on the ownership interests of other stockholders of the Company.</w:t>
      </w:r>
    </w:p>
    <w:p>
      <w:pPr>
        <w:spacing w:after="0" w:line="153" w:lineRule="exact"/>
        <w:rPr>
          <w:rFonts w:ascii="Times New Roman" w:cs="Times New Roman" w:eastAsia="Times New Roman" w:hAnsi="Times New Roman"/>
          <w:sz w:val="16"/>
          <w:szCs w:val="16"/>
          <w:color w:val="auto"/>
        </w:rPr>
      </w:pPr>
    </w:p>
    <w:p>
      <w:pPr>
        <w:jc w:val="both"/>
        <w:ind w:firstLine="592"/>
        <w:spacing w:after="0" w:line="267" w:lineRule="auto"/>
        <w:tabs>
          <w:tab w:leader="none" w:pos="78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Takeover Protections</w:t>
      </w:r>
      <w:r>
        <w:rPr>
          <w:rFonts w:ascii="Times New Roman" w:cs="Times New Roman" w:eastAsia="Times New Roman" w:hAnsi="Times New Roman"/>
          <w:sz w:val="16"/>
          <w:szCs w:val="16"/>
          <w:color w:val="auto"/>
        </w:rPr>
        <w:t>. The Company and its Board of Directors have taken or will take prior to the Initial Closing Date all necessary action, if any, in order to render inapplicable any control share acquisition, interested stockholder, business combination, poison pill, stockholder rights plan or other similar anti-takeover provision under the Articles of Incorporation, Bylaws or other organizational documents or the laws of the jurisdiction of its incorporation which is or could become applicable to any Holder as a result of the transactions contemplated by this Agreement, including, without limitation, the Company’s issuance of the Securities and any Holder’s ownership of the Securities.</w:t>
      </w:r>
    </w:p>
    <w:p>
      <w:pPr>
        <w:spacing w:after="0" w:line="162" w:lineRule="exact"/>
        <w:rPr>
          <w:rFonts w:ascii="Times New Roman" w:cs="Times New Roman" w:eastAsia="Times New Roman" w:hAnsi="Times New Roman"/>
          <w:sz w:val="16"/>
          <w:szCs w:val="16"/>
          <w:color w:val="auto"/>
        </w:rPr>
      </w:pPr>
    </w:p>
    <w:p>
      <w:pPr>
        <w:jc w:val="both"/>
        <w:ind w:firstLine="592"/>
        <w:spacing w:after="0" w:line="259" w:lineRule="auto"/>
        <w:tabs>
          <w:tab w:leader="none" w:pos="82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Except as set forth on Schedule 3(k), during the one (1) year prior to the date hereof and each Closing Date with respect to which this representation is being made, the Company has timely filed all reports, schedules, forms, proxy statements, statements and other documents required to be filed by it with the SEC (other than Section 16 ownership filings) pursuant to the reporting requirements of the 1934 Act (reports filed in compliance with the time period specified in Rule 12b-25 promulgated under the 1934 Act shall be considered timely for this purpose) (all of the foregoing filed prior to the date hereof and each Closing Date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6"/>
          <w:szCs w:val="16"/>
          <w:b w:val="1"/>
          <w:bCs w:val="1"/>
          <w:color w:val="auto"/>
        </w:rPr>
        <w:t>SEC Documents</w:t>
      </w:r>
      <w:r>
        <w:rPr>
          <w:rFonts w:ascii="Times New Roman" w:cs="Times New Roman" w:eastAsia="Times New Roman" w:hAnsi="Times New Roman"/>
          <w:sz w:val="16"/>
          <w:szCs w:val="16"/>
          <w:color w:val="auto"/>
        </w:rPr>
        <w:t>”). The Company has delivered or has made available to the Holders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of the Holders which is not included in the SEC Documents (including, without limitation, information referred to in Section 2(f)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6"/>
          <w:szCs w:val="16"/>
          <w:b w:val="1"/>
          <w:bCs w:val="1"/>
          <w:color w:val="auto"/>
        </w:rPr>
        <w:t>Financial Statements</w:t>
      </w:r>
      <w:r>
        <w:rPr>
          <w:rFonts w:ascii="Times New Roman" w:cs="Times New Roman" w:eastAsia="Times New Roman" w:hAnsi="Times New Roman"/>
          <w:sz w:val="16"/>
          <w:szCs w:val="16"/>
          <w:color w:val="auto"/>
        </w:rPr>
        <w:t>”), nor is the Company currently aware of facts or circumstances which would require the Company to amend or restate any of the Financial Statements, in each case, in order for any of the Financials Statements to be in material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6" w:name="page77"/>
    <w:bookmarkEnd w:id="76"/>
    <w:p>
      <w:pPr>
        <w:jc w:val="both"/>
        <w:ind w:left="1" w:firstLine="592"/>
        <w:spacing w:after="0" w:line="265" w:lineRule="auto"/>
        <w:tabs>
          <w:tab w:leader="none" w:pos="79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Certain Changes</w:t>
      </w:r>
      <w:r>
        <w:rPr>
          <w:rFonts w:ascii="Times New Roman" w:cs="Times New Roman" w:eastAsia="Times New Roman" w:hAnsi="Times New Roman"/>
          <w:sz w:val="16"/>
          <w:szCs w:val="16"/>
          <w:color w:val="auto"/>
        </w:rPr>
        <w:t>. Since the date of the Company’s audited financial statements contained in its Form 10-K for the year ended December 31, 2021 and except as set forth on Schedule 3(l), there has been no Material Adverse Effect. Since the date of the Company’s audited financial statements contained in its Form 10-K for the year ended December 31, 2021, neither the Company nor any of its Subsidiaries has (i) declared or paid any dividends, (ii) sold any assets, individually or in the aggregate, outside of the ordinary course of business, (iii) made any capital expenditures, individually or in the aggregate, outside of the ordinary course of business or (iv) except as set forth on Schedule 3(l), made any revaluation of any of their respective assets, including, without limitation, writing down the value of capitalized inventory or writing off notes or accounts receivable or any sale of assets other than in the ordinary course of business.</w:t>
      </w:r>
    </w:p>
    <w:p>
      <w:pPr>
        <w:spacing w:after="0" w:line="164" w:lineRule="exact"/>
        <w:rPr>
          <w:rFonts w:ascii="Times New Roman" w:cs="Times New Roman" w:eastAsia="Times New Roman" w:hAnsi="Times New Roman"/>
          <w:sz w:val="16"/>
          <w:szCs w:val="16"/>
          <w:color w:val="auto"/>
        </w:rPr>
      </w:pPr>
    </w:p>
    <w:p>
      <w:pPr>
        <w:jc w:val="both"/>
        <w:ind w:left="1" w:firstLine="592"/>
        <w:spacing w:after="0" w:line="259" w:lineRule="auto"/>
        <w:tabs>
          <w:tab w:leader="none" w:pos="885"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Insolvency</w:t>
      </w:r>
      <w:r>
        <w:rPr>
          <w:rFonts w:ascii="Times New Roman" w:cs="Times New Roman" w:eastAsia="Times New Roman" w:hAnsi="Times New Roman"/>
          <w:sz w:val="16"/>
          <w:szCs w:val="16"/>
          <w:color w:val="auto"/>
        </w:rPr>
        <w: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as of each Closing Date, and after giving effect to the transactions contemplated hereby to occur on each Closing Date, will not be Insolvent (as defined below). For purposes of this Section 3(m), “</w:t>
      </w:r>
      <w:r>
        <w:rPr>
          <w:rFonts w:ascii="Times New Roman" w:cs="Times New Roman" w:eastAsia="Times New Roman" w:hAnsi="Times New Roman"/>
          <w:sz w:val="16"/>
          <w:szCs w:val="16"/>
          <w:b w:val="1"/>
          <w:bCs w:val="1"/>
          <w:color w:val="auto"/>
        </w:rPr>
        <w:t>Insolvent</w:t>
      </w:r>
      <w:r>
        <w:rPr>
          <w:rFonts w:ascii="Times New Roman" w:cs="Times New Roman" w:eastAsia="Times New Roman" w:hAnsi="Times New Roman"/>
          <w:sz w:val="16"/>
          <w:szCs w:val="16"/>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w:t>
      </w:r>
    </w:p>
    <w:p>
      <w:pPr>
        <w:spacing w:after="0" w:line="7" w:lineRule="exact"/>
        <w:rPr>
          <w:rFonts w:ascii="Times New Roman" w:cs="Times New Roman" w:eastAsia="Times New Roman" w:hAnsi="Times New Roman"/>
          <w:sz w:val="16"/>
          <w:szCs w:val="16"/>
          <w:color w:val="auto"/>
        </w:rPr>
      </w:pPr>
    </w:p>
    <w:p>
      <w:pPr>
        <w:jc w:val="both"/>
        <w:ind w:left="1" w:hanging="1"/>
        <w:spacing w:after="0" w:line="266" w:lineRule="auto"/>
        <w:tabs>
          <w:tab w:leader="none" w:pos="27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w:t>
      </w:r>
    </w:p>
    <w:p>
      <w:pPr>
        <w:spacing w:after="0" w:line="161" w:lineRule="exact"/>
        <w:rPr>
          <w:rFonts w:ascii="Times New Roman" w:cs="Times New Roman" w:eastAsia="Times New Roman" w:hAnsi="Times New Roman"/>
          <w:sz w:val="16"/>
          <w:szCs w:val="16"/>
          <w:color w:val="auto"/>
        </w:rPr>
      </w:pPr>
    </w:p>
    <w:p>
      <w:pPr>
        <w:jc w:val="both"/>
        <w:ind w:left="1" w:firstLine="592"/>
        <w:spacing w:after="0" w:line="265" w:lineRule="auto"/>
        <w:tabs>
          <w:tab w:leader="none" w:pos="839"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Permits</w:t>
      </w:r>
      <w:r>
        <w:rPr>
          <w:rFonts w:ascii="Times New Roman" w:cs="Times New Roman" w:eastAsia="Times New Roman" w:hAnsi="Times New Roman"/>
          <w:sz w:val="16"/>
          <w:szCs w:val="16"/>
          <w:color w:val="auto"/>
        </w:rPr>
        <w:t>. During the one year prior to the date hereof and prior to each Closing Date, (i) the Common Stock has been listed or designated for quotation on the Principal Market, (ii) trading in the Common Stock has not been suspended by the SEC or the Principal Market and (iii) except as set forth on Schedule 3(n), the Company has received no communication, written or oral, from the SEC or the Principal Market regarding the suspension or delisting of the Common Stock from the Principal Market. The Company and each of its Subsidiaries possess all material certificates, authorizations and permits issued by the appropriate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77" w:name="page78"/>
    <w:bookmarkEnd w:id="77"/>
    <w:p>
      <w:pPr>
        <w:jc w:val="both"/>
        <w:ind w:firstLine="592"/>
        <w:spacing w:after="0" w:line="263" w:lineRule="auto"/>
        <w:tabs>
          <w:tab w:leader="none" w:pos="83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Corrupt Practices</w:t>
      </w:r>
      <w:r>
        <w:rPr>
          <w:rFonts w:ascii="Times New Roman" w:cs="Times New Roman" w:eastAsia="Times New Roman" w:hAnsi="Times New Roman"/>
          <w:sz w:val="16"/>
          <w:szCs w:val="16"/>
          <w:color w:val="auto"/>
        </w:rPr>
        <w:t>. Neither the Company, any of the Company’s Subsidiaries, nor any director, officer, employee thereof, nor, to the Company’s knowledge, any agent or any other person acting for or on behalf of the foregoing (individually and collectively, a “</w:t>
      </w:r>
      <w:r>
        <w:rPr>
          <w:rFonts w:ascii="Times New Roman" w:cs="Times New Roman" w:eastAsia="Times New Roman" w:hAnsi="Times New Roman"/>
          <w:sz w:val="16"/>
          <w:szCs w:val="16"/>
          <w:b w:val="1"/>
          <w:bCs w:val="1"/>
          <w:color w:val="auto"/>
        </w:rPr>
        <w:t>Company Affiliate</w:t>
      </w:r>
      <w:r>
        <w:rPr>
          <w:rFonts w:ascii="Times New Roman" w:cs="Times New Roman" w:eastAsia="Times New Roman" w:hAnsi="Times New Roman"/>
          <w:sz w:val="16"/>
          <w:szCs w:val="16"/>
          <w:color w:val="auto"/>
        </w:rPr>
        <w:t>”) have violated the U.S. Foreign Corrupt Practices Act or any other applicable anti-bribery or anti-corruption laws (individually and collectively, “</w:t>
      </w:r>
      <w:r>
        <w:rPr>
          <w:rFonts w:ascii="Times New Roman" w:cs="Times New Roman" w:eastAsia="Times New Roman" w:hAnsi="Times New Roman"/>
          <w:sz w:val="16"/>
          <w:szCs w:val="16"/>
          <w:b w:val="1"/>
          <w:bCs w:val="1"/>
          <w:color w:val="auto"/>
        </w:rPr>
        <w:t>Anti-Corruption Laws</w:t>
      </w:r>
      <w:r>
        <w:rPr>
          <w:rFonts w:ascii="Times New Roman" w:cs="Times New Roman" w:eastAsia="Times New Roman" w:hAnsi="Times New Roman"/>
          <w:sz w:val="16"/>
          <w:szCs w:val="16"/>
          <w:color w:val="auto"/>
        </w:rPr>
        <w:t>”), nor, to the Company’s knowledge,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6"/>
          <w:szCs w:val="16"/>
          <w:b w:val="1"/>
          <w:bCs w:val="1"/>
          <w:color w:val="auto"/>
        </w:rPr>
        <w:t>Government Official</w:t>
      </w:r>
      <w:r>
        <w:rPr>
          <w:rFonts w:ascii="Times New Roman" w:cs="Times New Roman" w:eastAsia="Times New Roman" w:hAnsi="Times New Roman"/>
          <w:sz w:val="16"/>
          <w:szCs w:val="16"/>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367" w:lineRule="exact"/>
        <w:rPr>
          <w:rFonts w:ascii="Times New Roman" w:cs="Times New Roman" w:eastAsia="Times New Roman" w:hAnsi="Times New Roman"/>
          <w:sz w:val="16"/>
          <w:szCs w:val="16"/>
          <w:color w:val="auto"/>
        </w:rPr>
      </w:pPr>
    </w:p>
    <w:p>
      <w:pPr>
        <w:jc w:val="both"/>
        <w:ind w:left="600" w:firstLine="584"/>
        <w:spacing w:after="0" w:line="277" w:lineRule="auto"/>
        <w:tabs>
          <w:tab w:leader="none" w:pos="1395"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53" w:lineRule="exact"/>
        <w:rPr>
          <w:rFonts w:ascii="Times New Roman" w:cs="Times New Roman" w:eastAsia="Times New Roman" w:hAnsi="Times New Roman"/>
          <w:sz w:val="16"/>
          <w:szCs w:val="16"/>
          <w:color w:val="auto"/>
        </w:rPr>
      </w:pPr>
    </w:p>
    <w:p>
      <w:pPr>
        <w:ind w:left="1420" w:hanging="236"/>
        <w:spacing w:after="0"/>
        <w:tabs>
          <w:tab w:leader="none" w:pos="142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Company or its Subsidiaries in obtaining or retaining business for or with, or directing business to, the Company or its Subsidiaries.</w:t>
      </w:r>
    </w:p>
    <w:p>
      <w:pPr>
        <w:spacing w:after="0" w:line="21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color w:val="auto"/>
        </w:rPr>
        <w:t>Neither of the Company nor any of its Subsidiaries will use, directly or indirectly, any part of the proceeds of the offering in any manner that would constitute a violation of Anti-Corruption Laws.</w:t>
      </w:r>
    </w:p>
    <w:p>
      <w:pPr>
        <w:spacing w:after="0" w:line="137" w:lineRule="exact"/>
        <w:rPr>
          <w:sz w:val="20"/>
          <w:szCs w:val="20"/>
          <w:color w:val="auto"/>
        </w:rPr>
      </w:pPr>
    </w:p>
    <w:p>
      <w:pPr>
        <w:ind w:firstLine="592"/>
        <w:spacing w:after="0" w:line="297" w:lineRule="auto"/>
        <w:tabs>
          <w:tab w:leader="none" w:pos="82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The Company and each of its Subsidiaries is in material compliance with any and all applicable requirements of the Sarbanes-Oxley Act of 2002, as amended, and any and all applicable rules and regulations promulgated by the SEC thereunder.</w:t>
      </w:r>
    </w:p>
    <w:p>
      <w:pPr>
        <w:spacing w:after="0" w:line="137" w:lineRule="exact"/>
        <w:rPr>
          <w:rFonts w:ascii="Times New Roman" w:cs="Times New Roman" w:eastAsia="Times New Roman" w:hAnsi="Times New Roman"/>
          <w:sz w:val="16"/>
          <w:szCs w:val="16"/>
          <w:color w:val="auto"/>
        </w:rPr>
      </w:pPr>
    </w:p>
    <w:p>
      <w:pPr>
        <w:jc w:val="both"/>
        <w:ind w:firstLine="592"/>
        <w:spacing w:after="0" w:line="260" w:lineRule="auto"/>
        <w:tabs>
          <w:tab w:leader="none" w:pos="82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Except as set forth on Schedule 3(q), no current or former employee, partner, director, officer or shareholder (direct or indirect) of the Company or its Subsidiaries, or any associate, or, to the knowledge of the Company, any affiliate of any thereof, or any immediate family member of any of the foregoing, is presently, or during the one-year period prior to the date with respect to which this representation is being made, was, (i) a party to any transaction with the Company or its Subsidiaries (including any contract, agreement or other arrangement providing for the furnishing of services by, or rental of real or personal property from, or otherwise requiring payments to, any such director, officer or shareholder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or ordinary shares, as applicable, of a company whose securities are traded on or quoted through an Eligible Market (as defined below)), nor does any such Person receive income from any source other than the Company or its Subsidiaries which relates to the business of the Company or its Subsidiaries or should properly accrue to the Company or its Subsidiaries. Except as set forth on Schedule 3(q), no employee, officer, shareholder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or its Subsidiaries, as the case may be, and (iii) for other standard employee benefits made generally available to all employees or executives (including share option agreements outstanding under any share option plan approved by the Board of Directors of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8" w:name="page79"/>
    <w:bookmarkEnd w:id="78"/>
    <w:p>
      <w:pPr>
        <w:ind w:left="208" w:hanging="208"/>
        <w:spacing w:after="0"/>
        <w:tabs>
          <w:tab w:leader="none" w:pos="20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Capitalization</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8" w:firstLine="584"/>
        <w:spacing w:after="0" w:line="263" w:lineRule="auto"/>
        <w:tabs>
          <w:tab w:leader="none" w:pos="822"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and Outstanding Capital Stock</w:t>
      </w:r>
      <w:r>
        <w:rPr>
          <w:rFonts w:ascii="Times New Roman" w:cs="Times New Roman" w:eastAsia="Times New Roman" w:hAnsi="Times New Roman"/>
          <w:sz w:val="16"/>
          <w:szCs w:val="16"/>
          <w:color w:val="auto"/>
        </w:rPr>
        <w:t>. As of the date of this Agreement and as of the Initial Closing, the authorized capital stock of the Company consists of (A) 200,000,000 shares of Common Stock, of which, 21,710,312 are issued and outstanding and 31,016,160 shares are reserved for issuance pursuant to Convertible Securities (as defined below) (other than the Exchange Notes) exercisable or exchangeable for, or convertible into, shares of Common Stock and (B) 3,000,000 shares of Preferred Stock, of which no shares are issued and outstanding, 105,000 shares of the Preferred Stock are designated Series A Convertible Preferred Stock. No shares of Common Stock are held in the treasury of the Company. “</w:t>
      </w:r>
      <w:r>
        <w:rPr>
          <w:rFonts w:ascii="Times New Roman" w:cs="Times New Roman" w:eastAsia="Times New Roman" w:hAnsi="Times New Roman"/>
          <w:sz w:val="16"/>
          <w:szCs w:val="16"/>
          <w:b w:val="1"/>
          <w:bCs w:val="1"/>
          <w:color w:val="auto"/>
        </w:rPr>
        <w:t>Convertible Securities</w:t>
      </w:r>
      <w:r>
        <w:rPr>
          <w:rFonts w:ascii="Times New Roman" w:cs="Times New Roman" w:eastAsia="Times New Roman" w:hAnsi="Times New Roman"/>
          <w:sz w:val="16"/>
          <w:szCs w:val="16"/>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and any rights, warrants or options to subscribe for or purchase shares of Common Stock or Convertible Securities (collectively, “</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or any of its Subsidiaries.</w:t>
      </w:r>
    </w:p>
    <w:p>
      <w:pPr>
        <w:spacing w:after="0" w:line="362" w:lineRule="exact"/>
        <w:rPr>
          <w:rFonts w:ascii="Times New Roman" w:cs="Times New Roman" w:eastAsia="Times New Roman" w:hAnsi="Times New Roman"/>
          <w:sz w:val="16"/>
          <w:szCs w:val="16"/>
          <w:color w:val="auto"/>
        </w:rPr>
      </w:pPr>
    </w:p>
    <w:p>
      <w:pPr>
        <w:jc w:val="both"/>
        <w:ind w:left="8" w:firstLine="584"/>
        <w:spacing w:after="0" w:line="262" w:lineRule="auto"/>
        <w:tabs>
          <w:tab w:leader="none" w:pos="843"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Issuance; Available Shares; Affiliates</w:t>
      </w:r>
      <w:r>
        <w:rPr>
          <w:rFonts w:ascii="Times New Roman" w:cs="Times New Roman" w:eastAsia="Times New Roman" w:hAnsi="Times New Roman"/>
          <w:sz w:val="16"/>
          <w:szCs w:val="16"/>
          <w:color w:val="auto"/>
        </w:rPr>
        <w:t xml:space="preserve">. All of the Company’s outstanding shares are duly authorized and have been validly issued and are fully paid and nonassessable. </w:t>
      </w:r>
      <w:r>
        <w:rPr>
          <w:rFonts w:ascii="Times New Roman" w:cs="Times New Roman" w:eastAsia="Times New Roman" w:hAnsi="Times New Roman"/>
          <w:sz w:val="16"/>
          <w:szCs w:val="16"/>
          <w:u w:val="single" w:color="auto"/>
          <w:color w:val="auto"/>
        </w:rPr>
        <w:t>Schedule 3(r)(ii)</w:t>
      </w:r>
      <w:r>
        <w:rPr>
          <w:rFonts w:ascii="Times New Roman" w:cs="Times New Roman" w:eastAsia="Times New Roman" w:hAnsi="Times New Roman"/>
          <w:sz w:val="16"/>
          <w:szCs w:val="16"/>
          <w:color w:val="auto"/>
        </w:rPr>
        <w:t xml:space="preserve"> sets forth the number of shares of Common Stock that are (A) reserved for issuance pursuant to Convertible Securities (other than the Exchange Notes ) as of the date hereof and as of the Initial Closing and (B) as of the date hereof and as of the Initial Closing,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as of the date hereof and the Initial Closing Date no Person owns 10% or more of the Company’s issued and outstanding shares of Common Stock (calculated based on the assumption that all Convertible Securities,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68" w:lineRule="exact"/>
        <w:rPr>
          <w:rFonts w:ascii="Times New Roman" w:cs="Times New Roman" w:eastAsia="Times New Roman" w:hAnsi="Times New Roman"/>
          <w:sz w:val="16"/>
          <w:szCs w:val="16"/>
          <w:color w:val="auto"/>
        </w:rPr>
      </w:pPr>
    </w:p>
    <w:p>
      <w:pPr>
        <w:jc w:val="both"/>
        <w:ind w:left="8" w:firstLine="584"/>
        <w:spacing w:after="0" w:line="260" w:lineRule="auto"/>
        <w:tabs>
          <w:tab w:leader="none" w:pos="889"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Securities; Obligations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3(r)(iii)</w:t>
      </w:r>
      <w:r>
        <w:rPr>
          <w:rFonts w:ascii="Times New Roman" w:cs="Times New Roman" w:eastAsia="Times New Roman" w:hAnsi="Times New Roman"/>
          <w:sz w:val="16"/>
          <w:szCs w:val="16"/>
          <w:color w:val="auto"/>
        </w:rPr>
        <w:t>: (A) none of the Company’s or any Subsidiary’s shares, interests or capital stock is subject to preemptive rights or any other similar rights or Liens suffered or permitted by the Company or any Subsidiary; (B) other than stock options and restricted stock awarded to employees, directors and consultants of the Company under equity incentive plans adopted by the Board of Directors of the Company and described in the SEC Documents,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362" w:lineRule="exact"/>
        <w:rPr>
          <w:sz w:val="20"/>
          <w:szCs w:val="20"/>
          <w:color w:val="auto"/>
        </w:rPr>
      </w:pPr>
    </w:p>
    <w:p>
      <w:pPr>
        <w:ind w:left="4928"/>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10795</wp:posOffset>
            </wp:positionV>
            <wp:extent cx="714375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8"/>
          </w:cols>
          <w:pgMar w:left="912" w:top="839" w:right="339" w:bottom="1440" w:gutter="0" w:footer="0" w:header="0"/>
        </w:sectPr>
      </w:pPr>
    </w:p>
    <w:bookmarkStart w:id="79" w:name="page80"/>
    <w:bookmarkEnd w:id="79"/>
    <w:p>
      <w:pPr>
        <w:jc w:val="both"/>
        <w:ind w:left="601" w:firstLine="584"/>
        <w:spacing w:after="0" w:line="277" w:lineRule="auto"/>
        <w:tabs>
          <w:tab w:leader="none" w:pos="151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The Company has furnished to the Holders true, correct and complete copies of the Company’s Articles of Incorporation, as amended and as in effect on the date hereof (the “</w:t>
      </w:r>
      <w:r>
        <w:rPr>
          <w:rFonts w:ascii="Times New Roman" w:cs="Times New Roman" w:eastAsia="Times New Roman" w:hAnsi="Times New Roman"/>
          <w:sz w:val="16"/>
          <w:szCs w:val="16"/>
          <w:b w:val="1"/>
          <w:bCs w:val="1"/>
          <w:color w:val="auto"/>
        </w:rPr>
        <w:t>Articles of Incorporation</w:t>
      </w:r>
      <w:r>
        <w:rPr>
          <w:rFonts w:ascii="Times New Roman" w:cs="Times New Roman" w:eastAsia="Times New Roman" w:hAnsi="Times New Roman"/>
          <w:sz w:val="16"/>
          <w:szCs w:val="16"/>
          <w:color w:val="auto"/>
        </w:rPr>
        <w:t>”) and the Company’s bylaws, as amended and as in effect on the date hereof and each Closing Date (the “</w:t>
      </w:r>
      <w:r>
        <w:rPr>
          <w:rFonts w:ascii="Times New Roman" w:cs="Times New Roman" w:eastAsia="Times New Roman" w:hAnsi="Times New Roman"/>
          <w:sz w:val="16"/>
          <w:szCs w:val="16"/>
          <w:b w:val="1"/>
          <w:bCs w:val="1"/>
          <w:color w:val="auto"/>
        </w:rPr>
        <w:t>Bylaws</w:t>
      </w:r>
      <w:r>
        <w:rPr>
          <w:rFonts w:ascii="Times New Roman" w:cs="Times New Roman" w:eastAsia="Times New Roman" w:hAnsi="Times New Roman"/>
          <w:sz w:val="16"/>
          <w:szCs w:val="16"/>
          <w:color w:val="auto"/>
        </w:rPr>
        <w:t>”), and the terms of all Convertible Securities and the material rights of the holders thereof in respect thereto.</w:t>
      </w:r>
    </w:p>
    <w:p>
      <w:pPr>
        <w:spacing w:after="0" w:line="153" w:lineRule="exact"/>
        <w:rPr>
          <w:rFonts w:ascii="Times New Roman" w:cs="Times New Roman" w:eastAsia="Times New Roman" w:hAnsi="Times New Roman"/>
          <w:sz w:val="16"/>
          <w:szCs w:val="16"/>
          <w:color w:val="auto"/>
        </w:rPr>
      </w:pPr>
    </w:p>
    <w:p>
      <w:pPr>
        <w:jc w:val="both"/>
        <w:ind w:left="1" w:firstLine="592"/>
        <w:spacing w:after="0" w:line="262" w:lineRule="auto"/>
        <w:tabs>
          <w:tab w:leader="none" w:pos="833"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Indebtedness and Other Contracts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3(s)</w:t>
      </w:r>
      <w:r>
        <w:rPr>
          <w:rFonts w:ascii="Times New Roman" w:cs="Times New Roman" w:eastAsia="Times New Roman" w:hAnsi="Times New Roman"/>
          <w:sz w:val="16"/>
          <w:szCs w:val="16"/>
          <w:color w:val="auto"/>
        </w:rPr>
        <w:t>,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(ii) has any financing statements securing obligations in any amounts filed against the Company or any of its Subsidiaries or with respect to any of their respective assets; (iii) is in violation of any term of, or in default under, any contract, agreement or instrument relating to any Indebtedness, except where such violations and defaults would not result, individually or in the aggregate, in a Material Adverse Effect, or</w:t>
      </w:r>
    </w:p>
    <w:p>
      <w:pPr>
        <w:jc w:val="both"/>
        <w:ind w:left="1" w:hanging="1"/>
        <w:spacing w:after="0" w:line="257" w:lineRule="auto"/>
        <w:tabs>
          <w:tab w:leader="none" w:pos="298"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consistent with past practices and which, individually or in the aggregate, do not or could not have a Material Adverse Effect. For purposes of this Agreement:</w:t>
      </w:r>
    </w:p>
    <w:p>
      <w:pPr>
        <w:spacing w:after="0" w:line="2" w:lineRule="exact"/>
        <w:rPr>
          <w:rFonts w:ascii="Times New Roman" w:cs="Times New Roman" w:eastAsia="Times New Roman" w:hAnsi="Times New Roman"/>
          <w:sz w:val="16"/>
          <w:szCs w:val="16"/>
          <w:color w:val="auto"/>
        </w:rPr>
      </w:pPr>
    </w:p>
    <w:p>
      <w:pPr>
        <w:jc w:val="both"/>
        <w:ind w:left="1" w:hanging="1"/>
        <w:spacing w:after="0" w:line="257" w:lineRule="auto"/>
        <w:tabs>
          <w:tab w:leader="none" w:pos="23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w:t>
      </w:r>
    </w:p>
    <w:p>
      <w:pPr>
        <w:spacing w:after="0" w:line="1" w:lineRule="exact"/>
        <w:rPr>
          <w:rFonts w:ascii="Times New Roman" w:cs="Times New Roman" w:eastAsia="Times New Roman" w:hAnsi="Times New Roman"/>
          <w:sz w:val="16"/>
          <w:szCs w:val="16"/>
          <w:color w:val="auto"/>
        </w:rPr>
      </w:pPr>
    </w:p>
    <w:p>
      <w:pPr>
        <w:jc w:val="both"/>
        <w:ind w:left="1"/>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w:t>
      </w:r>
    </w:p>
    <w:p>
      <w:pPr>
        <w:spacing w:after="0" w:line="4" w:lineRule="exact"/>
        <w:rPr>
          <w:rFonts w:ascii="Times New Roman" w:cs="Times New Roman" w:eastAsia="Times New Roman" w:hAnsi="Times New Roman"/>
          <w:sz w:val="16"/>
          <w:szCs w:val="16"/>
          <w:color w:val="auto"/>
        </w:rPr>
      </w:pPr>
    </w:p>
    <w:p>
      <w:pPr>
        <w:jc w:val="both"/>
        <w:ind w:left="1"/>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 “</w:t>
      </w:r>
      <w:r>
        <w:rPr>
          <w:rFonts w:ascii="Times New Roman" w:cs="Times New Roman" w:eastAsia="Times New Roman" w:hAnsi="Times New Roman"/>
          <w:sz w:val="16"/>
          <w:szCs w:val="16"/>
          <w:b w:val="1"/>
          <w:bCs w:val="1"/>
          <w:color w:val="auto"/>
        </w:rPr>
        <w:t>Contingent Obligation</w:t>
      </w:r>
      <w:r>
        <w:rPr>
          <w:rFonts w:ascii="Times New Roman" w:cs="Times New Roman" w:eastAsia="Times New Roman" w:hAnsi="Times New Roman"/>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64" w:lineRule="exact"/>
        <w:rPr>
          <w:rFonts w:ascii="Times New Roman" w:cs="Times New Roman" w:eastAsia="Times New Roman" w:hAnsi="Times New Roman"/>
          <w:sz w:val="16"/>
          <w:szCs w:val="16"/>
          <w:color w:val="auto"/>
        </w:rPr>
      </w:pPr>
    </w:p>
    <w:p>
      <w:pPr>
        <w:jc w:val="both"/>
        <w:ind w:left="1" w:firstLine="592"/>
        <w:spacing w:after="0" w:line="261" w:lineRule="auto"/>
        <w:tabs>
          <w:tab w:leader="none" w:pos="79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There is no material action, suit, arbitration, proceeding, or, to the knowledge of the Company,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in </w:t>
      </w:r>
      <w:r>
        <w:rPr>
          <w:rFonts w:ascii="Times New Roman" w:cs="Times New Roman" w:eastAsia="Times New Roman" w:hAnsi="Times New Roman"/>
          <w:sz w:val="16"/>
          <w:szCs w:val="16"/>
          <w:u w:val="single" w:color="auto"/>
          <w:color w:val="auto"/>
        </w:rPr>
        <w:t>Schedule 3(t)</w:t>
      </w:r>
      <w:r>
        <w:rPr>
          <w:rFonts w:ascii="Times New Roman" w:cs="Times New Roman" w:eastAsia="Times New Roman" w:hAnsi="Times New Roman"/>
          <w:sz w:val="16"/>
          <w:szCs w:val="16"/>
          <w:color w:val="auto"/>
        </w:rPr>
        <w:t>. To the knowledge of the Company,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contemplated or anticipated, any inquiry or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officers (as defined in Rule 16a-1(f) promulgated under the 1934 Act) and members of its Board of Directors,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80" w:name="page81"/>
    <w:bookmarkEnd w:id="80"/>
    <w:p>
      <w:pPr>
        <w:jc w:val="both"/>
        <w:ind w:firstLine="592"/>
        <w:spacing w:after="0" w:line="267" w:lineRule="auto"/>
        <w:tabs>
          <w:tab w:leader="none" w:pos="82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of its Subsidiaries has been refused any insurance coverage sought or applied for, and neither the Company nor any of its Subsidiaries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62" w:lineRule="exact"/>
        <w:rPr>
          <w:rFonts w:ascii="Times New Roman" w:cs="Times New Roman" w:eastAsia="Times New Roman" w:hAnsi="Times New Roman"/>
          <w:sz w:val="16"/>
          <w:szCs w:val="16"/>
          <w:color w:val="auto"/>
        </w:rPr>
      </w:pPr>
    </w:p>
    <w:p>
      <w:pPr>
        <w:jc w:val="both"/>
        <w:ind w:firstLine="592"/>
        <w:spacing w:after="0" w:line="262" w:lineRule="auto"/>
        <w:tabs>
          <w:tab w:leader="none" w:pos="82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 Relations</w:t>
      </w:r>
      <w:r>
        <w:rPr>
          <w:rFonts w:ascii="Times New Roman" w:cs="Times New Roman" w:eastAsia="Times New Roman" w:hAnsi="Times New Roman"/>
          <w:sz w:val="16"/>
          <w:szCs w:val="16"/>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To the knowledge of the Company,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material compliance with all applicable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65" w:lineRule="exact"/>
        <w:rPr>
          <w:rFonts w:ascii="Times New Roman" w:cs="Times New Roman" w:eastAsia="Times New Roman" w:hAnsi="Times New Roman"/>
          <w:sz w:val="16"/>
          <w:szCs w:val="16"/>
          <w:color w:val="auto"/>
        </w:rPr>
      </w:pPr>
    </w:p>
    <w:p>
      <w:pPr>
        <w:jc w:val="both"/>
        <w:ind w:firstLine="592"/>
        <w:spacing w:after="0" w:line="263" w:lineRule="auto"/>
        <w:tabs>
          <w:tab w:leader="none" w:pos="86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w:t>
      </w:r>
      <w:r>
        <w:rPr>
          <w:rFonts w:ascii="Times New Roman" w:cs="Times New Roman" w:eastAsia="Times New Roman" w:hAnsi="Times New Roman"/>
          <w:sz w:val="16"/>
          <w:szCs w:val="16"/>
          <w:color w:val="auto"/>
        </w:rPr>
        <w:t>. Each of the Company and its Subsidiaries holds good title to, or a valid leasehold interests in, all real property, leases in real property, facilities or other interests in real property owned or held by the Company or any of its Subsidiaries that is material to the business of the Company (the “</w:t>
      </w:r>
      <w:r>
        <w:rPr>
          <w:rFonts w:ascii="Times New Roman" w:cs="Times New Roman" w:eastAsia="Times New Roman" w:hAnsi="Times New Roman"/>
          <w:sz w:val="16"/>
          <w:szCs w:val="16"/>
          <w:b w:val="1"/>
          <w:bCs w:val="1"/>
          <w:color w:val="auto"/>
        </w:rPr>
        <w:t>Real Property</w:t>
      </w:r>
      <w:r>
        <w:rPr>
          <w:rFonts w:ascii="Times New Roman" w:cs="Times New Roman" w:eastAsia="Times New Roman" w:hAnsi="Times New Roman"/>
          <w:sz w:val="16"/>
          <w:szCs w:val="16"/>
          <w:color w:val="auto"/>
        </w:rPr>
        <w:t>”). The Real Property is free and clear of all Liens and is not subject to any rights of way, building use restrictions, exceptions, variances, reservations, or limitations of any nature except for (a) Liens for current taxes not yet due, (b) zoning laws and other land use restrictions that do not impair the present or anticipated use of the property subject thereto,(c) those that are not likely, individually or in the aggregate, to result in a Material Adverse Effect, and (d) other Permitted Liens (as defined in the Exchange Notes). Any Real Property held under lease by the Company or any of its Subsidiaries are held by them under valid, subsisting and enforceable leases with such exceptions as are not material and do not interfere in any material respect with the use made and proposed to be made of such property and buildings by the Company or any of its Subsidiaries.</w:t>
      </w:r>
    </w:p>
    <w:p>
      <w:pPr>
        <w:spacing w:after="0" w:line="367" w:lineRule="exact"/>
        <w:rPr>
          <w:rFonts w:ascii="Times New Roman" w:cs="Times New Roman" w:eastAsia="Times New Roman" w:hAnsi="Times New Roman"/>
          <w:sz w:val="16"/>
          <w:szCs w:val="16"/>
          <w:color w:val="auto"/>
        </w:rPr>
      </w:pPr>
    </w:p>
    <w:p>
      <w:pPr>
        <w:jc w:val="both"/>
        <w:ind w:firstLine="592"/>
        <w:spacing w:after="0" w:line="263" w:lineRule="auto"/>
        <w:tabs>
          <w:tab w:leader="none" w:pos="83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Fixtures and Equipment</w:t>
      </w:r>
      <w:r>
        <w:rPr>
          <w:rFonts w:ascii="Times New Roman" w:cs="Times New Roman" w:eastAsia="Times New Roman" w:hAnsi="Times New Roman"/>
          <w:sz w:val="16"/>
          <w:szCs w:val="16"/>
          <w:color w:val="auto"/>
        </w:rPr>
        <w:t>. Each of the Company and its Subsidiaries (as applicable) has good title to, or a valid leasehold interest in, the tangible personal property, equipment, improvements, fixtures, and other personal property and appurtenances that are used by the Company and its Subsidiaries to conduct their respective businesses (the “</w:t>
      </w:r>
      <w:r>
        <w:rPr>
          <w:rFonts w:ascii="Times New Roman" w:cs="Times New Roman" w:eastAsia="Times New Roman" w:hAnsi="Times New Roman"/>
          <w:sz w:val="16"/>
          <w:szCs w:val="16"/>
          <w:b w:val="1"/>
          <w:bCs w:val="1"/>
          <w:color w:val="auto"/>
        </w:rPr>
        <w:t>Fixtures and Equipment</w:t>
      </w:r>
      <w:r>
        <w:rPr>
          <w:rFonts w:ascii="Times New Roman" w:cs="Times New Roman" w:eastAsia="Times New Roman" w:hAnsi="Times New Roman"/>
          <w:sz w:val="16"/>
          <w:szCs w:val="16"/>
          <w:color w:val="auto"/>
        </w:rPr>
        <w:t xml:space="preserve">”). The Fixtures and Equipment are structurally sound, are in good operating condition and repair (ordinary wear and tear excepted),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date hereof and each Closing Date. Except as set forth on </w:t>
      </w:r>
      <w:r>
        <w:rPr>
          <w:rFonts w:ascii="Times New Roman" w:cs="Times New Roman" w:eastAsia="Times New Roman" w:hAnsi="Times New Roman"/>
          <w:sz w:val="16"/>
          <w:szCs w:val="16"/>
          <w:u w:val="single" w:color="auto"/>
          <w:color w:val="auto"/>
        </w:rPr>
        <w:t>Schedule 3(x)</w:t>
      </w:r>
      <w:r>
        <w:rPr>
          <w:rFonts w:ascii="Times New Roman" w:cs="Times New Roman" w:eastAsia="Times New Roman" w:hAnsi="Times New Roman"/>
          <w:sz w:val="16"/>
          <w:szCs w:val="16"/>
          <w:color w:val="auto"/>
        </w:rPr>
        <w:t>, each of the Company and its Subsidiaries owns all of its Fixtures and Equipment free and clear of all Liens except for (i) Liens for current taxes not yet due, (ii) zoning laws and other land use restrictions that do not impair the present or anticipated use of the property subject thereto and (iii) other Permitted Liens.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1" w:name="page82"/>
    <w:bookmarkEnd w:id="81"/>
    <w:p>
      <w:pPr>
        <w:jc w:val="both"/>
        <w:ind w:firstLine="592"/>
        <w:spacing w:after="0" w:line="264" w:lineRule="auto"/>
        <w:tabs>
          <w:tab w:leader="none" w:pos="82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6"/>
          <w:szCs w:val="16"/>
          <w:b w:val="1"/>
          <w:bCs w:val="1"/>
          <w:color w:val="auto"/>
        </w:rPr>
        <w:t>Intellectual Property Rights</w:t>
      </w:r>
      <w:r>
        <w:rPr>
          <w:rFonts w:ascii="Times New Roman" w:cs="Times New Roman" w:eastAsia="Times New Roman" w:hAnsi="Times New Roman"/>
          <w:sz w:val="16"/>
          <w:szCs w:val="16"/>
          <w:color w:val="auto"/>
        </w:rPr>
        <w:t>”) necessary to conduct their respective businesses as now conducted.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except where such claim, action or proceeding is not reasonably likely to result in a Material Adverse Effect. Neither the Company nor any of its Subsidiaries has received any notice alleging any such infringement or claim, action or proceeding.</w:t>
      </w:r>
    </w:p>
    <w:p>
      <w:pPr>
        <w:spacing w:after="0" w:line="164" w:lineRule="exact"/>
        <w:rPr>
          <w:rFonts w:ascii="Times New Roman" w:cs="Times New Roman" w:eastAsia="Times New Roman" w:hAnsi="Times New Roman"/>
          <w:sz w:val="16"/>
          <w:szCs w:val="16"/>
          <w:color w:val="auto"/>
        </w:rPr>
      </w:pPr>
    </w:p>
    <w:p>
      <w:pPr>
        <w:jc w:val="both"/>
        <w:ind w:firstLine="592"/>
        <w:spacing w:after="0" w:line="262" w:lineRule="auto"/>
        <w:tabs>
          <w:tab w:leader="none" w:pos="81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except in each of the foregoing clauses (A), (B) and (C), where the failure to so comply or having such permits, licenses or other approval would not reasonably be expected to have, individually or in the aggregate, a Material Adverse Effect. The term “</w:t>
      </w:r>
      <w:r>
        <w:rPr>
          <w:rFonts w:ascii="Times New Roman" w:cs="Times New Roman" w:eastAsia="Times New Roman" w:hAnsi="Times New Roman"/>
          <w:sz w:val="16"/>
          <w:szCs w:val="16"/>
          <w:b w:val="1"/>
          <w:bCs w:val="1"/>
          <w:color w:val="auto"/>
        </w:rPr>
        <w:t>Environmental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Laws</w:t>
      </w:r>
      <w:r>
        <w:rPr>
          <w:rFonts w:ascii="Times New Roman" w:cs="Times New Roman" w:eastAsia="Times New Roman" w:hAnsi="Times New Roman"/>
          <w:sz w:val="16"/>
          <w:szCs w:val="16"/>
          <w:color w:val="auto"/>
        </w:rPr>
        <w:t>” means all federal, state, local or foreign laws or regulations relating to pollution or protection of human health or the environment (including, without limitation,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ambient air, surface water, groundwater, land surface or subsurface strata), including, without limitation, laws relating to emissions, discharges, releases or threatened releases of chemicals, pollutants, contaminants, or toxic or hazardous materials, substances or wastes (collectively,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into the environment, or otherwise relating to the manufacture, processing, distribution, use, treatment, storage, disposal, transport or handling of, or exposure to, Hazardous Materials, as well as all authorizations, codes, decrees, demands or demand letters, injunctions, judgments, licenses, notices or notice letters, orders, permits, plans or regulations issued, entered, promulgated or approved thereunder.</w:t>
      </w:r>
    </w:p>
    <w:p>
      <w:pPr>
        <w:spacing w:after="0" w:line="165" w:lineRule="exact"/>
        <w:rPr>
          <w:rFonts w:ascii="Times New Roman" w:cs="Times New Roman" w:eastAsia="Times New Roman" w:hAnsi="Times New Roman"/>
          <w:sz w:val="16"/>
          <w:szCs w:val="16"/>
          <w:color w:val="auto"/>
        </w:rPr>
      </w:pPr>
    </w:p>
    <w:p>
      <w:pPr>
        <w:ind w:left="1380" w:hanging="196"/>
        <w:spacing w:after="0"/>
        <w:tabs>
          <w:tab w:leader="none" w:pos="138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Hazardous Materials:</w:t>
      </w:r>
    </w:p>
    <w:p>
      <w:pPr>
        <w:spacing w:after="0" w:line="211" w:lineRule="exact"/>
        <w:rPr>
          <w:rFonts w:ascii="Times New Roman" w:cs="Times New Roman" w:eastAsia="Times New Roman" w:hAnsi="Times New Roman"/>
          <w:sz w:val="16"/>
          <w:szCs w:val="16"/>
          <w:color w:val="auto"/>
        </w:rPr>
      </w:pPr>
    </w:p>
    <w:p>
      <w:pPr>
        <w:ind w:left="600" w:firstLine="1177"/>
        <w:spacing w:after="0" w:line="297" w:lineRule="auto"/>
        <w:tabs>
          <w:tab w:leader="none" w:pos="2090" w:val="left"/>
        </w:tabs>
        <w:numPr>
          <w:ilvl w:val="2"/>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have been disposed of or otherwise released from any Real Property of the Company or any of its Subsidiaries in violation of any Environmental Laws; or</w:t>
      </w:r>
    </w:p>
    <w:p>
      <w:pPr>
        <w:spacing w:after="0" w:line="137" w:lineRule="exact"/>
        <w:rPr>
          <w:rFonts w:ascii="Times New Roman" w:cs="Times New Roman" w:eastAsia="Times New Roman" w:hAnsi="Times New Roman"/>
          <w:sz w:val="16"/>
          <w:szCs w:val="16"/>
          <w:color w:val="auto"/>
        </w:rPr>
      </w:pPr>
    </w:p>
    <w:p>
      <w:pPr>
        <w:jc w:val="both"/>
        <w:ind w:left="600" w:firstLine="1177"/>
        <w:spacing w:after="0" w:line="271" w:lineRule="auto"/>
        <w:tabs>
          <w:tab w:leader="none" w:pos="2057" w:val="left"/>
        </w:tabs>
        <w:numPr>
          <w:ilvl w:val="2"/>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are present on, over, beneath, in or upon any Real Property or any portion thereof in quantities that would constitute a violation of any Environmental Laws or in quantities, a manner or location that would reasonably be expected to require remedial action pursuant to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56" w:lineRule="exact"/>
        <w:rPr>
          <w:rFonts w:ascii="Times New Roman" w:cs="Times New Roman" w:eastAsia="Times New Roman" w:hAnsi="Times New Roman"/>
          <w:sz w:val="16"/>
          <w:szCs w:val="16"/>
          <w:color w:val="auto"/>
        </w:rPr>
      </w:pPr>
    </w:p>
    <w:p>
      <w:pPr>
        <w:ind w:left="600" w:firstLine="584"/>
        <w:spacing w:after="0" w:line="297" w:lineRule="auto"/>
        <w:tabs>
          <w:tab w:leader="none" w:pos="1436"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neither the Company nor any of its Subsidiaries knows of any other Person that has stored, treated, recycled, disposed of or otherwise located on any Real Property any Hazardous Materials, including, without limitation, such substances as asbestos and polychlorinated biphenyls.</w:t>
      </w:r>
    </w:p>
    <w:p>
      <w:pPr>
        <w:spacing w:after="0" w:line="137" w:lineRule="exact"/>
        <w:rPr>
          <w:rFonts w:ascii="Times New Roman" w:cs="Times New Roman" w:eastAsia="Times New Roman" w:hAnsi="Times New Roman"/>
          <w:sz w:val="16"/>
          <w:szCs w:val="16"/>
          <w:color w:val="auto"/>
        </w:rPr>
      </w:pPr>
    </w:p>
    <w:p>
      <w:pPr>
        <w:jc w:val="both"/>
        <w:ind w:left="600" w:firstLine="584"/>
        <w:spacing w:after="0" w:line="277" w:lineRule="auto"/>
        <w:tabs>
          <w:tab w:leader="none" w:pos="1512"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Real Property is on any federal or state “Superfund” list or Comprehensive Environmental Response, Compensation and Liability Information System (“</w:t>
      </w:r>
      <w:r>
        <w:rPr>
          <w:rFonts w:ascii="Times New Roman" w:cs="Times New Roman" w:eastAsia="Times New Roman" w:hAnsi="Times New Roman"/>
          <w:sz w:val="16"/>
          <w:szCs w:val="16"/>
          <w:b w:val="1"/>
          <w:bCs w:val="1"/>
          <w:color w:val="auto"/>
        </w:rPr>
        <w:t>CERCLIS</w:t>
      </w:r>
      <w:r>
        <w:rPr>
          <w:rFonts w:ascii="Times New Roman" w:cs="Times New Roman" w:eastAsia="Times New Roman" w:hAnsi="Times New Roman"/>
          <w:sz w:val="16"/>
          <w:szCs w:val="16"/>
          <w:color w:val="auto"/>
        </w:rPr>
        <w:t>”) list or any state environmental agency list of sites under consideration for CERCLIS, nor subject to any environmental related Liens.</w:t>
      </w:r>
    </w:p>
    <w:p>
      <w:pPr>
        <w:spacing w:after="0" w:line="153" w:lineRule="exact"/>
        <w:rPr>
          <w:rFonts w:ascii="Times New Roman" w:cs="Times New Roman" w:eastAsia="Times New Roman" w:hAnsi="Times New Roman"/>
          <w:sz w:val="16"/>
          <w:szCs w:val="16"/>
          <w:color w:val="auto"/>
        </w:rPr>
      </w:pPr>
    </w:p>
    <w:p>
      <w:pPr>
        <w:jc w:val="both"/>
        <w:ind w:left="600" w:firstLine="584"/>
        <w:spacing w:after="0" w:line="277" w:lineRule="auto"/>
        <w:tabs>
          <w:tab w:leader="none" w:pos="1481"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its Subsidiaries is subject to any pending or, to the knowledge of the Company and its Subsidiaries, threatened claim or proceeding to any Environmental Laws, except for any claims or proceeding that would not reasonably be expected to have, individually or in the aggregate, a Material Adverse Effect.</w:t>
      </w:r>
    </w:p>
    <w:p>
      <w:pPr>
        <w:spacing w:after="0" w:line="153" w:lineRule="exact"/>
        <w:rPr>
          <w:sz w:val="20"/>
          <w:szCs w:val="20"/>
          <w:color w:val="auto"/>
        </w:rPr>
      </w:pPr>
    </w:p>
    <w:p>
      <w:pPr>
        <w:jc w:val="both"/>
        <w:ind w:firstLine="592"/>
        <w:spacing w:after="0" w:line="263" w:lineRule="auto"/>
        <w:tabs>
          <w:tab w:leader="none" w:pos="8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Status</w:t>
      </w:r>
      <w:r>
        <w:rPr>
          <w:rFonts w:ascii="Times New Roman" w:cs="Times New Roman" w:eastAsia="Times New Roman" w:hAnsi="Times New Roman"/>
          <w:sz w:val="16"/>
          <w:szCs w:val="16"/>
          <w:color w:val="auto"/>
        </w:rPr>
        <w:t>. Except as set forth on Schedule 3(aa), the Company and each of its Subsidiaries (i) has timely made or filed all foreign, federal and state income and all other tax returns, reports and declarations required by any jurisdiction to which it is subject through the date of this Agreement or have requested extensions thereof (except where the failure to file would not, individually or in the aggregate, have a Material Adverse Effect) and (ii) has timely paid all taxes and other governmental assessments and charges shown or determined to be due on such returns, reports and declarations, except those being contested in good faith and for which reserves required by GAAP have been created in the financial statements of the Company or for cases in which the failure to pay would not have a Material Adverse Effect. There is no tax deficiency that has been determined adversely to the Company or any of its Subsidiaries which has had a Material Adverse Effect, nor does the Company or its Subsidiaries have any knowledge or notice of any tax deficiency which could reasonably be expected to be determined adversely to the Company or its Subsidiaries and which could reasonably be expected to have a Material Adverse Effect.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2" w:name="page83"/>
    <w:bookmarkEnd w:id="82"/>
    <w:p>
      <w:pPr>
        <w:jc w:val="both"/>
        <w:ind w:firstLine="592"/>
        <w:spacing w:after="0" w:line="260" w:lineRule="auto"/>
        <w:tabs>
          <w:tab w:leader="none" w:pos="90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Internal Accounting and Disclosure Controls</w:t>
      </w:r>
      <w:r>
        <w:rPr>
          <w:rFonts w:ascii="Times New Roman" w:cs="Times New Roman" w:eastAsia="Times New Roman" w:hAnsi="Times New Roman"/>
          <w:sz w:val="16"/>
          <w:szCs w:val="16"/>
          <w:color w:val="auto"/>
        </w:rPr>
        <w:t>. Except as set forth on Schedule 3(bb),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GAAP,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set forth on Schedule 3(bb),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Except as set forth on Schedule 3(bb), since the filing of the Annual Report on Form 10-K for the year ended December 31, 2019,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73" w:lineRule="exact"/>
        <w:rPr>
          <w:rFonts w:ascii="Times New Roman" w:cs="Times New Roman" w:eastAsia="Times New Roman" w:hAnsi="Times New Roman"/>
          <w:sz w:val="16"/>
          <w:szCs w:val="16"/>
          <w:color w:val="auto"/>
        </w:rPr>
      </w:pPr>
    </w:p>
    <w:p>
      <w:pPr>
        <w:jc w:val="both"/>
        <w:ind w:firstLine="592"/>
        <w:spacing w:after="0" w:line="277" w:lineRule="auto"/>
        <w:tabs>
          <w:tab w:leader="none" w:pos="91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 Balance Sheet Arrangements</w:t>
      </w:r>
      <w:r>
        <w:rPr>
          <w:rFonts w:ascii="Times New Roman" w:cs="Times New Roman" w:eastAsia="Times New Roman" w:hAnsi="Times New Roman"/>
          <w:sz w:val="16"/>
          <w:szCs w:val="16"/>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53" w:lineRule="exact"/>
        <w:rPr>
          <w:rFonts w:ascii="Times New Roman" w:cs="Times New Roman" w:eastAsia="Times New Roman" w:hAnsi="Times New Roman"/>
          <w:sz w:val="16"/>
          <w:szCs w:val="16"/>
          <w:color w:val="auto"/>
        </w:rPr>
      </w:pPr>
    </w:p>
    <w:p>
      <w:pPr>
        <w:ind w:firstLine="592"/>
        <w:spacing w:after="0" w:line="297" w:lineRule="auto"/>
        <w:tabs>
          <w:tab w:leader="none" w:pos="90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 Company Status</w:t>
      </w:r>
      <w:r>
        <w:rPr>
          <w:rFonts w:ascii="Times New Roman" w:cs="Times New Roman" w:eastAsia="Times New Roman" w:hAnsi="Times New Roman"/>
          <w:sz w:val="16"/>
          <w:szCs w:val="16"/>
          <w:color w:val="auto"/>
        </w:rPr>
        <w:t>. The Company is not an “investment company,” or a company controlled by an “investment company” as such term is defined in the Investment Company Act of 1940, as amended.</w:t>
      </w:r>
    </w:p>
    <w:p>
      <w:pPr>
        <w:spacing w:after="0" w:line="137" w:lineRule="exact"/>
        <w:rPr>
          <w:rFonts w:ascii="Times New Roman" w:cs="Times New Roman" w:eastAsia="Times New Roman" w:hAnsi="Times New Roman"/>
          <w:sz w:val="16"/>
          <w:szCs w:val="16"/>
          <w:color w:val="auto"/>
        </w:rPr>
      </w:pPr>
    </w:p>
    <w:p>
      <w:pPr>
        <w:jc w:val="both"/>
        <w:ind w:firstLine="592"/>
        <w:spacing w:after="0" w:line="260" w:lineRule="auto"/>
        <w:tabs>
          <w:tab w:leader="none" w:pos="89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 Regarding Holders’ Trading Activity</w:t>
      </w:r>
      <w:r>
        <w:rPr>
          <w:rFonts w:ascii="Times New Roman" w:cs="Times New Roman" w:eastAsia="Times New Roman" w:hAnsi="Times New Roman"/>
          <w:sz w:val="16"/>
          <w:szCs w:val="16"/>
          <w:color w:val="auto"/>
        </w:rPr>
        <w:t>. It is understood and acknowledged by the Company that (i) following the public disclosure of the transactions contemplated by the Transaction Documents in the Press Release (as defined below), none of the Holders have been asked by the Company or any of its Subsidiaries to agree, nor has any Holder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Holder, and counterparties in “derivative” transactions to which any such Holder is a party, directly or indirectly, presently may have a “short” position in the Common Stock which was established prior to such Holder’s knowledge of the transactions contemplated by the Transaction Documents; (iii) each Holder shall not be deemed to have any affiliation with or control over any arm’s length counterparty in any “derivative” transaction; and (iv) each Holder may rely on the Company’s obligation to timely deliver shares of Common Stock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one or more Holders may engage in hedging and/or trading activities (including, without limitation, the location and/or reservation of borrowable shares of Common Stock) at various times prior to or during the period that the Securities are outstanding, including, without limitation, during the periods that the value and/or number of the Note Exchange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Exchange Notes or any other Transaction Document or any of the documents executed in connection herewith or therewith.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3" w:name="page84"/>
    <w:bookmarkEnd w:id="83"/>
    <w:p>
      <w:pPr>
        <w:jc w:val="both"/>
        <w:ind w:left="1" w:firstLine="592"/>
        <w:spacing w:after="0" w:line="265" w:lineRule="auto"/>
        <w:tabs>
          <w:tab w:leader="none" w:pos="864"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Manipulation of Price</w:t>
      </w:r>
      <w:r>
        <w:rPr>
          <w:rFonts w:ascii="Times New Roman" w:cs="Times New Roman" w:eastAsia="Times New Roman" w:hAnsi="Times New Roman"/>
          <w:sz w:val="16"/>
          <w:szCs w:val="16"/>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w:t>
      </w:r>
    </w:p>
    <w:p>
      <w:pPr>
        <w:ind w:left="1" w:hanging="1"/>
        <w:spacing w:after="0" w:line="275" w:lineRule="auto"/>
        <w:tabs>
          <w:tab w:leader="none" w:pos="293"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54" w:lineRule="exact"/>
        <w:rPr>
          <w:rFonts w:ascii="Times New Roman" w:cs="Times New Roman" w:eastAsia="Times New Roman" w:hAnsi="Times New Roman"/>
          <w:sz w:val="16"/>
          <w:szCs w:val="16"/>
          <w:color w:val="auto"/>
        </w:rPr>
      </w:pPr>
    </w:p>
    <w:p>
      <w:pPr>
        <w:jc w:val="both"/>
        <w:ind w:left="1" w:firstLine="592"/>
        <w:spacing w:after="0" w:line="277" w:lineRule="auto"/>
        <w:tabs>
          <w:tab w:leader="none" w:pos="90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 Real Property Holding Corporation</w:t>
      </w:r>
      <w:r>
        <w:rPr>
          <w:rFonts w:ascii="Times New Roman" w:cs="Times New Roman" w:eastAsia="Times New Roman" w:hAnsi="Times New Roman"/>
          <w:sz w:val="16"/>
          <w:szCs w:val="16"/>
          <w:color w:val="auto"/>
        </w:rPr>
        <w:t>. Neither the Company nor any of its Subsidiaries is, or has ever been, and so long as any of the Securities are held by any of the Holders, shall become, a U.S. real property holding corporation within the meaning of Section 897 of the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and the Company and each Subsidiary shall so certify upon any Holder’s request.</w:t>
      </w:r>
    </w:p>
    <w:p>
      <w:pPr>
        <w:spacing w:after="0" w:line="153" w:lineRule="exact"/>
        <w:rPr>
          <w:rFonts w:ascii="Times New Roman" w:cs="Times New Roman" w:eastAsia="Times New Roman" w:hAnsi="Times New Roman"/>
          <w:sz w:val="16"/>
          <w:szCs w:val="16"/>
          <w:color w:val="auto"/>
        </w:rPr>
      </w:pPr>
    </w:p>
    <w:p>
      <w:pPr>
        <w:jc w:val="both"/>
        <w:ind w:left="1" w:firstLine="592"/>
        <w:spacing w:after="0" w:line="265" w:lineRule="auto"/>
        <w:tabs>
          <w:tab w:leader="none" w:pos="90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 All stock transfer or other taxes (other than income or similar taxes) which are required to be paid in connection with the issuance, delivery, exercise and transfer of the Securities to be acquired by each Holder hereunder will be, or will have been, fully paid or provided for by the Company, and all laws imposing such taxes will be or will have been complied with; provided that the Company shall not be required to pay any tax that may be payable in respect of any transfer involved in the issuance and delivery of any Exchange Note Shares pursuant to the Exchange Notes, in a name other than that of the Holder of such Exchange Notes, and the Company shall not be required to issue or deliver such Exchange Note Shares unless or until the Person or Persons requesting the issuance thereof shall have paid to the Company the amount of such tax or shall have established to the satisfaction of the Company that such tax has been paid.</w:t>
      </w:r>
    </w:p>
    <w:p>
      <w:pPr>
        <w:spacing w:after="0" w:line="164" w:lineRule="exact"/>
        <w:rPr>
          <w:rFonts w:ascii="Times New Roman" w:cs="Times New Roman" w:eastAsia="Times New Roman" w:hAnsi="Times New Roman"/>
          <w:sz w:val="16"/>
          <w:szCs w:val="16"/>
          <w:color w:val="auto"/>
        </w:rPr>
      </w:pPr>
    </w:p>
    <w:p>
      <w:pPr>
        <w:jc w:val="both"/>
        <w:ind w:left="1" w:firstLine="592"/>
        <w:spacing w:after="0" w:line="267" w:lineRule="auto"/>
        <w:tabs>
          <w:tab w:leader="none" w:pos="848"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Bank Holding Company Act</w:t>
      </w:r>
      <w:r>
        <w:rPr>
          <w:rFonts w:ascii="Times New Roman" w:cs="Times New Roman" w:eastAsia="Times New Roman" w:hAnsi="Times New Roman"/>
          <w:sz w:val="16"/>
          <w:szCs w:val="16"/>
          <w:color w:val="auto"/>
        </w:rPr>
        <w:t>. Neither the Company nor any of its Subsidiaries is subject to the Bank Holding Company Act of 1956, as amended (the “</w:t>
      </w:r>
      <w:r>
        <w:rPr>
          <w:rFonts w:ascii="Times New Roman" w:cs="Times New Roman" w:eastAsia="Times New Roman" w:hAnsi="Times New Roman"/>
          <w:sz w:val="16"/>
          <w:szCs w:val="16"/>
          <w:b w:val="1"/>
          <w:bCs w:val="1"/>
          <w:color w:val="auto"/>
        </w:rPr>
        <w:t>BHCA</w:t>
      </w:r>
      <w:r>
        <w:rPr>
          <w:rFonts w:ascii="Times New Roman" w:cs="Times New Roman" w:eastAsia="Times New Roman" w:hAnsi="Times New Roman"/>
          <w:sz w:val="16"/>
          <w:szCs w:val="16"/>
          <w:color w:val="auto"/>
        </w:rPr>
        <w:t>”) and to regulation by the Board of Governors of the Federal Reserve System (the “</w:t>
      </w:r>
      <w:r>
        <w:rPr>
          <w:rFonts w:ascii="Times New Roman" w:cs="Times New Roman" w:eastAsia="Times New Roman" w:hAnsi="Times New Roman"/>
          <w:sz w:val="16"/>
          <w:szCs w:val="16"/>
          <w:b w:val="1"/>
          <w:bCs w:val="1"/>
          <w:color w:val="auto"/>
        </w:rPr>
        <w:t>Federal Reserve</w:t>
      </w:r>
      <w:r>
        <w:rPr>
          <w:rFonts w:ascii="Times New Roman" w:cs="Times New Roman" w:eastAsia="Times New Roman" w:hAnsi="Times New Roman"/>
          <w:sz w:val="16"/>
          <w:szCs w:val="16"/>
          <w:color w:val="auto"/>
        </w:rPr>
        <w:t>”). Neither the Company nor any of its Subsidiaries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exercises a controlling influence over the management or policies of a bank or any entity that is subject to the BHCA and to regulation by the Federal Reserve.</w:t>
      </w:r>
    </w:p>
    <w:p>
      <w:pPr>
        <w:spacing w:after="0" w:line="162" w:lineRule="exact"/>
        <w:rPr>
          <w:rFonts w:ascii="Times New Roman" w:cs="Times New Roman" w:eastAsia="Times New Roman" w:hAnsi="Times New Roman"/>
          <w:sz w:val="16"/>
          <w:szCs w:val="16"/>
          <w:color w:val="auto"/>
        </w:rPr>
      </w:pPr>
    </w:p>
    <w:p>
      <w:pPr>
        <w:ind w:left="841" w:hanging="248"/>
        <w:spacing w:after="0"/>
        <w:tabs>
          <w:tab w:leader="none" w:pos="84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Shell Company Status</w:t>
      </w:r>
      <w:r>
        <w:rPr>
          <w:rFonts w:ascii="Times New Roman" w:cs="Times New Roman" w:eastAsia="Times New Roman" w:hAnsi="Times New Roman"/>
          <w:sz w:val="16"/>
          <w:szCs w:val="16"/>
          <w:color w:val="auto"/>
        </w:rPr>
        <w:t>. The Company is not, and has never been, an issuer identified in, or subject to, Rule 144(i).</w:t>
      </w:r>
    </w:p>
    <w:p>
      <w:pPr>
        <w:spacing w:after="0" w:line="211" w:lineRule="exact"/>
        <w:rPr>
          <w:rFonts w:ascii="Times New Roman" w:cs="Times New Roman" w:eastAsia="Times New Roman" w:hAnsi="Times New Roman"/>
          <w:sz w:val="16"/>
          <w:szCs w:val="16"/>
          <w:color w:val="auto"/>
        </w:rPr>
      </w:pPr>
    </w:p>
    <w:p>
      <w:pPr>
        <w:jc w:val="both"/>
        <w:ind w:left="1" w:firstLine="592"/>
        <w:spacing w:after="0" w:line="266" w:lineRule="auto"/>
        <w:tabs>
          <w:tab w:leader="none" w:pos="922"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Illegal or Unauthorized Payments; Political Contributions</w:t>
      </w:r>
      <w:r>
        <w:rPr>
          <w:rFonts w:ascii="Times New Roman" w:cs="Times New Roman" w:eastAsia="Times New Roman" w:hAnsi="Times New Roman"/>
          <w:sz w:val="16"/>
          <w:szCs w:val="16"/>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affiliates,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to influence official action or secure an improper advantage, except for personal political contributions not involving the direct or indirect use of funds of the Company or any of its Subsidiaries.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84" w:name="page85"/>
    <w:bookmarkEnd w:id="84"/>
    <w:p>
      <w:pPr>
        <w:ind w:firstLine="592"/>
        <w:spacing w:after="0" w:line="297" w:lineRule="auto"/>
        <w:tabs>
          <w:tab w:leader="none" w:pos="847"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Money Laundering</w:t>
      </w:r>
      <w:r>
        <w:rPr>
          <w:rFonts w:ascii="Times New Roman" w:cs="Times New Roman" w:eastAsia="Times New Roman" w:hAnsi="Times New Roman"/>
          <w:sz w:val="16"/>
          <w:szCs w:val="16"/>
          <w:color w:val="auto"/>
        </w:rPr>
        <w:t>. The operations of the Company and its Subsidiaries are and have been conducted at all times in material compliance with the USA Patriot Act of 2001 and all other applicable U.S. and non-U.S. anti-money laundering laws and regulations.</w:t>
      </w:r>
    </w:p>
    <w:p>
      <w:pPr>
        <w:spacing w:after="0" w:line="137" w:lineRule="exact"/>
        <w:rPr>
          <w:rFonts w:ascii="Times New Roman" w:cs="Times New Roman" w:eastAsia="Times New Roman" w:hAnsi="Times New Roman"/>
          <w:sz w:val="16"/>
          <w:szCs w:val="16"/>
          <w:color w:val="auto"/>
        </w:rPr>
      </w:pPr>
    </w:p>
    <w:p>
      <w:pPr>
        <w:jc w:val="both"/>
        <w:ind w:firstLine="592"/>
        <w:spacing w:after="0" w:line="267" w:lineRule="auto"/>
        <w:tabs>
          <w:tab w:leader="none" w:pos="10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None of the Company, any of its Subsidiaries or any director, officer, employee or, to the knowledge of the Company and its Subsidiaries, agent or other person acting for or on behalf of the foregoing is the subject or target of any economic or financial sanctions imposed, administered or enforced by the United States (including the U.S. Department of the Treasury Office of Foreign Assets Control and the U.S. Department of State) or other relevant sanctions authority (collectively, “</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 and each such Person, a “</w:t>
      </w:r>
      <w:r>
        <w:rPr>
          <w:rFonts w:ascii="Times New Roman" w:cs="Times New Roman" w:eastAsia="Times New Roman" w:hAnsi="Times New Roman"/>
          <w:sz w:val="16"/>
          <w:szCs w:val="16"/>
          <w:b w:val="1"/>
          <w:bCs w:val="1"/>
          <w:color w:val="auto"/>
        </w:rPr>
        <w:t>Sanctioned Person</w:t>
      </w:r>
      <w:r>
        <w:rPr>
          <w:rFonts w:ascii="Times New Roman" w:cs="Times New Roman" w:eastAsia="Times New Roman" w:hAnsi="Times New Roman"/>
          <w:sz w:val="16"/>
          <w:szCs w:val="16"/>
          <w:color w:val="auto"/>
        </w:rPr>
        <w:t>”). The operations of the Company and its Subsidiaries are, and have been conducted within the past five (5) years, in compliance with applicable Sanctions.</w:t>
      </w:r>
    </w:p>
    <w:p>
      <w:pPr>
        <w:spacing w:after="0" w:line="162" w:lineRule="exact"/>
        <w:rPr>
          <w:rFonts w:ascii="Times New Roman" w:cs="Times New Roman" w:eastAsia="Times New Roman" w:hAnsi="Times New Roman"/>
          <w:sz w:val="16"/>
          <w:szCs w:val="16"/>
          <w:color w:val="auto"/>
        </w:rPr>
      </w:pPr>
    </w:p>
    <w:p>
      <w:pPr>
        <w:ind w:left="900" w:hanging="308"/>
        <w:spacing w:after="0"/>
        <w:tabs>
          <w:tab w:leader="none" w:pos="9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Management</w:t>
      </w:r>
      <w:r>
        <w:rPr>
          <w:rFonts w:ascii="Times New Roman" w:cs="Times New Roman" w:eastAsia="Times New Roman" w:hAnsi="Times New Roman"/>
          <w:sz w:val="16"/>
          <w:szCs w:val="16"/>
          <w:color w:val="auto"/>
        </w:rPr>
        <w:t>. During the past one year period, no current or former officer or director, to the knowledge of the Company, has been the subject of:</w:t>
      </w:r>
    </w:p>
    <w:p>
      <w:pPr>
        <w:spacing w:after="0" w:line="211" w:lineRule="exact"/>
        <w:rPr>
          <w:rFonts w:ascii="Times New Roman" w:cs="Times New Roman" w:eastAsia="Times New Roman" w:hAnsi="Times New Roman"/>
          <w:sz w:val="16"/>
          <w:szCs w:val="16"/>
          <w:color w:val="auto"/>
        </w:rPr>
      </w:pPr>
    </w:p>
    <w:p>
      <w:pPr>
        <w:jc w:val="both"/>
        <w:ind w:left="600" w:firstLine="584"/>
        <w:spacing w:after="0" w:line="271" w:lineRule="auto"/>
        <w:tabs>
          <w:tab w:leader="none" w:pos="139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56" w:lineRule="exact"/>
        <w:rPr>
          <w:rFonts w:ascii="Times New Roman" w:cs="Times New Roman" w:eastAsia="Times New Roman" w:hAnsi="Times New Roman"/>
          <w:sz w:val="16"/>
          <w:szCs w:val="16"/>
          <w:color w:val="auto"/>
        </w:rPr>
      </w:pPr>
    </w:p>
    <w:p>
      <w:pPr>
        <w:ind w:left="600" w:firstLine="584"/>
        <w:spacing w:after="0" w:line="297" w:lineRule="auto"/>
        <w:tabs>
          <w:tab w:leader="none" w:pos="1441"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conviction in a criminal proceeding or a named subject of a pending criminal proceeding (excluding traffic violations that do not relate to driving while intoxicated or driving under the influence);</w:t>
      </w:r>
    </w:p>
    <w:p>
      <w:pPr>
        <w:spacing w:after="0" w:line="137" w:lineRule="exact"/>
        <w:rPr>
          <w:rFonts w:ascii="Times New Roman" w:cs="Times New Roman" w:eastAsia="Times New Roman" w:hAnsi="Times New Roman"/>
          <w:sz w:val="16"/>
          <w:szCs w:val="16"/>
          <w:color w:val="auto"/>
        </w:rPr>
      </w:pPr>
    </w:p>
    <w:p>
      <w:pPr>
        <w:ind w:left="600" w:firstLine="584"/>
        <w:spacing w:after="0" w:line="297" w:lineRule="auto"/>
        <w:tabs>
          <w:tab w:leader="none" w:pos="148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37" w:lineRule="exact"/>
        <w:rPr>
          <w:rFonts w:ascii="Times New Roman" w:cs="Times New Roman" w:eastAsia="Times New Roman" w:hAnsi="Times New Roman"/>
          <w:sz w:val="16"/>
          <w:szCs w:val="16"/>
          <w:color w:val="auto"/>
        </w:rPr>
      </w:pPr>
    </w:p>
    <w:p>
      <w:pPr>
        <w:jc w:val="both"/>
        <w:ind w:left="1180" w:firstLine="1190"/>
        <w:spacing w:after="0" w:line="269" w:lineRule="auto"/>
        <w:tabs>
          <w:tab w:leader="none" w:pos="2604" w:val="left"/>
        </w:tabs>
        <w:numPr>
          <w:ilvl w:val="2"/>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360" w:lineRule="exact"/>
        <w:rPr>
          <w:rFonts w:ascii="Times New Roman" w:cs="Times New Roman" w:eastAsia="Times New Roman" w:hAnsi="Times New Roman"/>
          <w:sz w:val="16"/>
          <w:szCs w:val="16"/>
          <w:color w:val="auto"/>
        </w:rPr>
      </w:pPr>
    </w:p>
    <w:p>
      <w:pPr>
        <w:ind w:left="2600" w:hanging="230"/>
        <w:spacing w:after="0"/>
        <w:tabs>
          <w:tab w:leader="none" w:pos="2600" w:val="left"/>
        </w:tabs>
        <w:numPr>
          <w:ilvl w:val="2"/>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any particular type of business practice; or</w:t>
      </w:r>
    </w:p>
    <w:p>
      <w:pPr>
        <w:spacing w:after="0" w:line="211" w:lineRule="exact"/>
        <w:rPr>
          <w:rFonts w:ascii="Times New Roman" w:cs="Times New Roman" w:eastAsia="Times New Roman" w:hAnsi="Times New Roman"/>
          <w:sz w:val="16"/>
          <w:szCs w:val="16"/>
          <w:color w:val="auto"/>
        </w:rPr>
      </w:pPr>
    </w:p>
    <w:p>
      <w:pPr>
        <w:ind w:left="1180" w:firstLine="1190"/>
        <w:spacing w:after="0" w:line="297" w:lineRule="auto"/>
        <w:tabs>
          <w:tab w:leader="none" w:pos="2602" w:val="left"/>
        </w:tabs>
        <w:numPr>
          <w:ilvl w:val="2"/>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any activity in connection with the purchase or sale of any security or commodity or in connection with any violation of securities laws or commodities laws;</w:t>
      </w:r>
    </w:p>
    <w:p>
      <w:pPr>
        <w:spacing w:after="0" w:line="137" w:lineRule="exact"/>
        <w:rPr>
          <w:rFonts w:ascii="Times New Roman" w:cs="Times New Roman" w:eastAsia="Times New Roman" w:hAnsi="Times New Roman"/>
          <w:sz w:val="16"/>
          <w:szCs w:val="16"/>
          <w:color w:val="auto"/>
        </w:rPr>
      </w:pPr>
    </w:p>
    <w:p>
      <w:pPr>
        <w:jc w:val="both"/>
        <w:ind w:left="600" w:firstLine="584"/>
        <w:spacing w:after="0" w:line="277" w:lineRule="auto"/>
        <w:tabs>
          <w:tab w:leader="none" w:pos="147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5" w:name="page86"/>
    <w:bookmarkEnd w:id="85"/>
    <w:p>
      <w:pPr>
        <w:ind w:left="600" w:firstLine="584"/>
        <w:spacing w:after="0" w:line="297" w:lineRule="auto"/>
        <w:tabs>
          <w:tab w:leader="none" w:pos="144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37" w:lineRule="exact"/>
        <w:rPr>
          <w:rFonts w:ascii="Times New Roman" w:cs="Times New Roman" w:eastAsia="Times New Roman" w:hAnsi="Times New Roman"/>
          <w:sz w:val="16"/>
          <w:szCs w:val="16"/>
          <w:color w:val="auto"/>
        </w:rPr>
      </w:pPr>
    </w:p>
    <w:p>
      <w:pPr>
        <w:ind w:left="600" w:firstLine="584"/>
        <w:spacing w:after="0" w:line="297" w:lineRule="auto"/>
        <w:tabs>
          <w:tab w:leader="none" w:pos="149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37" w:lineRule="exact"/>
        <w:rPr>
          <w:rFonts w:ascii="Times New Roman" w:cs="Times New Roman" w:eastAsia="Times New Roman" w:hAnsi="Times New Roman"/>
          <w:sz w:val="16"/>
          <w:szCs w:val="16"/>
          <w:color w:val="auto"/>
        </w:rPr>
      </w:pPr>
    </w:p>
    <w:p>
      <w:pPr>
        <w:jc w:val="both"/>
        <w:ind w:firstLine="592"/>
        <w:spacing w:after="0" w:line="266" w:lineRule="auto"/>
        <w:tabs>
          <w:tab w:leader="none" w:pos="9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Option Plans</w:t>
      </w:r>
      <w:r>
        <w:rPr>
          <w:rFonts w:ascii="Times New Roman" w:cs="Times New Roman" w:eastAsia="Times New Roman" w:hAnsi="Times New Roman"/>
          <w:sz w:val="16"/>
          <w:szCs w:val="16"/>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To the Company’s knowledge,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363" w:lineRule="exact"/>
        <w:rPr>
          <w:rFonts w:ascii="Times New Roman" w:cs="Times New Roman" w:eastAsia="Times New Roman" w:hAnsi="Times New Roman"/>
          <w:sz w:val="16"/>
          <w:szCs w:val="16"/>
          <w:color w:val="auto"/>
        </w:rPr>
      </w:pPr>
    </w:p>
    <w:p>
      <w:pPr>
        <w:jc w:val="both"/>
        <w:ind w:firstLine="592"/>
        <w:spacing w:after="0" w:line="260" w:lineRule="auto"/>
        <w:tabs>
          <w:tab w:leader="none" w:pos="90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Cybersecurity</w:t>
      </w:r>
      <w:r>
        <w:rPr>
          <w:rFonts w:ascii="Times New Roman" w:cs="Times New Roman" w:eastAsia="Times New Roman" w:hAnsi="Times New Roman"/>
          <w:sz w:val="16"/>
          <w:szCs w:val="16"/>
          <w:color w:val="auto"/>
        </w:rPr>
        <w:t>. The information technology assets and equipment, computers, systems, networks, hardware, software, websites, applications, and databases used or owned by, or leased or licensed to, the Company or any of its Subsidiaries (collectively, “</w:t>
      </w:r>
      <w:r>
        <w:rPr>
          <w:rFonts w:ascii="Times New Roman" w:cs="Times New Roman" w:eastAsia="Times New Roman" w:hAnsi="Times New Roman"/>
          <w:sz w:val="16"/>
          <w:szCs w:val="16"/>
          <w:b w:val="1"/>
          <w:bCs w:val="1"/>
          <w:color w:val="auto"/>
        </w:rPr>
        <w:t>IT Systems</w:t>
      </w:r>
      <w:r>
        <w:rPr>
          <w:rFonts w:ascii="Times New Roman" w:cs="Times New Roman" w:eastAsia="Times New Roman" w:hAnsi="Times New Roman"/>
          <w:sz w:val="16"/>
          <w:szCs w:val="16"/>
          <w:color w:val="auto"/>
        </w:rPr>
        <w:t>”) are adequate for, and operate and perform in all material respects as required in connection with the operation of the business of the Company and its Subsidiaries as currently conducted, to the Company’s knowledge,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6"/>
          <w:szCs w:val="16"/>
          <w:b w:val="1"/>
          <w:bCs w:val="1"/>
          <w:color w:val="auto"/>
        </w:rPr>
        <w:t>Personal Data</w:t>
      </w:r>
      <w:r>
        <w:rPr>
          <w:rFonts w:ascii="Times New Roman" w:cs="Times New Roman" w:eastAsia="Times New Roman" w:hAnsi="Times New Roman"/>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6"/>
          <w:szCs w:val="16"/>
          <w:b w:val="1"/>
          <w:bCs w:val="1"/>
          <w:color w:val="auto"/>
        </w:rPr>
        <w:t>HIPAA”</w:t>
      </w:r>
      <w:r>
        <w:rPr>
          <w:rFonts w:ascii="Times New Roman" w:cs="Times New Roman" w:eastAsia="Times New Roman" w:hAnsi="Times New Roman"/>
          <w:sz w:val="16"/>
          <w:szCs w:val="16"/>
          <w:color w:val="auto"/>
        </w:rPr>
        <w:t>); and (iv)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367" w:lineRule="exact"/>
        <w:rPr>
          <w:rFonts w:ascii="Times New Roman" w:cs="Times New Roman" w:eastAsia="Times New Roman" w:hAnsi="Times New Roman"/>
          <w:sz w:val="16"/>
          <w:szCs w:val="16"/>
          <w:color w:val="auto"/>
        </w:rPr>
      </w:pPr>
    </w:p>
    <w:p>
      <w:pPr>
        <w:jc w:val="both"/>
        <w:ind w:firstLine="592"/>
        <w:spacing w:after="0" w:line="261" w:lineRule="auto"/>
        <w:tabs>
          <w:tab w:leader="none" w:pos="90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Data Privacy Laws</w:t>
      </w:r>
      <w:r>
        <w:rPr>
          <w:rFonts w:ascii="Times New Roman" w:cs="Times New Roman" w:eastAsia="Times New Roman" w:hAnsi="Times New Roman"/>
          <w:sz w:val="16"/>
          <w:szCs w:val="16"/>
          <w:color w:val="auto"/>
        </w:rPr>
        <w:t>. The Company and its Subsidiaries are, and at all prior times were, in material compliance with all applicable state and federal data privacy and security laws and regulations, including without limitation HIPAA (collectively, the “</w:t>
      </w:r>
      <w:r>
        <w:rPr>
          <w:rFonts w:ascii="Times New Roman" w:cs="Times New Roman" w:eastAsia="Times New Roman" w:hAnsi="Times New Roman"/>
          <w:sz w:val="16"/>
          <w:szCs w:val="16"/>
          <w:b w:val="1"/>
          <w:bCs w:val="1"/>
          <w:color w:val="auto"/>
        </w:rPr>
        <w:t>Privacy Laws</w:t>
      </w:r>
      <w:r>
        <w:rPr>
          <w:rFonts w:ascii="Times New Roman" w:cs="Times New Roman" w:eastAsia="Times New Roman" w:hAnsi="Times New Roman"/>
          <w:sz w:val="16"/>
          <w:szCs w:val="16"/>
          <w:color w:val="auto"/>
        </w:rPr>
        <w:t>”) and, to the Company’s knowledge, the Company and its Subsidiaries are not subject to any material requirements of the European Union General Data Protection Regulation (EU 2016/679).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6"/>
          <w:szCs w:val="16"/>
          <w:b w:val="1"/>
          <w:bCs w:val="1"/>
          <w:color w:val="auto"/>
        </w:rPr>
        <w:t>Policies</w:t>
      </w:r>
      <w:r>
        <w:rPr>
          <w:rFonts w:ascii="Times New Roman" w:cs="Times New Roman" w:eastAsia="Times New Roman" w:hAnsi="Times New Roman"/>
          <w:sz w:val="16"/>
          <w:szCs w:val="16"/>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Neither the Company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6" w:name="page87"/>
    <w:bookmarkEnd w:id="86"/>
    <w:p>
      <w:pPr>
        <w:ind w:left="1" w:firstLine="592"/>
        <w:spacing w:after="0" w:line="297" w:lineRule="auto"/>
        <w:tabs>
          <w:tab w:leader="none" w:pos="867"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Inducements.</w:t>
      </w:r>
      <w:r>
        <w:rPr>
          <w:rFonts w:ascii="Times New Roman" w:cs="Times New Roman" w:eastAsia="Times New Roman" w:hAnsi="Times New Roman"/>
          <w:sz w:val="16"/>
          <w:szCs w:val="16"/>
          <w:color w:val="auto"/>
        </w:rPr>
        <w:t xml:space="preserve"> Except as set forth in this Agreement, the Company has not directly or indirectly, offered any Holder or any affiliate thereof any inducement to enter into this Agreement or to exchange any Holder’s Prior Notes for Exchange Notes.</w:t>
      </w:r>
    </w:p>
    <w:p>
      <w:pPr>
        <w:spacing w:after="0" w:line="137" w:lineRule="exact"/>
        <w:rPr>
          <w:rFonts w:ascii="Times New Roman" w:cs="Times New Roman" w:eastAsia="Times New Roman" w:hAnsi="Times New Roman"/>
          <w:sz w:val="16"/>
          <w:szCs w:val="16"/>
          <w:color w:val="auto"/>
        </w:rPr>
      </w:pPr>
    </w:p>
    <w:p>
      <w:pPr>
        <w:jc w:val="both"/>
        <w:ind w:left="1" w:firstLine="592"/>
        <w:spacing w:after="0" w:line="260" w:lineRule="auto"/>
        <w:tabs>
          <w:tab w:leader="none" w:pos="873"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The Company confirms that neither it nor any other Person acting on its behalf has provided any of the Holders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Holders have relied on and will rely on the foregoing representations in effecting transactions in securities of the Company. All disclosure provided in this Agreement and the other Transaction Documents to the Holders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Holder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The Company acknowledges and agrees that no Holder makes or has made any representations or warranties with respect to the transactions contemplated hereby other than those specifically set forth in Section 2. Except for the representations and warranties contained in this Section 3 (including the related portions of the disclosure schedules), neither the Company nor any other Person has made or makes any other express or implied representation or warranty, either written or oral, on behalf of the Company or any Subsidiary of the Company.</w:t>
      </w:r>
    </w:p>
    <w:p>
      <w:pPr>
        <w:spacing w:after="0" w:line="173" w:lineRule="exact"/>
        <w:rPr>
          <w:rFonts w:ascii="Times New Roman" w:cs="Times New Roman" w:eastAsia="Times New Roman" w:hAnsi="Times New Roman"/>
          <w:sz w:val="16"/>
          <w:szCs w:val="16"/>
          <w:color w:val="auto"/>
        </w:rPr>
      </w:pPr>
    </w:p>
    <w:p>
      <w:pPr>
        <w:ind w:left="1" w:firstLine="592"/>
        <w:spacing w:after="0" w:line="297" w:lineRule="auto"/>
        <w:tabs>
          <w:tab w:leader="none" w:pos="836"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Additional Agreements</w:t>
      </w:r>
      <w:r>
        <w:rPr>
          <w:rFonts w:ascii="Times New Roman" w:cs="Times New Roman" w:eastAsia="Times New Roman" w:hAnsi="Times New Roman"/>
          <w:sz w:val="16"/>
          <w:szCs w:val="16"/>
          <w:color w:val="auto"/>
        </w:rPr>
        <w:t>. The Company does not have any agreement or understanding with any Holder with respect to the transactions contemplated by the Transaction Documents other than as specified in the Transaction Documents.</w:t>
      </w:r>
    </w:p>
    <w:p>
      <w:pPr>
        <w:spacing w:after="0" w:line="133"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COVENANTS.</w:t>
      </w:r>
    </w:p>
    <w:p>
      <w:pPr>
        <w:spacing w:after="0" w:line="215" w:lineRule="exact"/>
        <w:rPr>
          <w:rFonts w:ascii="Times New Roman" w:cs="Times New Roman" w:eastAsia="Times New Roman" w:hAnsi="Times New Roman"/>
          <w:sz w:val="16"/>
          <w:szCs w:val="16"/>
          <w:b w:val="1"/>
          <w:bCs w:val="1"/>
          <w:color w:val="auto"/>
        </w:rPr>
      </w:pPr>
    </w:p>
    <w:p>
      <w:pPr>
        <w:jc w:val="both"/>
        <w:ind w:left="1" w:firstLine="592"/>
        <w:spacing w:after="0" w:line="277" w:lineRule="auto"/>
        <w:tabs>
          <w:tab w:leader="none" w:pos="818"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Best Efforts</w:t>
      </w:r>
      <w:r>
        <w:rPr>
          <w:rFonts w:ascii="Times New Roman" w:cs="Times New Roman" w:eastAsia="Times New Roman" w:hAnsi="Times New Roman"/>
          <w:sz w:val="16"/>
          <w:szCs w:val="16"/>
          <w:color w:val="auto"/>
        </w:rPr>
        <w:t>. Each Holder shall use reasonable best efforts to timely satisfy each of the covenants hereunder and conditions to be satisfied by it as provided in Section 6 of this Agreement. The Company shall use reasonable best efforts to timely satisfy each of the covenants hereunder and conditions to be satisfied by it as provided in Section 7 of this Agreement.</w:t>
      </w:r>
    </w:p>
    <w:p>
      <w:pPr>
        <w:spacing w:after="0" w:line="153" w:lineRule="exact"/>
        <w:rPr>
          <w:rFonts w:ascii="Times New Roman" w:cs="Times New Roman" w:eastAsia="Times New Roman" w:hAnsi="Times New Roman"/>
          <w:sz w:val="16"/>
          <w:szCs w:val="16"/>
          <w:color w:val="auto"/>
        </w:rPr>
      </w:pPr>
    </w:p>
    <w:p>
      <w:pPr>
        <w:jc w:val="both"/>
        <w:ind w:left="1" w:firstLine="592"/>
        <w:spacing w:after="0" w:line="264" w:lineRule="auto"/>
        <w:tabs>
          <w:tab w:leader="none" w:pos="839"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Blue Sky</w:t>
      </w:r>
      <w:r>
        <w:rPr>
          <w:rFonts w:ascii="Times New Roman" w:cs="Times New Roman" w:eastAsia="Times New Roman" w:hAnsi="Times New Roman"/>
          <w:sz w:val="16"/>
          <w:szCs w:val="16"/>
          <w:color w:val="auto"/>
        </w:rPr>
        <w:t>. The Company shall, on or before the Initial Closing Date take such action as the Company shall reasonably determine is necessary in order to obtain an exemption for, or to, qualify the Securities to be acquired by the Holders at each Closing pursuant to this Agreement under applicable securities or “Blue Sky” laws of the states of the United States (or to obtain an exemption from such qualification), and shall provide evidence of any such action so taken to the Holders on or prior to each Closing Date. Without limiting any other obligation of the Company under this Agreement, the Company shall timely make all filings and reports relating to the issuance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issuance and exchange of the Securities to the Holders.</w:t>
      </w:r>
    </w:p>
    <w:p>
      <w:pPr>
        <w:spacing w:after="0" w:line="164" w:lineRule="exact"/>
        <w:rPr>
          <w:rFonts w:ascii="Times New Roman" w:cs="Times New Roman" w:eastAsia="Times New Roman" w:hAnsi="Times New Roman"/>
          <w:sz w:val="16"/>
          <w:szCs w:val="16"/>
          <w:color w:val="auto"/>
        </w:rPr>
      </w:pPr>
    </w:p>
    <w:p>
      <w:pPr>
        <w:jc w:val="both"/>
        <w:ind w:left="1" w:firstLine="592"/>
        <w:spacing w:after="0" w:line="267" w:lineRule="auto"/>
        <w:tabs>
          <w:tab w:leader="none" w:pos="842"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Reporting Status</w:t>
      </w:r>
      <w:r>
        <w:rPr>
          <w:rFonts w:ascii="Times New Roman" w:cs="Times New Roman" w:eastAsia="Times New Roman" w:hAnsi="Times New Roman"/>
          <w:sz w:val="16"/>
          <w:szCs w:val="16"/>
          <w:color w:val="auto"/>
        </w:rPr>
        <w:t>. Until the earlier of (i) the date upon which the Holders shall have sold all of the Securities and (ii) the one-year anniversary of the termination of any issued Exchange Notes (the “</w:t>
      </w:r>
      <w:r>
        <w:rPr>
          <w:rFonts w:ascii="Times New Roman" w:cs="Times New Roman" w:eastAsia="Times New Roman" w:hAnsi="Times New Roman"/>
          <w:sz w:val="16"/>
          <w:szCs w:val="16"/>
          <w:b w:val="1"/>
          <w:bCs w:val="1"/>
          <w:color w:val="auto"/>
        </w:rPr>
        <w:t>Reporting Period</w:t>
      </w:r>
      <w:r>
        <w:rPr>
          <w:rFonts w:ascii="Times New Roman" w:cs="Times New Roman" w:eastAsia="Times New Roman" w:hAnsi="Times New Roman"/>
          <w:sz w:val="16"/>
          <w:szCs w:val="16"/>
          <w:color w:val="auto"/>
        </w:rPr>
        <w:t>”), the Company shall timely file all reports required to be filed with the SEC pursuant to the 1934 Act (reports filed in compliance with the time period specified in Rule 12b-25 promulgated under the 1934 Act shall be considered timely for this purpose), and the Company shall not terminate its status as an issuer required to file reports under the 1934 Act even if the 1934 Act or the rules and regulations thereunder would no longer require or otherwise permit such termination.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87" w:name="page88"/>
    <w:bookmarkEnd w:id="87"/>
    <w:p>
      <w:pPr>
        <w:jc w:val="both"/>
        <w:ind w:firstLine="592"/>
        <w:spacing w:after="0" w:line="263" w:lineRule="auto"/>
        <w:tabs>
          <w:tab w:leader="none" w:pos="826"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Information</w:t>
      </w:r>
      <w:r>
        <w:rPr>
          <w:rFonts w:ascii="Times New Roman" w:cs="Times New Roman" w:eastAsia="Times New Roman" w:hAnsi="Times New Roman"/>
          <w:sz w:val="16"/>
          <w:szCs w:val="16"/>
          <w:color w:val="auto"/>
        </w:rPr>
        <w:t>. The Company agrees to send the following to each Holder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Form S-4) or amendments filed pursuant to the 1933 Act, (ii) unless the following are either filed with the SEC through EDGAR or are otherwise widely disseminated via a recognized news release service (such as PR Newswire), on the same day as the release thereof, facsimile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65" w:lineRule="exact"/>
        <w:rPr>
          <w:rFonts w:ascii="Times New Roman" w:cs="Times New Roman" w:eastAsia="Times New Roman" w:hAnsi="Times New Roman"/>
          <w:sz w:val="16"/>
          <w:szCs w:val="16"/>
          <w:color w:val="auto"/>
        </w:rPr>
      </w:pPr>
    </w:p>
    <w:p>
      <w:pPr>
        <w:jc w:val="both"/>
        <w:ind w:firstLine="592"/>
        <w:spacing w:after="0" w:line="263" w:lineRule="auto"/>
        <w:tabs>
          <w:tab w:leader="none" w:pos="82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Company shall promptly secure the listing or designation for quotation (as the case may be) of all of the Exchange Note Shares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Exchange Note Shares from time to time issuable under the terms of the Transaction Documents on such national securities exchange or automated quotation system. The Company shall maintain the Common Stock’s listing or authorization for quotation (as the case may be) on the Principal Market, The New York Stock Exchange, the NYSE American, the Nasdaq Global Market or the Nasdaq Global Select Market (each, an “</w:t>
      </w:r>
      <w:r>
        <w:rPr>
          <w:rFonts w:ascii="Times New Roman" w:cs="Times New Roman" w:eastAsia="Times New Roman" w:hAnsi="Times New Roman"/>
          <w:sz w:val="16"/>
          <w:szCs w:val="16"/>
          <w:b w:val="1"/>
          <w:bCs w:val="1"/>
          <w:color w:val="auto"/>
        </w:rPr>
        <w:t>Eligible Market</w:t>
      </w:r>
      <w:r>
        <w:rPr>
          <w:rFonts w:ascii="Times New Roman" w:cs="Times New Roman" w:eastAsia="Times New Roman" w:hAnsi="Times New Roman"/>
          <w:sz w:val="16"/>
          <w:szCs w:val="16"/>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4(e).</w:t>
      </w:r>
    </w:p>
    <w:p>
      <w:pPr>
        <w:spacing w:after="0" w:line="367" w:lineRule="exact"/>
        <w:rPr>
          <w:rFonts w:ascii="Times New Roman" w:cs="Times New Roman" w:eastAsia="Times New Roman" w:hAnsi="Times New Roman"/>
          <w:sz w:val="16"/>
          <w:szCs w:val="16"/>
          <w:color w:val="auto"/>
        </w:rPr>
      </w:pPr>
    </w:p>
    <w:p>
      <w:pPr>
        <w:jc w:val="both"/>
        <w:ind w:firstLine="592"/>
        <w:spacing w:after="0" w:line="262" w:lineRule="auto"/>
        <w:tabs>
          <w:tab w:leader="none" w:pos="79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The Company shall pay for the reasonable and documented due diligence and legal fees and expenses incurred by the Holders in connection with the structuring, documentation, negotiation, and closing of the transactions contemplated by the Transaction Documents (and the enforcement thereof by the Holders), including, without limitation, all consultant fees, all reasonable legal fees and disbursements of Latham &amp; Watkins LLP, counsel to the Holders, and due diligence and regulatory filings in connection therewith (the “</w:t>
      </w:r>
      <w:r>
        <w:rPr>
          <w:rFonts w:ascii="Times New Roman" w:cs="Times New Roman" w:eastAsia="Times New Roman" w:hAnsi="Times New Roman"/>
          <w:sz w:val="16"/>
          <w:szCs w:val="16"/>
          <w:b w:val="1"/>
          <w:bCs w:val="1"/>
          <w:color w:val="auto"/>
        </w:rPr>
        <w:t>Transaction Expenses</w:t>
      </w:r>
      <w:r>
        <w:rPr>
          <w:rFonts w:ascii="Times New Roman" w:cs="Times New Roman" w:eastAsia="Times New Roman" w:hAnsi="Times New Roman"/>
          <w:sz w:val="16"/>
          <w:szCs w:val="16"/>
          <w:color w:val="auto"/>
        </w:rPr>
        <w:t>”). The Company shall be responsible for the payment of any placement agent’s fees, financial advisory fees, transfer agent fees,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fees or broker’s commissions incurred solely by the Company and not for Persons engaged by any Holder relating to or arising out of the transactions contemplated hereby. The Company shall pay, and hold each Holder harmless against, any liability, loss or expense (including, without limitation, reasonable attorneys’ fees and reasonable and documented out-of-pocket expenses) arising in connection with any claim relating to any such payment incurred by the Company. Except as otherwise set forth in the Transaction Documents, each party to this Agreement shall bear its own expenses in connection with the exchange of the Exchange Notes with the Holders.</w:t>
      </w:r>
    </w:p>
    <w:p>
      <w:pPr>
        <w:spacing w:after="0" w:line="168" w:lineRule="exact"/>
        <w:rPr>
          <w:rFonts w:ascii="Times New Roman" w:cs="Times New Roman" w:eastAsia="Times New Roman" w:hAnsi="Times New Roman"/>
          <w:sz w:val="16"/>
          <w:szCs w:val="16"/>
          <w:color w:val="auto"/>
        </w:rPr>
      </w:pPr>
    </w:p>
    <w:p>
      <w:pPr>
        <w:jc w:val="both"/>
        <w:ind w:firstLine="592"/>
        <w:spacing w:after="0" w:line="264" w:lineRule="auto"/>
        <w:tabs>
          <w:tab w:leader="none" w:pos="826"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Pledge of Securities</w:t>
      </w:r>
      <w:r>
        <w:rPr>
          <w:rFonts w:ascii="Times New Roman" w:cs="Times New Roman" w:eastAsia="Times New Roman" w:hAnsi="Times New Roman"/>
          <w:sz w:val="16"/>
          <w:szCs w:val="16"/>
          <w:color w:val="auto"/>
        </w:rPr>
        <w:t>. Notwithstanding anything to the contrary contained in this Agreement, the Company acknowledges and agrees that the Securities may be pledged by a Holder in connection with a bona fide margin agreement or other loan or financing arrangement that is secured by the Securities. The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including, without limitation, Section 2(h) hereof; provided that a Holder and its pledgee shall be required to comply with the provisions of Section 2(h) hereof in order to effect a sale, transfer or assignment of Securities to such pledgee. The Company hereby agrees to execute and deliver such documentation as a pledgee of the Securities may reasonably request in connection with a pledge of the Securities to such pledgee by a Holder.</w:t>
      </w:r>
    </w:p>
    <w:p>
      <w:pPr>
        <w:spacing w:after="0" w:line="164"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of Transactions and Other Material Information</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left="600" w:firstLine="584"/>
        <w:spacing w:after="0" w:line="265" w:lineRule="auto"/>
        <w:tabs>
          <w:tab w:leader="none" w:pos="140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of Transaction</w:t>
      </w:r>
      <w:r>
        <w:rPr>
          <w:rFonts w:ascii="Times New Roman" w:cs="Times New Roman" w:eastAsia="Times New Roman" w:hAnsi="Times New Roman"/>
          <w:sz w:val="16"/>
          <w:szCs w:val="16"/>
          <w:color w:val="auto"/>
        </w:rPr>
        <w:t>. No later than 9:30 a.m., New York time, on the (x) date of this Agreement and, if a Holder Optional Exchange Notes Notice is delivered pursuant to Section 1(d), (y) the Option Date, the Company shall issue a press release (the “</w:t>
      </w:r>
      <w:r>
        <w:rPr>
          <w:rFonts w:ascii="Times New Roman" w:cs="Times New Roman" w:eastAsia="Times New Roman" w:hAnsi="Times New Roman"/>
          <w:sz w:val="16"/>
          <w:szCs w:val="16"/>
          <w:b w:val="1"/>
          <w:bCs w:val="1"/>
          <w:color w:val="auto"/>
        </w:rPr>
        <w:t>Press Release</w:t>
      </w:r>
      <w:r>
        <w:rPr>
          <w:rFonts w:ascii="Times New Roman" w:cs="Times New Roman" w:eastAsia="Times New Roman" w:hAnsi="Times New Roman"/>
          <w:sz w:val="16"/>
          <w:szCs w:val="16"/>
          <w:color w:val="auto"/>
        </w:rPr>
        <w:t>”) reasonably acceptable to the Holders disclosing all the material terms of the transactions contemplated by the Transaction Documents with respect to the date of this Agreement and, if</w:t>
      </w:r>
    </w:p>
    <w:p>
      <w:pPr>
        <w:jc w:val="both"/>
        <w:ind w:left="600"/>
        <w:spacing w:after="0" w:line="243" w:lineRule="auto"/>
        <w:rPr>
          <w:sz w:val="20"/>
          <w:szCs w:val="20"/>
          <w:color w:val="auto"/>
        </w:rPr>
      </w:pPr>
      <w:r>
        <w:rPr>
          <w:rFonts w:ascii="Times New Roman" w:cs="Times New Roman" w:eastAsia="Times New Roman" w:hAnsi="Times New Roman"/>
          <w:sz w:val="16"/>
          <w:szCs w:val="16"/>
          <w:color w:val="auto"/>
        </w:rPr>
        <w:t>applicable, the Holder Optional Exchange Notes Notice with respect to the Option Date. No later than 5:30 p.m., New York time, on the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(the “</w:t>
      </w:r>
      <w:r>
        <w:rPr>
          <w:rFonts w:ascii="Times New Roman" w:cs="Times New Roman" w:eastAsia="Times New Roman" w:hAnsi="Times New Roman"/>
          <w:sz w:val="16"/>
          <w:szCs w:val="16"/>
          <w:b w:val="1"/>
          <w:bCs w:val="1"/>
          <w:color w:val="auto"/>
        </w:rPr>
        <w:t>8-K Filing</w:t>
      </w:r>
      <w:r>
        <w:rPr>
          <w:rFonts w:ascii="Times New Roman" w:cs="Times New Roman" w:eastAsia="Times New Roman" w:hAnsi="Times New Roman"/>
          <w:sz w:val="16"/>
          <w:szCs w:val="16"/>
          <w:color w:val="auto"/>
        </w:rPr>
        <w:t>”). From and after the issuance of the Press Release, the Company shall have disclosed all material, non-public information (if any) provided to any of the Holders by the Company or any of its Subsidiaries or any of their respective officers, directors, employees or agents. In addition, effective upon the issuance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Holders or any of their affiliates, on the other hand, terminated and none of the Holders have been subject to any such obligation since the issuance of the Press Release.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8" w:name="page89"/>
    <w:bookmarkEnd w:id="88"/>
    <w:p>
      <w:pPr>
        <w:jc w:val="both"/>
        <w:ind w:left="8" w:firstLine="584"/>
        <w:spacing w:after="0" w:line="259" w:lineRule="auto"/>
        <w:tabs>
          <w:tab w:leader="none" w:pos="843"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Disclosure</w:t>
      </w:r>
      <w:r>
        <w:rPr>
          <w:rFonts w:ascii="Times New Roman" w:cs="Times New Roman" w:eastAsia="Times New Roman" w:hAnsi="Times New Roman"/>
          <w:sz w:val="16"/>
          <w:szCs w:val="16"/>
          <w:color w:val="auto"/>
        </w:rPr>
        <w:t>. Other than as required under the Transaction Documents (but subject to any other disclosure obligations of the Company with respect thereto), the Company shall not, and the Company shall cause each of its Subsidiaries and each of its and their respective officers, directors, employees and agents not to, provide any Holder with any material, non-public information regarding the Company or any of its Subsidiaries from and after the date hereof unless prior thereto such Holder shall have consented in writing to the receipt of such information and agreed with the Company to keep such information confidential. If any material, non-public information is required to be provided by the Company or any of its Subsidiaries to any Holder pursuant to the Transaction Documents, the Company shall obtain each Holder’s prior written consent prior to providing such information to such Holder, and if any Holder fails to provide such written consent, the Company shall not be deemed to be in breach of any of the Transaction Documents as a result of the failure to provide such information. To the extent that the Company delivers any material, non-public information to a Holder without such Holder’s prior written consent in breach of the foregoing sentence, the Company hereby covenants and agrees that such Holder shall not have any duty of confidentiality with respect to, or a duty not to trade on the basis of, such material, non-public information, provided that the Holder shall remain subject to applicable law. Subject to the foregoing, neither the Company, its Subsidiaries nor any Holder shall issue any press releases or any other public statements with respect to the transactions contemplated hereby; provided, however, the Company shall be entitled, without the prior approval of any Holder, to make any press release or other public disclosure with respect to such transactions (i) in substantial conformity with the 8-K Filing and (ii) as is required by applicable law and regulations (provided that in the case of clause</w:t>
      </w:r>
    </w:p>
    <w:p>
      <w:pPr>
        <w:spacing w:after="0" w:line="4" w:lineRule="exact"/>
        <w:rPr>
          <w:rFonts w:ascii="Times New Roman" w:cs="Times New Roman" w:eastAsia="Times New Roman" w:hAnsi="Times New Roman"/>
          <w:sz w:val="16"/>
          <w:szCs w:val="16"/>
          <w:color w:val="auto"/>
        </w:rPr>
      </w:pPr>
    </w:p>
    <w:p>
      <w:pPr>
        <w:jc w:val="both"/>
        <w:ind w:left="8" w:hanging="8"/>
        <w:spacing w:after="0" w:line="260" w:lineRule="auto"/>
        <w:tabs>
          <w:tab w:leader="none" w:pos="21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each Holder shall be consulted by the Company in connection with any such press release or other public disclosure prior to its release). Without the prior written consent of the applicable Holder (which may be granted or withheld in such Holder’s sole discretion), the Company shall not (and shall cause each of its Subsidiaries and affiliates to not) disclose the name of such Holder in any filing, announcement, release or otherwise, except in the 8-K Filing and as otherwise may be required by applicable law or regulations. Notwithstanding anything contained in this Agreement to the contrary and without implication that the contrary would otherwise be true, the Company expressly acknowledges and agrees that no Holder shall have (unless expressly agreed to by a particular Holder after the date hereof in a written definitive and binding agreement executed by the Company and such particular Holder (it being understood and agreed that no Holder may bind any other Holder with respect thereto)), any duty of confidentiality with respect to, or a duty not to trade on the basis of, any material, non-public information regarding the Company or any of its Subsidiaries.</w:t>
      </w:r>
    </w:p>
    <w:p>
      <w:pPr>
        <w:spacing w:after="0" w:line="167" w:lineRule="exact"/>
        <w:rPr>
          <w:sz w:val="20"/>
          <w:szCs w:val="20"/>
          <w:color w:val="auto"/>
        </w:rPr>
      </w:pPr>
    </w:p>
    <w:p>
      <w:pPr>
        <w:ind w:left="188" w:hanging="188"/>
        <w:spacing w:after="0"/>
        <w:tabs>
          <w:tab w:leader="none" w:pos="18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Issuance of Securities</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8" w:firstLine="584"/>
        <w:spacing w:after="0" w:line="261" w:lineRule="auto"/>
        <w:tabs>
          <w:tab w:leader="none" w:pos="825"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Exchange Notes remain outstanding, the Company and each Subsidiary shall be prohibited from effecting, or entering into an agreement directly or indirectly to effect a Variable Rate Transaction. “</w:t>
      </w:r>
      <w:r>
        <w:rPr>
          <w:rFonts w:ascii="Times New Roman" w:cs="Times New Roman" w:eastAsia="Times New Roman" w:hAnsi="Times New Roman"/>
          <w:sz w:val="16"/>
          <w:szCs w:val="16"/>
          <w:b w:val="1"/>
          <w:bCs w:val="1"/>
          <w:color w:val="auto"/>
        </w:rPr>
        <w:t>Variable Rate Transaction</w:t>
      </w:r>
      <w:r>
        <w:rPr>
          <w:rFonts w:ascii="Times New Roman" w:cs="Times New Roman" w:eastAsia="Times New Roman" w:hAnsi="Times New Roman"/>
          <w:sz w:val="16"/>
          <w:szCs w:val="16"/>
          <w:color w:val="auto"/>
        </w:rPr>
        <w:t xml:space="preserve">”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customary adjustments for stock splits, stock dividends, stock combinations, recapitalizations and similar events or (ii) enters into any agreement (including, without limitation, an equity line of credit) whereby the Company or any Subsidiary may sell securities at a future determined price;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avoidance of doubt (x) the entry into any “at-the-market” offering within the meaning of Rule 415(a)(4) of the Securities Act (an “</w:t>
      </w:r>
      <w:r>
        <w:rPr>
          <w:rFonts w:ascii="Times New Roman" w:cs="Times New Roman" w:eastAsia="Times New Roman" w:hAnsi="Times New Roman"/>
          <w:sz w:val="16"/>
          <w:szCs w:val="16"/>
          <w:b w:val="1"/>
          <w:bCs w:val="1"/>
          <w:color w:val="auto"/>
        </w:rPr>
        <w:t>ATM Issuance</w:t>
      </w:r>
      <w:r>
        <w:rPr>
          <w:rFonts w:ascii="Times New Roman" w:cs="Times New Roman" w:eastAsia="Times New Roman" w:hAnsi="Times New Roman"/>
          <w:sz w:val="16"/>
          <w:szCs w:val="16"/>
          <w:color w:val="auto"/>
        </w:rPr>
        <w:t>”) whereby the Company or any Subsidiary may sell securities at a future determined price and any issuance of any securities pursuant thereto, shall not be considered a “Variable Rate Transaction”.</w:t>
      </w:r>
    </w:p>
    <w:p>
      <w:pPr>
        <w:spacing w:after="0" w:line="370" w:lineRule="exact"/>
        <w:rPr>
          <w:rFonts w:ascii="Times New Roman" w:cs="Times New Roman" w:eastAsia="Times New Roman" w:hAnsi="Times New Roman"/>
          <w:sz w:val="16"/>
          <w:szCs w:val="16"/>
          <w:color w:val="auto"/>
        </w:rPr>
      </w:pPr>
    </w:p>
    <w:p>
      <w:pPr>
        <w:jc w:val="both"/>
        <w:ind w:left="8" w:firstLine="584"/>
        <w:spacing w:after="0" w:line="277" w:lineRule="auto"/>
        <w:tabs>
          <w:tab w:leader="none" w:pos="856"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Exchange Notes remain outstanding, the Company will not, without the prior written consent of the Required Holders (as defined below), issue any Exchange Notes (other than to the Holders as contemplated hereby) and the Company shall not issue any other securities that would cause a breach or default under the Exchange Notes.</w:t>
      </w:r>
    </w:p>
    <w:p>
      <w:pPr>
        <w:spacing w:after="0" w:line="153" w:lineRule="exact"/>
        <w:rPr>
          <w:rFonts w:ascii="Times New Roman" w:cs="Times New Roman" w:eastAsia="Times New Roman" w:hAnsi="Times New Roman"/>
          <w:sz w:val="16"/>
          <w:szCs w:val="16"/>
          <w:color w:val="auto"/>
        </w:rPr>
      </w:pPr>
    </w:p>
    <w:p>
      <w:pPr>
        <w:ind w:left="8" w:firstLine="584"/>
        <w:spacing w:after="0" w:line="297" w:lineRule="auto"/>
        <w:tabs>
          <w:tab w:leader="none" w:pos="89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shall be entitled to obtain injunctive relief against the Company and its Subsidiaries to preclude any issuance prohibited by this Section 4(i), which remedy shall be in addition to any right to collect damages.</w:t>
      </w:r>
    </w:p>
    <w:p>
      <w:pPr>
        <w:spacing w:after="0" w:line="326" w:lineRule="exact"/>
        <w:rPr>
          <w:sz w:val="20"/>
          <w:szCs w:val="20"/>
          <w:color w:val="auto"/>
        </w:rPr>
      </w:pPr>
    </w:p>
    <w:p>
      <w:pPr>
        <w:ind w:left="4928"/>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10795</wp:posOffset>
            </wp:positionV>
            <wp:extent cx="714375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8"/>
          </w:cols>
          <w:pgMar w:left="912" w:top="839" w:right="339" w:bottom="1440" w:gutter="0" w:footer="0" w:header="0"/>
        </w:sectPr>
      </w:pPr>
    </w:p>
    <w:bookmarkStart w:id="89" w:name="page90"/>
    <w:bookmarkEnd w:id="89"/>
    <w:p>
      <w:pPr>
        <w:jc w:val="both"/>
        <w:ind w:firstLine="592"/>
        <w:spacing w:after="0" w:line="259" w:lineRule="auto"/>
        <w:tabs>
          <w:tab w:leader="none" w:pos="802"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Reservation of Shares</w:t>
      </w:r>
      <w:r>
        <w:rPr>
          <w:rFonts w:ascii="Times New Roman" w:cs="Times New Roman" w:eastAsia="Times New Roman" w:hAnsi="Times New Roman"/>
          <w:sz w:val="16"/>
          <w:szCs w:val="16"/>
          <w:color w:val="auto"/>
        </w:rPr>
        <w:t>. So long as any of the Exchange Notes remain outstanding, the Company shall at all times have no less than a number of shares of authorized but unissued Common Stock equal to the sum of (w) 100% of the maximum number of shares of Common Stock as shall be necessary to satisfy the Company’s obligation to issue shares of Common Stock under the warrants then outstanding issued under the Prior SEA and/or the Prior SPA, reserved for the purpose of issuance pursuant to such warrants, plus (x) a fraction, the numerator of which shall be the then outstanding Principal Amount of the Initial Exchange Notes plus an amount equal to all interest accrued on such outstanding Principal Amount and the denominator of which shall be the Conversion Price (as defined in the Initial Exchange Notes), plus (y) a fraction, the numerator of which shall be the then outstanding Principal Amount of the Optional Exchange Notes, if any, plus an amount equal to all interest accrued on such outstanding Principal Amount and the denominator of which shall be the Conversion Price (as defined in the Optional Exchange Notes) plus (z) an additional twenty million (20,000,000) unreserved and available shares of Common Stock (collectively, the “</w:t>
      </w:r>
      <w:r>
        <w:rPr>
          <w:rFonts w:ascii="Times New Roman" w:cs="Times New Roman" w:eastAsia="Times New Roman" w:hAnsi="Times New Roman"/>
          <w:sz w:val="16"/>
          <w:szCs w:val="16"/>
          <w:b w:val="1"/>
          <w:bCs w:val="1"/>
          <w:color w:val="auto"/>
        </w:rPr>
        <w:t>Required Reserve Amount</w:t>
      </w:r>
      <w:r>
        <w:rPr>
          <w:rFonts w:ascii="Times New Roman" w:cs="Times New Roman" w:eastAsia="Times New Roman" w:hAnsi="Times New Roman"/>
          <w:sz w:val="16"/>
          <w:szCs w:val="16"/>
          <w:color w:val="auto"/>
        </w:rPr>
        <w:t>”); provided that at no time shall the number of shares of Common Stock reserved pursuant to this Section 4(j) be reduced other than in connection with any stock combination, reverse stock split or other similar transaction or proportionally in connection with any issuance of Exchange Note Shares pursuant to the Exchange Notes and of shares of Common Stock upon the exercise of the Previously Issued Warrants. The amounts set forth in clause (x) of the definition of Required Reserve Amount (including, without limitation, each increase in the number of shares so reserved) shall be allocated pro rata among the holders of the Exchange Notes based on the number of shares of Common Stock issuable upon conversion of the Exchange Notes and upon exercise of the Previously Issued Warrants held by each holder thereof on the date of issuance of the Exchange Notes (without regards to any limitations on conversion) (collectively, the “</w:t>
      </w:r>
      <w:r>
        <w:rPr>
          <w:rFonts w:ascii="Times New Roman" w:cs="Times New Roman" w:eastAsia="Times New Roman" w:hAnsi="Times New Roman"/>
          <w:sz w:val="16"/>
          <w:szCs w:val="16"/>
          <w:b w:val="1"/>
          <w:bCs w:val="1"/>
          <w:color w:val="auto"/>
        </w:rPr>
        <w:t>Authorized Share Allocation</w:t>
      </w:r>
      <w:r>
        <w:rPr>
          <w:rFonts w:ascii="Times New Roman" w:cs="Times New Roman" w:eastAsia="Times New Roman" w:hAnsi="Times New Roman"/>
          <w:sz w:val="16"/>
          <w:szCs w:val="16"/>
          <w:color w:val="auto"/>
        </w:rPr>
        <w:t>”). In the event that a holder shall sell or otherwise transfer any of such holder’s Exchange Notes, each transferee shall be allocated a pro rata portion of such holder’s Authorized Share Allocation. Any shares of Common Stock reserved and allocated to any Person which ceases to hold any Exchange Notes shall be allocated to the remaining holders of the Exchange Notes, pro rata based on the number of shares of Common Stock issuable upon conversion of the Exchange Notes and upon exercise of the Previously Issued Warranted then held by such holders thereof (without regard to any limitations on conversion).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374" w:lineRule="exact"/>
        <w:rPr>
          <w:rFonts w:ascii="Times New Roman" w:cs="Times New Roman" w:eastAsia="Times New Roman" w:hAnsi="Times New Roman"/>
          <w:sz w:val="16"/>
          <w:szCs w:val="16"/>
          <w:color w:val="auto"/>
        </w:rPr>
      </w:pPr>
    </w:p>
    <w:p>
      <w:pPr>
        <w:ind w:firstLine="592"/>
        <w:spacing w:after="0" w:line="297" w:lineRule="auto"/>
        <w:tabs>
          <w:tab w:leader="none" w:pos="82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None of the Company or any of its Subsidiaries shall violate any law, ordinance or regulation of any Governmental Entity, except where such violations would not reasonably be expected to result, either individually or in the aggregate, in a Material Adverse Effect.</w:t>
      </w:r>
    </w:p>
    <w:p>
      <w:pPr>
        <w:spacing w:after="0" w:line="137" w:lineRule="exact"/>
        <w:rPr>
          <w:rFonts w:ascii="Times New Roman" w:cs="Times New Roman" w:eastAsia="Times New Roman" w:hAnsi="Times New Roman"/>
          <w:sz w:val="16"/>
          <w:szCs w:val="16"/>
          <w:color w:val="auto"/>
        </w:rPr>
      </w:pPr>
    </w:p>
    <w:p>
      <w:pPr>
        <w:ind w:firstLine="592"/>
        <w:spacing w:after="0" w:line="297" w:lineRule="auto"/>
        <w:tabs>
          <w:tab w:leader="none" w:pos="78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Passive Foreign Investment Company</w:t>
      </w:r>
      <w:r>
        <w:rPr>
          <w:rFonts w:ascii="Times New Roman" w:cs="Times New Roman" w:eastAsia="Times New Roman" w:hAnsi="Times New Roman"/>
          <w:sz w:val="16"/>
          <w:szCs w:val="16"/>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37" w:lineRule="exact"/>
        <w:rPr>
          <w:rFonts w:ascii="Times New Roman" w:cs="Times New Roman" w:eastAsia="Times New Roman" w:hAnsi="Times New Roman"/>
          <w:sz w:val="16"/>
          <w:szCs w:val="16"/>
          <w:color w:val="auto"/>
        </w:rPr>
      </w:pPr>
    </w:p>
    <w:p>
      <w:pPr>
        <w:jc w:val="both"/>
        <w:ind w:firstLine="592"/>
        <w:spacing w:after="0" w:line="264" w:lineRule="auto"/>
        <w:tabs>
          <w:tab w:leader="none" w:pos="87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Redemption and Cash Dividends</w:t>
      </w:r>
      <w:r>
        <w:rPr>
          <w:rFonts w:ascii="Times New Roman" w:cs="Times New Roman" w:eastAsia="Times New Roman" w:hAnsi="Times New Roman"/>
          <w:sz w:val="16"/>
          <w:szCs w:val="16"/>
          <w:color w:val="auto"/>
        </w:rPr>
        <w:t>. So long as any of the Exchange Notes are outstanding, except as otherwise permitted under the Exchange Notes, the Company shall not, directly or indirectly, redeem, or declare or pay any cash dividend or distribution on, any securities of the Company without the prior express written consent of the Required Holders (other than as required by the Exchange Notes or as required by the terms thereof as in effect on the date hereof); provided, however, that such written consent shall not be required for any repurchases, forfeitures, withholdings or transfers of securities pursuant to a net exercise of a Convertible Security to cover the payment of the exercise prices or the payment of withholding of taxes associated with the exercise or vesting of equity awards under any equity compensation plan of the Company or repurchases of Common Stock upon an employee’s, contractor’s or consultant’s termination of services pursuant to agreements outstanding as of the date of this Agreement.</w:t>
      </w:r>
    </w:p>
    <w:p>
      <w:pPr>
        <w:spacing w:after="0" w:line="164" w:lineRule="exact"/>
        <w:rPr>
          <w:rFonts w:ascii="Times New Roman" w:cs="Times New Roman" w:eastAsia="Times New Roman" w:hAnsi="Times New Roman"/>
          <w:sz w:val="16"/>
          <w:szCs w:val="16"/>
          <w:color w:val="auto"/>
        </w:rPr>
      </w:pPr>
    </w:p>
    <w:p>
      <w:pPr>
        <w:ind w:firstLine="592"/>
        <w:spacing w:after="0" w:line="297" w:lineRule="auto"/>
        <w:tabs>
          <w:tab w:leader="none" w:pos="838"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Corporate Existence</w:t>
      </w:r>
      <w:r>
        <w:rPr>
          <w:rFonts w:ascii="Times New Roman" w:cs="Times New Roman" w:eastAsia="Times New Roman" w:hAnsi="Times New Roman"/>
          <w:sz w:val="16"/>
          <w:szCs w:val="16"/>
          <w:color w:val="auto"/>
        </w:rPr>
        <w:t>. So long as any Exchange Notes remain outstanding, the Company shall not be party to any Fundamental Change (as defined in the Exchange Notes) unless the Company is in compliance with the applicable provisions governing Fundamental Changes set forth in the Exchange Notes.</w:t>
      </w:r>
    </w:p>
    <w:p>
      <w:pPr>
        <w:spacing w:after="0" w:line="137" w:lineRule="exact"/>
        <w:rPr>
          <w:rFonts w:ascii="Times New Roman" w:cs="Times New Roman" w:eastAsia="Times New Roman" w:hAnsi="Times New Roman"/>
          <w:sz w:val="16"/>
          <w:szCs w:val="16"/>
          <w:color w:val="auto"/>
        </w:rPr>
      </w:pPr>
    </w:p>
    <w:p>
      <w:pPr>
        <w:jc w:val="both"/>
        <w:ind w:firstLine="592"/>
        <w:spacing w:after="0" w:line="266" w:lineRule="auto"/>
        <w:tabs>
          <w:tab w:leader="none" w:pos="85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Procedures</w:t>
      </w:r>
      <w:r>
        <w:rPr>
          <w:rFonts w:ascii="Times New Roman" w:cs="Times New Roman" w:eastAsia="Times New Roman" w:hAnsi="Times New Roman"/>
          <w:sz w:val="16"/>
          <w:szCs w:val="16"/>
          <w:color w:val="auto"/>
        </w:rPr>
        <w:t>. The terms of the Exchange Notes set forth the totality of the procedures required of the Holders in order to receive shares of Common Stock pursuant to the Exchange Notes. Except as set forth in Section 5(c), no additional legal opinion, other information or instructions shall be required of the Holders to receive shares of Common Stock pursuant to the Exchange Notes. The Company shall honor an election by the Holder to receive shares of Common Stock pursuant to the Exchange Notes and shall deliver the Exchange Note Shares in accordance with the terms, conditions and time periods set forth in the Exchange Notes. Except as explicitly set forth in the Exchange Notes, no legal opinion, information or instructions shall be required of the Holders to receive Exchange Note Shares pursuant to the Exchange Notes.</w:t>
      </w:r>
    </w:p>
    <w:p>
      <w:pPr>
        <w:spacing w:after="0" w:line="363" w:lineRule="exact"/>
        <w:rPr>
          <w:rFonts w:ascii="Times New Roman" w:cs="Times New Roman" w:eastAsia="Times New Roman" w:hAnsi="Times New Roman"/>
          <w:sz w:val="16"/>
          <w:szCs w:val="16"/>
          <w:color w:val="auto"/>
        </w:rPr>
      </w:pPr>
    </w:p>
    <w:p>
      <w:pPr>
        <w:ind w:firstLine="592"/>
        <w:spacing w:after="0" w:line="297" w:lineRule="auto"/>
        <w:tabs>
          <w:tab w:leader="none" w:pos="82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Regulation M</w:t>
      </w:r>
      <w:r>
        <w:rPr>
          <w:rFonts w:ascii="Times New Roman" w:cs="Times New Roman" w:eastAsia="Times New Roman" w:hAnsi="Times New Roman"/>
          <w:sz w:val="16"/>
          <w:szCs w:val="16"/>
          <w:color w:val="auto"/>
        </w:rPr>
        <w:t>. The Company will not take any action prohibited by Regulation M under the 1934 Act, in connection with the distribution of the Securities contemplated hereby.</w:t>
      </w:r>
    </w:p>
    <w:p>
      <w:pPr>
        <w:spacing w:after="0" w:line="137" w:lineRule="exact"/>
        <w:rPr>
          <w:rFonts w:ascii="Times New Roman" w:cs="Times New Roman" w:eastAsia="Times New Roman" w:hAnsi="Times New Roman"/>
          <w:sz w:val="16"/>
          <w:szCs w:val="16"/>
          <w:color w:val="auto"/>
        </w:rPr>
      </w:pPr>
    </w:p>
    <w:p>
      <w:pPr>
        <w:jc w:val="both"/>
        <w:ind w:firstLine="592"/>
        <w:spacing w:after="0" w:line="267" w:lineRule="auto"/>
        <w:tabs>
          <w:tab w:leader="none" w:pos="82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issuance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0" w:name="page91"/>
    <w:bookmarkEnd w:id="90"/>
    <w:p>
      <w:pPr>
        <w:jc w:val="both"/>
        <w:ind w:firstLine="592"/>
        <w:spacing w:after="0" w:line="265" w:lineRule="auto"/>
        <w:tabs>
          <w:tab w:leader="none" w:pos="79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Participate</w:t>
      </w:r>
      <w:r>
        <w:rPr>
          <w:rFonts w:ascii="Times New Roman" w:cs="Times New Roman" w:eastAsia="Times New Roman" w:hAnsi="Times New Roman"/>
          <w:sz w:val="16"/>
          <w:szCs w:val="16"/>
          <w:color w:val="auto"/>
        </w:rPr>
        <w:t>. Until the date the Exchange Notes are no longer outstanding the Company will not, directly or indirectly, offer, sell, grant any option to purchase, or otherwise dispose of (or announce any offer, sale, grant or any option to purchase or other disposition of) any of its or any Subsidiaries’ debt, equity (other than an offering of solely Common Stock), or equity-linked securities, including without limitation any debt, preferred stock or other instrument or security (any such offer, sale, grant, disposition or announcement being referred to as a “</w:t>
      </w:r>
      <w:r>
        <w:rPr>
          <w:rFonts w:ascii="Times New Roman" w:cs="Times New Roman" w:eastAsia="Times New Roman" w:hAnsi="Times New Roman"/>
          <w:sz w:val="16"/>
          <w:szCs w:val="16"/>
          <w:b w:val="1"/>
          <w:bCs w:val="1"/>
          <w:color w:val="auto"/>
        </w:rPr>
        <w:t>Subsequent Placement</w:t>
      </w:r>
      <w:r>
        <w:rPr>
          <w:rFonts w:ascii="Times New Roman" w:cs="Times New Roman" w:eastAsia="Times New Roman" w:hAnsi="Times New Roman"/>
          <w:sz w:val="16"/>
          <w:szCs w:val="16"/>
          <w:color w:val="auto"/>
        </w:rPr>
        <w:t xml:space="preserve">”), unless the Company shall have first complied with this Section 4(r). Notwithstanding the foregoing, any Holder who shall have exercised its right to participate under Section 9(u) of the Prior SPA or Section 9(s) of the Prior SEA with respect to a particular Subsequent Issuance shall not be entitled to also exercise its rights under this </w:t>
      </w:r>
      <w:r>
        <w:rPr>
          <w:rFonts w:ascii="Times New Roman" w:cs="Times New Roman" w:eastAsia="Times New Roman" w:hAnsi="Times New Roman"/>
          <w:sz w:val="16"/>
          <w:szCs w:val="16"/>
          <w:b w:val="1"/>
          <w:bCs w:val="1"/>
          <w:color w:val="auto"/>
        </w:rPr>
        <w:t>Section 9(r)</w:t>
      </w:r>
      <w:r>
        <w:rPr>
          <w:rFonts w:ascii="Times New Roman" w:cs="Times New Roman" w:eastAsia="Times New Roman" w:hAnsi="Times New Roman"/>
          <w:sz w:val="16"/>
          <w:szCs w:val="16"/>
          <w:color w:val="auto"/>
        </w:rPr>
        <w:t xml:space="preserve"> with respect to the same Subsequent Issuance.</w:t>
      </w:r>
    </w:p>
    <w:p>
      <w:pPr>
        <w:spacing w:after="0" w:line="160" w:lineRule="exact"/>
        <w:rPr>
          <w:rFonts w:ascii="Times New Roman" w:cs="Times New Roman" w:eastAsia="Times New Roman" w:hAnsi="Times New Roman"/>
          <w:sz w:val="16"/>
          <w:szCs w:val="16"/>
          <w:color w:val="auto"/>
        </w:rPr>
      </w:pPr>
    </w:p>
    <w:p>
      <w:pPr>
        <w:jc w:val="both"/>
        <w:ind w:left="600" w:firstLine="1177"/>
        <w:spacing w:after="0" w:line="261" w:lineRule="auto"/>
        <w:tabs>
          <w:tab w:leader="none" w:pos="2057"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deliver to each Holder an irrevocable written notice (the “</w:t>
      </w:r>
      <w:r>
        <w:rPr>
          <w:rFonts w:ascii="Times New Roman" w:cs="Times New Roman" w:eastAsia="Times New Roman" w:hAnsi="Times New Roman"/>
          <w:sz w:val="16"/>
          <w:szCs w:val="16"/>
          <w:b w:val="1"/>
          <w:bCs w:val="1"/>
          <w:color w:val="auto"/>
        </w:rPr>
        <w:t>Offer Notice</w:t>
      </w:r>
      <w:r>
        <w:rPr>
          <w:rFonts w:ascii="Times New Roman" w:cs="Times New Roman" w:eastAsia="Times New Roman" w:hAnsi="Times New Roman"/>
          <w:sz w:val="16"/>
          <w:szCs w:val="16"/>
          <w:color w:val="auto"/>
        </w:rPr>
        <w:t>”) of any proposed or intended issuance or sale or exchange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of the securities being offered (the “</w:t>
      </w:r>
      <w:r>
        <w:rPr>
          <w:rFonts w:ascii="Times New Roman" w:cs="Times New Roman" w:eastAsia="Times New Roman" w:hAnsi="Times New Roman"/>
          <w:sz w:val="16"/>
          <w:szCs w:val="16"/>
          <w:b w:val="1"/>
          <w:bCs w:val="1"/>
          <w:color w:val="auto"/>
        </w:rPr>
        <w:t>Offered Securities</w:t>
      </w:r>
      <w:r>
        <w:rPr>
          <w:rFonts w:ascii="Times New Roman" w:cs="Times New Roman" w:eastAsia="Times New Roman" w:hAnsi="Times New Roman"/>
          <w:sz w:val="16"/>
          <w:szCs w:val="16"/>
          <w:color w:val="auto"/>
        </w:rPr>
        <w:t>”) in a Subsequent Placement, which Offer Notice shall (v) include any offering documents and definitive documentation in connection with such Offer, (w) identify and describe the Offered Securities, (x) describe the price and other terms upon which they are to be issued, sold or exchanged, and the number or amount of the Offered Securities to be issued, sold or exchanged, (y) identify the persons or entities to which or with which the Offered Securities are to be offered, issued, sold or exchanged and (z) offer to issue and sell to or exchange with such Holders up to an aggregate of thirty percent (30%) of the Offered Securities, allocated among such Holders based on such Holder’s pro rata portion of the aggregate principal amount of Exchange Notes purchased hereunder (the “</w:t>
      </w:r>
      <w:r>
        <w:rPr>
          <w:rFonts w:ascii="Times New Roman" w:cs="Times New Roman" w:eastAsia="Times New Roman" w:hAnsi="Times New Roman"/>
          <w:sz w:val="16"/>
          <w:szCs w:val="16"/>
          <w:b w:val="1"/>
          <w:bCs w:val="1"/>
          <w:color w:val="auto"/>
        </w:rPr>
        <w:t>Basic Amount</w:t>
      </w:r>
      <w:r>
        <w:rPr>
          <w:rFonts w:ascii="Times New Roman" w:cs="Times New Roman" w:eastAsia="Times New Roman" w:hAnsi="Times New Roman"/>
          <w:sz w:val="16"/>
          <w:szCs w:val="16"/>
          <w:color w:val="auto"/>
        </w:rPr>
        <w:t>”). The terms and conditions upon which any Offer of the Offered Securities pursuant to any Offer Notice shall be identical for each Holder. For the avoidance of doubt, each Holder hereby acknowledges that any Offer Notice may constitute or contain material, non-public information, and each Holder hereby consents to the receipt of any Offer Notice and any material, non-public information that may be included in an Offer Notice. If a Holder notifies the Company that it does not consent to the receipt of an Offer Notice and any material, non-public information that may be included in an Offer Notice, then such Holder shall be deemed to have waived its right to participate in such Subsequent Placement, and the Company shall be deemed to have complied with this Section 4(r).</w:t>
      </w:r>
    </w:p>
    <w:p>
      <w:pPr>
        <w:spacing w:after="0" w:line="175" w:lineRule="exact"/>
        <w:rPr>
          <w:rFonts w:ascii="Times New Roman" w:cs="Times New Roman" w:eastAsia="Times New Roman" w:hAnsi="Times New Roman"/>
          <w:sz w:val="16"/>
          <w:szCs w:val="16"/>
          <w:color w:val="auto"/>
        </w:rPr>
      </w:pPr>
    </w:p>
    <w:p>
      <w:pPr>
        <w:jc w:val="both"/>
        <w:ind w:left="600" w:firstLine="1177"/>
        <w:spacing w:after="0" w:line="247" w:lineRule="auto"/>
        <w:tabs>
          <w:tab w:leader="none" w:pos="206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accept an Offer, in whole or in part, such Holder must deliver a written notice to the Company prior to the end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after such Holder’s receipt of the Offer Notice (the “</w:t>
      </w:r>
      <w:r>
        <w:rPr>
          <w:rFonts w:ascii="Times New Roman" w:cs="Times New Roman" w:eastAsia="Times New Roman" w:hAnsi="Times New Roman"/>
          <w:sz w:val="16"/>
          <w:szCs w:val="16"/>
          <w:b w:val="1"/>
          <w:bCs w:val="1"/>
          <w:color w:val="auto"/>
        </w:rPr>
        <w:t>Offer Period</w:t>
      </w:r>
      <w:r>
        <w:rPr>
          <w:rFonts w:ascii="Times New Roman" w:cs="Times New Roman" w:eastAsia="Times New Roman" w:hAnsi="Times New Roman"/>
          <w:sz w:val="16"/>
          <w:szCs w:val="16"/>
          <w:color w:val="auto"/>
        </w:rPr>
        <w:t>”), setting forth the portion of such Holder’s Basic Amount that such Holder, or an affiliate of such Holder that it designates, elects to purchase and, if such Holder or its designee shall elect to purchase all of its Basic Amount, the amount, if any, of the other Holders’ allocations that such Holder is offering to purchase in the event that such other Holders do not elect to purchase their full Basic Amounts (in either case, the “</w:t>
      </w:r>
      <w:r>
        <w:rPr>
          <w:rFonts w:ascii="Times New Roman" w:cs="Times New Roman" w:eastAsia="Times New Roman" w:hAnsi="Times New Roman"/>
          <w:sz w:val="16"/>
          <w:szCs w:val="16"/>
          <w:b w:val="1"/>
          <w:bCs w:val="1"/>
          <w:color w:val="auto"/>
        </w:rPr>
        <w:t>Notice of Acceptance</w:t>
      </w:r>
      <w:r>
        <w:rPr>
          <w:rFonts w:ascii="Times New Roman" w:cs="Times New Roman" w:eastAsia="Times New Roman" w:hAnsi="Times New Roman"/>
          <w:sz w:val="16"/>
          <w:szCs w:val="16"/>
          <w:color w:val="auto"/>
        </w:rPr>
        <w:t>”). Notwithstanding anything to the contrary contained herein, if the Company desires to modify or amend the terms and conditions of the Offer prior to the expiration of the Offer Period, the Company may deliver to the Holders a new Offer Notice and the Offer Period shall expire at the end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following such Holder’s receipt of such new Offer Notice.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91" w:name="page92"/>
    <w:bookmarkEnd w:id="91"/>
    <w:p>
      <w:pPr>
        <w:jc w:val="both"/>
        <w:ind w:left="-520" w:firstLine="1177"/>
        <w:spacing w:after="0" w:line="264" w:lineRule="auto"/>
        <w:tabs>
          <w:tab w:leader="none" w:pos="93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two (2) Trading Days from the expiration of the Offer Period to offer, issue, sell or exchange all or any part of such Offered Securities as to which a Notice of Acceptance has not been given by the Holders (the “</w:t>
      </w:r>
      <w:r>
        <w:rPr>
          <w:rFonts w:ascii="Times New Roman" w:cs="Times New Roman" w:eastAsia="Times New Roman" w:hAnsi="Times New Roman"/>
          <w:sz w:val="16"/>
          <w:szCs w:val="16"/>
          <w:b w:val="1"/>
          <w:bCs w:val="1"/>
          <w:color w:val="auto"/>
        </w:rPr>
        <w:t>Refused Securities</w:t>
      </w:r>
      <w:r>
        <w:rPr>
          <w:rFonts w:ascii="Times New Roman" w:cs="Times New Roman" w:eastAsia="Times New Roman" w:hAnsi="Times New Roman"/>
          <w:sz w:val="16"/>
          <w:szCs w:val="16"/>
          <w:color w:val="auto"/>
        </w:rPr>
        <w:t>”) pursuant to a definitive agreement (the “</w:t>
      </w:r>
      <w:r>
        <w:rPr>
          <w:rFonts w:ascii="Times New Roman" w:cs="Times New Roman" w:eastAsia="Times New Roman" w:hAnsi="Times New Roman"/>
          <w:sz w:val="16"/>
          <w:szCs w:val="16"/>
          <w:b w:val="1"/>
          <w:bCs w:val="1"/>
          <w:color w:val="auto"/>
        </w:rPr>
        <w:t>Subsequent Placement Agreement</w:t>
      </w:r>
      <w:r>
        <w:rPr>
          <w:rFonts w:ascii="Times New Roman" w:cs="Times New Roman" w:eastAsia="Times New Roman" w:hAnsi="Times New Roman"/>
          <w:sz w:val="16"/>
          <w:szCs w:val="16"/>
          <w:color w:val="auto"/>
        </w:rPr>
        <w:t>”), but only to the offerees described in the Offer Notice (if so described therein) and only upon terms and conditions (including, without limitation, prices and interest rates) that are not more favorable to the acquiring Person or Persons or less favorable to the Company than those set forth in the Offer Notice and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64" w:lineRule="exact"/>
        <w:rPr>
          <w:rFonts w:ascii="Times New Roman" w:cs="Times New Roman" w:eastAsia="Times New Roman" w:hAnsi="Times New Roman"/>
          <w:sz w:val="16"/>
          <w:szCs w:val="16"/>
          <w:color w:val="auto"/>
        </w:rPr>
      </w:pPr>
    </w:p>
    <w:p>
      <w:pPr>
        <w:jc w:val="both"/>
        <w:ind w:left="-520" w:firstLine="1177"/>
        <w:spacing w:after="0" w:line="262" w:lineRule="auto"/>
        <w:tabs>
          <w:tab w:leader="none" w:pos="95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Company shall propose to sell less than all the Refused Securities (any such sale to be in the manner and on the terms specified in Section 4(r)(C) above), then each Holder may, at its sole option and in its sole discretion, reduce the number or amount of the Offered Securities specified in its Notice of Acceptance to an amount that shall be not less than the number or amount of the Offered Securities that such Holder or its designee elected to purchase pursuant to Section 4(r)(B) above multiplied by a fraction, (i) the numerator of which shall be the number or amount of Offered Securities the Company actually proposes to issue, sell or exchange (including Offered Securities to be issued or sold to Holders or their designees pursuant to Section 4(r)(C) above prior to such reduction, but giving effect to the Refused Securities that the Company has determined not to issue, sell or exchange) and (ii) the denominator of which shall be the original amount of the Offered Securities. In the event that any Holder so elects to reduce the number or amount of Offered Securities specified in its Notice of Acceptance, the Company may not issue, sell or exchange more than the reduced number or amount of the Offered Securities unless and until such securities have again been offered to the Holders in accordance with Section 4(r)(A) above.</w:t>
      </w:r>
    </w:p>
    <w:p>
      <w:pPr>
        <w:spacing w:after="0" w:line="168" w:lineRule="exact"/>
        <w:rPr>
          <w:rFonts w:ascii="Times New Roman" w:cs="Times New Roman" w:eastAsia="Times New Roman" w:hAnsi="Times New Roman"/>
          <w:sz w:val="16"/>
          <w:szCs w:val="16"/>
          <w:color w:val="auto"/>
        </w:rPr>
      </w:pPr>
    </w:p>
    <w:p>
      <w:pPr>
        <w:jc w:val="both"/>
        <w:ind w:left="-520" w:firstLine="1177"/>
        <w:spacing w:after="0" w:line="263" w:lineRule="auto"/>
        <w:tabs>
          <w:tab w:leader="none" w:pos="93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closing of the issuance, sale or exchange of all or less than all of the Refused Securities, the Holders or their designees shall acquire from the Company, and the Company shall issue to the Holders, the number or amount of Offered Securities specified in the Notices of Acceptance, as reduced pursuant to Section 4(r)(D) above if the Holders have so elected, upon the terms and conditions specified in the Offer. Notwithstanding anything to the contrary contained in this Agreement, if the Company does not consummate the closing of the issuance, sale or exchange of all or less than all of the Refused Securities, within two (2) Business Days of the expiration of the Offer Period, the Company shall issue to the Holders or their designees, the number or amount of Offered Securities specified in the Notice of Acceptance, as reduced pursuant to Section 4(r)(D) above if the Holders have so elected, upon the terms and conditions specified in the Offer. The purchase by the Holders of any Offered Securities is subject in all cases to the preparation, execution and delivery by the Company and the Holders of a purchase agreement relating to such Offered Securities reasonably satisfactory in form and substance to the Holders and their respective counsel.</w:t>
      </w:r>
    </w:p>
    <w:p>
      <w:pPr>
        <w:spacing w:after="0" w:line="200" w:lineRule="exact"/>
        <w:rPr>
          <w:sz w:val="20"/>
          <w:szCs w:val="20"/>
          <w:color w:val="auto"/>
        </w:rPr>
      </w:pPr>
    </w:p>
    <w:p>
      <w:pPr>
        <w:spacing w:after="0" w:line="3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375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9" w:right="339" w:bottom="1440" w:gutter="0" w:footer="0" w:header="0"/>
        </w:sectPr>
      </w:pPr>
    </w:p>
    <w:bookmarkStart w:id="92" w:name="page93"/>
    <w:bookmarkEnd w:id="92"/>
    <w:p>
      <w:pPr>
        <w:ind w:firstLine="1177"/>
        <w:spacing w:after="0" w:line="297" w:lineRule="auto"/>
        <w:tabs>
          <w:tab w:leader="none" w:pos="142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Offered Securities not acquired by the Holders or other persons in accordance with Section 4(r)(C) above may not be issued, sold or exchanged until they are again offered to the Holders under the procedures specified in this Section 4(r).</w:t>
      </w:r>
    </w:p>
    <w:p>
      <w:pPr>
        <w:spacing w:after="0" w:line="137" w:lineRule="exact"/>
        <w:rPr>
          <w:rFonts w:ascii="Times New Roman" w:cs="Times New Roman" w:eastAsia="Times New Roman" w:hAnsi="Times New Roman"/>
          <w:sz w:val="16"/>
          <w:szCs w:val="16"/>
          <w:color w:val="auto"/>
        </w:rPr>
      </w:pPr>
    </w:p>
    <w:p>
      <w:pPr>
        <w:jc w:val="both"/>
        <w:ind w:firstLine="1177"/>
        <w:spacing w:after="0" w:line="262" w:lineRule="auto"/>
        <w:tabs>
          <w:tab w:leader="none" w:pos="145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Holders agree that if any Holder elects to participate in the Offer, (x) neither the Subsequent Placement Agreement with respect to such Offer nor any other transaction documents related thereto shall include any term or provisions whereby any Holder shall be required to agree to any restrictions in trading as to any securities of the Company owned by such Holder prior to such Subsequent Placement, (y) neither the Subsequent Placement Agreement with respect to such Offer nor any other transaction documents related thereto shall include any term or provisions more restrictive to the investors in such Subsequent Placement than those contained in the Transaction Documents and (z) the Holders or their designees shall be entitled to the same registration rights provided to other investors in the Subsequent Placement. In addition, the Company and each Holder agree that, in connection with a Subsequent Placement, the transaction documents related to the Subsequent Placement shall include a requirement for the Company to issue a widely disseminated press release by 9:30 a.m. (New York City time) on the Trading Day of execution of the transaction documents in such Subsequent Placement (or, if the date of execution is not a Trading Day, or if the time of execution is after 4:00 p.m. (New York City time) on a Trading Day, on the immediately following Trading Day) that discloses the material terms of the transactions contemplated by the transaction documents in such Subsequent Placement.</w:t>
      </w:r>
    </w:p>
    <w:p>
      <w:pPr>
        <w:spacing w:after="0" w:line="165" w:lineRule="exact"/>
        <w:rPr>
          <w:rFonts w:ascii="Times New Roman" w:cs="Times New Roman" w:eastAsia="Times New Roman" w:hAnsi="Times New Roman"/>
          <w:sz w:val="16"/>
          <w:szCs w:val="16"/>
          <w:color w:val="auto"/>
        </w:rPr>
      </w:pPr>
    </w:p>
    <w:p>
      <w:pPr>
        <w:jc w:val="both"/>
        <w:ind w:firstLine="1177"/>
        <w:spacing w:after="0" w:line="265" w:lineRule="auto"/>
        <w:tabs>
          <w:tab w:leader="none" w:pos="147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Section 4(r) and unless otherwise agreed to by the Holders, the Company shall either confirm in writing to the Holders that the transaction with respect to the Subsequent Placement has been abandoned or shall publicly disclose its intention to issue the Offered Securities, in either case in such a manner such that such Holder will not be in possession of any material, non-public information, by the</w:t>
      </w:r>
    </w:p>
    <w:p>
      <w:pPr>
        <w:jc w:val="both"/>
        <w:spacing w:after="0"/>
        <w:rPr>
          <w:sz w:val="20"/>
          <w:szCs w:val="20"/>
          <w:color w:val="auto"/>
        </w:rPr>
      </w:pPr>
      <w:r>
        <w:rPr>
          <w:rFonts w:ascii="Times New Roman" w:cs="Times New Roman" w:eastAsia="Times New Roman" w:hAnsi="Times New Roman"/>
          <w:sz w:val="16"/>
          <w:szCs w:val="16"/>
          <w:color w:val="auto"/>
        </w:rPr>
        <w:t>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following the date of delivery of the Offer Notice. If by such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no public disclosure regarding a transaction with respect to the Offered Securities has been made, and no notice regarding the abandonment of such transaction has been received by the Holders, such transaction shall be deemed to have been abandoned and the Holders shall not be deemed to be in possession of any material, nonpublic information with respect to the Company. Should the Company decide to pursue such transaction with respect to the Offered Securities, the Company shall provide each Holder with another Offer Notice and each Holder will again have the right of participation set forth in this Section 4(r). The Company shall not be permitted to deliver to the Holders, in any 30-day period, more than one such Offer Notice, other than the Offer Notices contemplated by the last sentence of Section 4(r)(B) of this Agreement.</w:t>
      </w:r>
    </w:p>
    <w:p>
      <w:pPr>
        <w:spacing w:after="0" w:line="200" w:lineRule="exact"/>
        <w:rPr>
          <w:sz w:val="20"/>
          <w:szCs w:val="20"/>
          <w:color w:val="auto"/>
        </w:rPr>
      </w:pPr>
    </w:p>
    <w:p>
      <w:pPr>
        <w:spacing w:after="0" w:line="3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10795</wp:posOffset>
            </wp:positionV>
            <wp:extent cx="714375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0"/>
          </w:cols>
          <w:pgMar w:left="920" w:top="839" w:right="339" w:bottom="1440" w:gutter="0" w:footer="0" w:header="0"/>
        </w:sectPr>
      </w:pPr>
    </w:p>
    <w:bookmarkStart w:id="93" w:name="page94"/>
    <w:bookmarkEnd w:id="93"/>
    <w:p>
      <w:pPr>
        <w:jc w:val="both"/>
        <w:ind w:left="600" w:firstLine="1177"/>
        <w:spacing w:after="0" w:line="260" w:lineRule="auto"/>
        <w:tabs>
          <w:tab w:leader="none" w:pos="1993"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restrictions contained in this Section 4(r) shall not apply in connection with any of the following; (x) Options or Convertible Securities issued under any Approved Stock Plan, or (y) the issuance of Common Stock upon the exercise of Options or warrants, the settlement or vesting of restricted stock units, stock appreciation rights or restricted stock awards (including shares of Common Stock withheld by the Company for the purpose of paying on behalf of the holder thereof the exercise price of stock options or for paying taxes due as a result of such exercise or lapse of forfeiture restrictions), or the conversion of outstanding preferred stock or other outstanding Convertible Securities which are outstanding on the Initial Closing Date or granted pursuant to an Approved Stock Plan after the Initial Closing Date; provided, that such issuance of Common Stock upon exercise of such Options or Convertible Securities is made pursuant to the terms of either: (I) such Approved Stock Plan or (II) such Options or Convertible Securities in effect on the Initial Closing Date and, in the case of (II), such Options or Convertible Securities are not amended, modified or changed on or after the Initial Closing Date to increase the number of such securities or to decrease the exercise price, exchange price or conversion price of such securities. Notwithstanding the foregoing, the Holders shall not have a right to participate in a Subsequent Placement pursuant to this Section 4(s) if the Holders shall also have the right to participate in a Subsequent Placement (as defined in the Prior SPA) pursuant to the Prior SPA or Prior SEA. An “</w:t>
      </w:r>
      <w:r>
        <w:rPr>
          <w:rFonts w:ascii="Times New Roman" w:cs="Times New Roman" w:eastAsia="Times New Roman" w:hAnsi="Times New Roman"/>
          <w:sz w:val="16"/>
          <w:szCs w:val="16"/>
          <w:b w:val="1"/>
          <w:bCs w:val="1"/>
          <w:color w:val="auto"/>
        </w:rPr>
        <w:t>Approved Stock Plan</w:t>
      </w:r>
      <w:r>
        <w:rPr>
          <w:rFonts w:ascii="Times New Roman" w:cs="Times New Roman" w:eastAsia="Times New Roman" w:hAnsi="Times New Roman"/>
          <w:sz w:val="16"/>
          <w:szCs w:val="16"/>
          <w:color w:val="auto"/>
        </w:rPr>
        <w:t>” means any security-based compensation plan which has been approved by the Board of Directors of the Company prior to the date hereof, or any security-based compensation plan which is approved by the Board of Directors or the compensation committee thereof and the stockholders of the Company after the date hereof, pursuant to which shares of Common Stock, options to purchase Common Stock and other incentive equity awards may be issued to any employee, officer, consultant or director for services provided to the Company in their capacity as such, and not for the purpose of raising capital, pursuant to any consulting agreement, advisory agreement or independent contractor agreement approved by the Board of Directors or the compensation committee thereof.</w:t>
      </w:r>
    </w:p>
    <w:p>
      <w:pPr>
        <w:spacing w:after="0" w:line="169" w:lineRule="exact"/>
        <w:rPr>
          <w:rFonts w:ascii="Times New Roman" w:cs="Times New Roman" w:eastAsia="Times New Roman" w:hAnsi="Times New Roman"/>
          <w:sz w:val="16"/>
          <w:szCs w:val="16"/>
          <w:color w:val="auto"/>
        </w:rPr>
      </w:pPr>
    </w:p>
    <w:p>
      <w:pPr>
        <w:jc w:val="both"/>
        <w:ind w:firstLine="592"/>
        <w:spacing w:after="0" w:line="271" w:lineRule="auto"/>
        <w:tabs>
          <w:tab w:leader="none" w:pos="80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The Company shall cause the Securities and any shares of Common Stock issuable pursuant to the Exchange Notes to be eligible to be offered, sold or otherwise transferred by the Holders pursuant to Rule 144 under the Securities Act, without any requirements as to volume, manner of sale, availability of current public information (whether or not then satisfied) or notice under the Securities Act and without any requirement for registration under any state securities or “blue sky” law, with respect to the Exchange Notes and the Exchange Note Shares with respect thereto.</w:t>
      </w:r>
    </w:p>
    <w:p>
      <w:pPr>
        <w:spacing w:after="0" w:line="156" w:lineRule="exact"/>
        <w:rPr>
          <w:rFonts w:ascii="Times New Roman" w:cs="Times New Roman" w:eastAsia="Times New Roman" w:hAnsi="Times New Roman"/>
          <w:sz w:val="16"/>
          <w:szCs w:val="16"/>
          <w:color w:val="auto"/>
        </w:rPr>
      </w:pPr>
    </w:p>
    <w:p>
      <w:pPr>
        <w:jc w:val="both"/>
        <w:ind w:firstLine="592"/>
        <w:spacing w:after="0" w:line="264" w:lineRule="auto"/>
        <w:tabs>
          <w:tab w:leader="none" w:pos="78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Press Releases</w:t>
      </w:r>
      <w:r>
        <w:rPr>
          <w:rFonts w:ascii="Times New Roman" w:cs="Times New Roman" w:eastAsia="Times New Roman" w:hAnsi="Times New Roman"/>
          <w:sz w:val="16"/>
          <w:szCs w:val="16"/>
          <w:color w:val="auto"/>
        </w:rPr>
        <w:t>. The Company shall not, and shall not permit any of its Subsidiaries to, issue or disseminate to the public (by advertisement, press release or otherwise), submit for publication or otherwise cause or seek to publish any information naming any of the Holders without the prior written consent of such Holder; provided that, nothing in the foregoing shall be construed to prohibit the Company from making any submission or filing (i) which it is required to make by applicable law or pursuant to judicial process, (ii) as required by federal securities law in connection with the filing of final Transaction Documents with the SEC, or (iii) to the extent such disclosure is required by law or the Principal Market regulations; provided further, that (i) such filing or submission shall contain only such information as is necessary to comply with applicable law or judicial process and (ii) unless specifically prohibited by applicable law or court order, the Company shall promptly notify the Holders of the requirement to make such submission or filing and provide the Holders with a copy thereof.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4" w:name="page95"/>
    <w:bookmarkEnd w:id="94"/>
    <w:p>
      <w:pPr>
        <w:ind w:left="161" w:hanging="161"/>
        <w:spacing w:after="0"/>
        <w:tabs>
          <w:tab w:leader="none" w:pos="161"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REGISTER; TRANSFER AGENT INSTRUCTIONS.</w:t>
      </w:r>
    </w:p>
    <w:p>
      <w:pPr>
        <w:spacing w:after="0" w:line="215" w:lineRule="exact"/>
        <w:rPr>
          <w:rFonts w:ascii="Times New Roman" w:cs="Times New Roman" w:eastAsia="Times New Roman" w:hAnsi="Times New Roman"/>
          <w:sz w:val="16"/>
          <w:szCs w:val="16"/>
          <w:b w:val="1"/>
          <w:bCs w:val="1"/>
          <w:color w:val="auto"/>
        </w:rPr>
      </w:pPr>
    </w:p>
    <w:p>
      <w:pPr>
        <w:jc w:val="both"/>
        <w:ind w:left="1" w:firstLine="592"/>
        <w:spacing w:after="0" w:line="265" w:lineRule="auto"/>
        <w:tabs>
          <w:tab w:leader="none" w:pos="818"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The Company shall maintain at its principal executive offices (or such other office or agency of the Company as it may designate by notice to each holder of Securities), a register for the registration of the Securities in which the Company shall record the name and address of the Person in whose name the Exchange Notes have been issued (including the name and address of each transferee), the aggregate amount of the Exchange Notes held by such Person, and the number of Exchange Note Shares issuable pursuant to the terms of the Exchange Notes held by such Person. The Company shall keep the register open and available at all times during business hours for inspection of any Holder or its legal representatives. This provision shall be construed such that the Securities and the Exchange Notes are at all times maintained in “registered form” within the meanings of Sections 163(f), 871(h)(2) and 881(c)(2) of the Code and any Treasury Regulations promulgated thereunder.</w:t>
      </w:r>
    </w:p>
    <w:p>
      <w:pPr>
        <w:spacing w:after="0" w:line="164" w:lineRule="exact"/>
        <w:rPr>
          <w:rFonts w:ascii="Times New Roman" w:cs="Times New Roman" w:eastAsia="Times New Roman" w:hAnsi="Times New Roman"/>
          <w:sz w:val="16"/>
          <w:szCs w:val="16"/>
          <w:color w:val="auto"/>
        </w:rPr>
      </w:pPr>
    </w:p>
    <w:p>
      <w:pPr>
        <w:jc w:val="both"/>
        <w:ind w:left="1" w:firstLine="592"/>
        <w:spacing w:after="0" w:line="259" w:lineRule="auto"/>
        <w:tabs>
          <w:tab w:leader="none" w:pos="839"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Agent Instructions</w:t>
      </w:r>
      <w:r>
        <w:rPr>
          <w:rFonts w:ascii="Times New Roman" w:cs="Times New Roman" w:eastAsia="Times New Roman" w:hAnsi="Times New Roman"/>
          <w:sz w:val="16"/>
          <w:szCs w:val="16"/>
          <w:color w:val="auto"/>
        </w:rPr>
        <w:t>. The Company shall issue irrevocable instructions to its transfer agent and any subsequent transfer agent (as applicable)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in a form acceptable to each of the Holders (the “</w:t>
      </w:r>
      <w:r>
        <w:rPr>
          <w:rFonts w:ascii="Times New Roman" w:cs="Times New Roman" w:eastAsia="Times New Roman" w:hAnsi="Times New Roman"/>
          <w:sz w:val="16"/>
          <w:szCs w:val="16"/>
          <w:b w:val="1"/>
          <w:bCs w:val="1"/>
          <w:color w:val="auto"/>
        </w:rPr>
        <w:t>Irrevocable Transfer Agent Instructions</w:t>
      </w:r>
      <w:r>
        <w:rPr>
          <w:rFonts w:ascii="Times New Roman" w:cs="Times New Roman" w:eastAsia="Times New Roman" w:hAnsi="Times New Roman"/>
          <w:sz w:val="16"/>
          <w:szCs w:val="16"/>
          <w:color w:val="auto"/>
        </w:rPr>
        <w:t>”) to credit shares to each such Holder’s (or its designee’s) account at DTC through its Deposit/Withdrawal At Custodian (“</w:t>
      </w:r>
      <w:r>
        <w:rPr>
          <w:rFonts w:ascii="Times New Roman" w:cs="Times New Roman" w:eastAsia="Times New Roman" w:hAnsi="Times New Roman"/>
          <w:sz w:val="16"/>
          <w:szCs w:val="16"/>
          <w:b w:val="1"/>
          <w:bCs w:val="1"/>
          <w:color w:val="auto"/>
        </w:rPr>
        <w:t>DWAC</w:t>
      </w:r>
      <w:r>
        <w:rPr>
          <w:rFonts w:ascii="Times New Roman" w:cs="Times New Roman" w:eastAsia="Times New Roman" w:hAnsi="Times New Roman"/>
          <w:sz w:val="16"/>
          <w:szCs w:val="16"/>
          <w:color w:val="auto"/>
        </w:rPr>
        <w:t>”) System, provided that the Transfer Agent is participating in the DTC Fast Automated Securities Transfer Program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and the shares are then eligible for transfer through the DWAC System, or, if the Transfer Agent is not participating in FAST or if the shares are not then eligible for transfer through the DWAC system, issue and dispatch by overnight courier to the address as specified in the conversion notice, a certificate, registered in the name of such Holder or its designee, for the applicable number of shares in such amounts as specified from time to time by the Holders, pursuant to the terms of the Exchange Notes, and that if the Company is then in compliance with its obligations under Section 4(c) hereof (or if such Exchange Note Shares shall be issued on or after March 23, 2023, with respect to the Exchange Notes regardless of whether the Company is then in compliance with its obligations under Section 4(c) hereof) such shares shall not bear any legend referring to transfer restrictions under the Securities Act or other securities law. The Company represents and warrants that no instruction other than the Irrevocable Transfer Agent Instructions referred to in this Section 5(b), and stop transfer instructions to give effect to Section 2(h) hereof, will be given by the Company to the Transfer Agent with respect to the Securities, and that the Securities shall otherwise be freely transferable on the books and records of the Company, as applicable, to the extent provided in this Agreement and the other Transaction Documents. If a Holder effects a sale, assignment or transfer of the Securities in accordance with Section 2(h), the Company shall permit the transfer and shall promptly instruct the Transfer Agent to issue one or more certificates or credit shares to the applicable balance accounts at DTC in such name and in such denominations as specified by such Holder to effect such sale, transfer or assignment. In the event that such sale, assignment or transfer involves Exchange Note Shares sold, assigned or transferred pursuant to an effective registration statement or in compliance with Rule 144, the Transfer Agent shall issue such shares to such Holder, assignee or transferee (as the case may be) without any restrictive legend in accordance with Section 5(d). The Company acknowledges that a breach by it of its obligations hereunder will cause irreparable harm to a Holder. Accordingly, the Company acknowledges that the remedy at law for a breach of its obligations under this Section 5(b) will be inadequate and agrees, in the event of a breach or threatened breach by the Company of the provisions of this Section 5(b), that a Holder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removal of any legends on any of the Securities shall be borne by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95" w:name="page96"/>
    <w:bookmarkEnd w:id="95"/>
    <w:p>
      <w:pPr>
        <w:jc w:val="both"/>
        <w:ind w:firstLine="592"/>
        <w:spacing w:after="0" w:line="271" w:lineRule="auto"/>
        <w:tabs>
          <w:tab w:leader="none" w:pos="82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Each Holder understands that the Securities have been issued (or will be issued in the case of the Optional Exchange Notes and Exchange Note Shares) pursuant to an exemption from registration or qualification under the 1933 Act and applicable state securities laws, and except as set forth herein, the Securities shall bear any legend as required by the “blue sky” laws of any state and a restrictive legend in substantially the following form (and a stop-transfer order may be placed against transfer of such stock certificates):</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Exchange Note Legend</w:t>
      </w:r>
    </w:p>
    <w:p>
      <w:pPr>
        <w:spacing w:after="0" w:line="215" w:lineRule="exact"/>
        <w:rPr>
          <w:sz w:val="20"/>
          <w:szCs w:val="20"/>
          <w:color w:val="auto"/>
        </w:rPr>
      </w:pPr>
    </w:p>
    <w:p>
      <w:pPr>
        <w:jc w:val="both"/>
        <w:ind w:left="600"/>
        <w:spacing w:after="0" w:line="267" w:lineRule="auto"/>
        <w:rPr>
          <w:sz w:val="20"/>
          <w:szCs w:val="20"/>
          <w:color w:val="auto"/>
        </w:rPr>
      </w:pPr>
      <w:r>
        <w:rPr>
          <w:rFonts w:ascii="Times New Roman" w:cs="Times New Roman" w:eastAsia="Times New Roman" w:hAnsi="Times New Roman"/>
          <w:sz w:val="16"/>
          <w:szCs w:val="16"/>
          <w:color w:val="auto"/>
        </w:rPr>
        <w:t>THE ISSUANCE AND SALE OF THE SECURITIES REPRESENTED BY THIS CERTIFICATE HAVE BEEN REGISTERED UNDER THE SECURITIES ACT OF 1933, AS AMENDED (THE “SECURITIES ACT”), OR APPLICABLE STATE SECURITIES LAWS. UNTIL MARCH 23, 2023,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Exchange Note Shares Legend</w:t>
      </w:r>
    </w:p>
    <w:p>
      <w:pPr>
        <w:spacing w:after="0" w:line="215"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6"/>
          <w:szCs w:val="16"/>
          <w:color w:val="auto"/>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6" w:name="page97"/>
    <w:bookmarkEnd w:id="96"/>
    <w:p>
      <w:pPr>
        <w:jc w:val="both"/>
        <w:ind w:firstLine="592"/>
        <w:spacing w:after="0" w:line="260" w:lineRule="auto"/>
        <w:tabs>
          <w:tab w:leader="none" w:pos="82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 of Legends</w:t>
      </w:r>
      <w:r>
        <w:rPr>
          <w:rFonts w:ascii="Times New Roman" w:cs="Times New Roman" w:eastAsia="Times New Roman" w:hAnsi="Times New Roman"/>
          <w:sz w:val="16"/>
          <w:szCs w:val="16"/>
          <w:color w:val="auto"/>
        </w:rPr>
        <w:t>. Certificates evidencing Securities shall not be required to contain the legend set forth in Section 5(c) or any other legend (i) while a registration statement covering the resale of such Securities is effective under the 1933 Act, (ii) following any sale of such Securities pursuant to Rule 144 (assuming the transferor is not an affiliate of the Company), provided that a Holder furnishes the Company with reasonable assurances that such Securities are eligible for sale, assignment or transfer under Rule 144, which shall not include an opinion of Holder’s counsel, (iii) if such Securities are eligible to be sold, assigned or transferred under Rule 144 free of the current public information reporting requirement contained in Rule 144(c)(1), (iv) in connection with a sale, assignment or other transfer (other than under Rule 144), provided that such Holder provides the Company with an opinion of counsel to such Holder, in a generally acceptable form, to the effect that such sale, assignment or transfer of the Securities may be made without registration under the applicable provisions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such Holder delivers such legended certificate representing such Securities to the Company) following the delivery by a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Holder as may be reasonably required above in this Section 5(d) (such date, the “</w:t>
      </w:r>
      <w:r>
        <w:rPr>
          <w:rFonts w:ascii="Times New Roman" w:cs="Times New Roman" w:eastAsia="Times New Roman" w:hAnsi="Times New Roman"/>
          <w:sz w:val="16"/>
          <w:szCs w:val="16"/>
          <w:b w:val="1"/>
          <w:bCs w:val="1"/>
          <w:color w:val="auto"/>
        </w:rPr>
        <w:t>Legend Removal Date</w:t>
      </w:r>
      <w:r>
        <w:rPr>
          <w:rFonts w:ascii="Times New Roman" w:cs="Times New Roman" w:eastAsia="Times New Roman" w:hAnsi="Times New Roman"/>
          <w:sz w:val="16"/>
          <w:szCs w:val="16"/>
          <w:color w:val="auto"/>
        </w:rPr>
        <w:t>”), as directed by such Holder, either: (A) provided that the Transfer Agent is participating in FAST, credit the applicable number of shares of Common Stock to which such Holder shall be entitled to such Holder’s or its designee’s balance account with DTC through its DWAC system or (B) if the Transfer Agent is not participating in FAST, issue and deliver (via reputable overnight courier) to such Holder, a certificate representing such Securities that is free from all restrictive and other legends, registered in the name of such Holder or its designee. The Company shall be responsible for any transfer agent fees or DTC fees with respect to any issuance of Securities or the removal of any legends with respect to any Securities in accordance herewith and the Holder shall not be required to deliver or cause to be delivered a legal opinion in connection with a sale of such Securities pursuant to Rule 144.</w:t>
      </w:r>
    </w:p>
    <w:p>
      <w:pPr>
        <w:spacing w:after="0" w:line="364" w:lineRule="exact"/>
        <w:rPr>
          <w:rFonts w:ascii="Times New Roman" w:cs="Times New Roman" w:eastAsia="Times New Roman" w:hAnsi="Times New Roman"/>
          <w:sz w:val="16"/>
          <w:szCs w:val="16"/>
          <w:color w:val="auto"/>
        </w:rPr>
      </w:pPr>
    </w:p>
    <w:p>
      <w:pPr>
        <w:jc w:val="both"/>
        <w:ind w:firstLine="592"/>
        <w:spacing w:after="0" w:line="260" w:lineRule="auto"/>
        <w:tabs>
          <w:tab w:leader="none" w:pos="82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or the Transfer Agent fails to deliver shares to a Holder or an applicable assignee or transferee (as the case may be) without any restrictive legend in accordance with Section 5(b) or Section 5(d), then in addition to such Holder’s other available remedies hereunder, the Company shall pay to such Holder, in cash, (1) as partial liquidated damages and not as a penalty, for each $1,000 of Exchange Note Shares (based on the Daily VWAP (as defined in the Exchange Notes) on the date that the Holder delivered notice of its entitlement to such shares of the Common Stock on the date such Holder delivers notice or a legended certificate, as applicable, to the Company or the Transfer Agent) for which the Company or the Transfer Agent fails to deliver shares without any restrictive legend an amount equal to $10 per Trading Day (increasing to $20 per Trading Day five (5) Trading Days after such damages have begun to accrue) for each Trading Day after the Legend Removal Date until such undelivered shares are delivered without a legend; and (2) if the Company is obligated to remove the restrictive legends pursuant to Section 5(d) but fails to (a) issue and deliver (or cause to be delivered) shares to a Holder by the Legend Removal Date that are free from all restrictive and other legends and (b) if after the Legend Removal Date a Holder purchases (in an open market transaction or otherwise) shares of Common Stock to deliver in settlement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shares of Common Stock that the Company was required to deliver to the Holder by the Legend Removal Date multiplied by (B) the price at which the sell order giving rise to such purchase obligation was executed. For avoidance of doubt, this Section 5(e) shall not be duplicative with any provisions in the Exchange Notes addressing any failure to deliver shares without restrictive legends.</w:t>
      </w:r>
    </w:p>
    <w:p>
      <w:pPr>
        <w:spacing w:after="0" w:line="171" w:lineRule="exact"/>
        <w:rPr>
          <w:rFonts w:ascii="Times New Roman" w:cs="Times New Roman" w:eastAsia="Times New Roman" w:hAnsi="Times New Roman"/>
          <w:sz w:val="16"/>
          <w:szCs w:val="16"/>
          <w:color w:val="auto"/>
        </w:rPr>
      </w:pPr>
    </w:p>
    <w:p>
      <w:pPr>
        <w:ind w:left="800" w:hanging="208"/>
        <w:spacing w:after="0"/>
        <w:tabs>
          <w:tab w:leader="none" w:pos="8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FAST Compliance</w:t>
      </w:r>
      <w:r>
        <w:rPr>
          <w:rFonts w:ascii="Times New Roman" w:cs="Times New Roman" w:eastAsia="Times New Roman" w:hAnsi="Times New Roman"/>
          <w:sz w:val="16"/>
          <w:szCs w:val="16"/>
          <w:color w:val="auto"/>
        </w:rPr>
        <w:t>. While any Exchange Notes remain outstanding, the Company shall maintain a transfer agent that participates in FAST.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7" w:name="page98"/>
    <w:bookmarkEnd w:id="97"/>
    <w:p>
      <w:pPr>
        <w:ind w:left="161" w:hanging="161"/>
        <w:spacing w:after="0"/>
        <w:tabs>
          <w:tab w:leader="none" w:pos="161"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TO THE COMPANY’S OBLIGATION TO EXCHANGE THE PRIOR NOTES FOR THE EXCHANGE NOTES.</w:t>
      </w:r>
    </w:p>
    <w:p>
      <w:pPr>
        <w:spacing w:after="0" w:line="215" w:lineRule="exact"/>
        <w:rPr>
          <w:rFonts w:ascii="Times New Roman" w:cs="Times New Roman" w:eastAsia="Times New Roman" w:hAnsi="Times New Roman"/>
          <w:sz w:val="16"/>
          <w:szCs w:val="16"/>
          <w:b w:val="1"/>
          <w:bCs w:val="1"/>
          <w:color w:val="auto"/>
        </w:rPr>
      </w:pPr>
    </w:p>
    <w:p>
      <w:pPr>
        <w:jc w:val="both"/>
        <w:ind w:left="1" w:firstLine="592"/>
        <w:spacing w:after="0" w:line="277" w:lineRule="auto"/>
        <w:tabs>
          <w:tab w:leader="none" w:pos="83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Company hereunder to issue the Exchange Notes to each Holder at the Initial Closing and the Optional Closing is subject to the satisfaction, at or before the Initial Closing Date and the Optional Closing Date, as applicable, of each of the following conditions, provided that these conditions are for the Company’s sole benefit and may be waived by the Company at any time in its sole discretion by providing each Holder with prior written notice thereof:</w:t>
      </w:r>
    </w:p>
    <w:p>
      <w:pPr>
        <w:spacing w:after="0" w:line="153" w:lineRule="exact"/>
        <w:rPr>
          <w:rFonts w:ascii="Times New Roman" w:cs="Times New Roman" w:eastAsia="Times New Roman" w:hAnsi="Times New Roman"/>
          <w:sz w:val="16"/>
          <w:szCs w:val="16"/>
          <w:color w:val="auto"/>
        </w:rPr>
      </w:pPr>
    </w:p>
    <w:p>
      <w:pPr>
        <w:ind w:left="1381" w:hanging="196"/>
        <w:spacing w:after="0"/>
        <w:tabs>
          <w:tab w:leader="none" w:pos="1381"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executed each of the other Transaction Documents to which it is a party and delivered the same to the Company.</w:t>
      </w:r>
    </w:p>
    <w:p>
      <w:pPr>
        <w:spacing w:after="0" w:line="211" w:lineRule="exact"/>
        <w:rPr>
          <w:rFonts w:ascii="Times New Roman" w:cs="Times New Roman" w:eastAsia="Times New Roman" w:hAnsi="Times New Roman"/>
          <w:sz w:val="16"/>
          <w:szCs w:val="16"/>
          <w:color w:val="auto"/>
        </w:rPr>
      </w:pPr>
    </w:p>
    <w:p>
      <w:pPr>
        <w:jc w:val="both"/>
        <w:ind w:left="601" w:firstLine="584"/>
        <w:spacing w:after="0" w:line="277" w:lineRule="auto"/>
        <w:tabs>
          <w:tab w:leader="none" w:pos="1443"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and each other Holder shall have been deemed to have delivered to the Company the aggregate principal amount of Prior Notes as set forth opposite such Holder’s name in column (4) or as set forth on the Holder Optional Exchange Notes Notice in accordance with Section 1 on the applicable Closing Date.</w:t>
      </w:r>
    </w:p>
    <w:p>
      <w:pPr>
        <w:spacing w:after="0" w:line="153" w:lineRule="exact"/>
        <w:rPr>
          <w:rFonts w:ascii="Times New Roman" w:cs="Times New Roman" w:eastAsia="Times New Roman" w:hAnsi="Times New Roman"/>
          <w:sz w:val="16"/>
          <w:szCs w:val="16"/>
          <w:color w:val="auto"/>
        </w:rPr>
      </w:pPr>
    </w:p>
    <w:p>
      <w:pPr>
        <w:jc w:val="both"/>
        <w:ind w:left="601" w:firstLine="584"/>
        <w:spacing w:after="0" w:line="267" w:lineRule="auto"/>
        <w:tabs>
          <w:tab w:leader="none" w:pos="1486"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such Holder shall be true and correct in all material respects (except for such representations and warranties that are qualified by materiality or material adverse effect, which shall be true and correct in all respects) as of the date when made and as of such Closing Date as though originally made at that time (except for representations and warranties that speak as of a specific date, which shall be true and correct as of such specific date), and such Holder shall have performed, satisfied and complied in all material respects with the covenants, agreements and conditions required by this Agreement to be performed, satisfied or complied with by such Holder at or prior to such Closing Date.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98" w:name="page99"/>
    <w:bookmarkEnd w:id="98"/>
    <w:p>
      <w:pPr>
        <w:ind w:left="161" w:hanging="161"/>
        <w:spacing w:after="0"/>
        <w:tabs>
          <w:tab w:leader="none" w:pos="161"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TO EACH HOLDER’S OBLIGATION TO EXCHANGE THE PRIOR NOTES FOR THE EXCHANGE NOTES.</w:t>
      </w:r>
    </w:p>
    <w:p>
      <w:pPr>
        <w:spacing w:after="0" w:line="215" w:lineRule="exact"/>
        <w:rPr>
          <w:rFonts w:ascii="Times New Roman" w:cs="Times New Roman" w:eastAsia="Times New Roman" w:hAnsi="Times New Roman"/>
          <w:sz w:val="16"/>
          <w:szCs w:val="16"/>
          <w:b w:val="1"/>
          <w:bCs w:val="1"/>
          <w:color w:val="auto"/>
        </w:rPr>
      </w:pPr>
    </w:p>
    <w:p>
      <w:pPr>
        <w:jc w:val="both"/>
        <w:ind w:left="1" w:firstLine="592"/>
        <w:spacing w:after="0" w:line="277" w:lineRule="auto"/>
        <w:tabs>
          <w:tab w:leader="none" w:pos="825"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each Holder hereunder to exchange its Prior Notes for the Initial Exchange Notes at the Initial Closing is subject to the satisfaction, at or before the Initial Closing Date, of each of the following conditions, provided that these conditions are for each Holder’s sole benefit and may be waived by such Holder at any time in its sole discretion by providing the Company with prior written notice thereof:</w:t>
      </w:r>
    </w:p>
    <w:p>
      <w:pPr>
        <w:spacing w:after="0" w:line="153" w:lineRule="exact"/>
        <w:rPr>
          <w:rFonts w:ascii="Times New Roman" w:cs="Times New Roman" w:eastAsia="Times New Roman" w:hAnsi="Times New Roman"/>
          <w:sz w:val="16"/>
          <w:szCs w:val="16"/>
          <w:color w:val="auto"/>
        </w:rPr>
      </w:pPr>
    </w:p>
    <w:p>
      <w:pPr>
        <w:jc w:val="both"/>
        <w:ind w:left="601" w:firstLine="584"/>
        <w:spacing w:after="0" w:line="277" w:lineRule="auto"/>
        <w:tabs>
          <w:tab w:leader="none" w:pos="1389"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Subsidiary (as the case may be) shall have duly executed and delivered to such Holder each of the Transaction Documents to which it is a party and the Company shall have duly executed and delivered to such Holder the Initial Exchange Notes set forth across from such Holder’s name on the Schedule of Holders at the Initial Closing pursuant to this Agreement.</w:t>
      </w:r>
    </w:p>
    <w:p>
      <w:pPr>
        <w:spacing w:after="0" w:line="153" w:lineRule="exact"/>
        <w:rPr>
          <w:rFonts w:ascii="Times New Roman" w:cs="Times New Roman" w:eastAsia="Times New Roman" w:hAnsi="Times New Roman"/>
          <w:sz w:val="16"/>
          <w:szCs w:val="16"/>
          <w:color w:val="auto"/>
        </w:rPr>
      </w:pPr>
    </w:p>
    <w:p>
      <w:pPr>
        <w:ind w:left="601" w:firstLine="584"/>
        <w:spacing w:after="0" w:line="297" w:lineRule="auto"/>
        <w:tabs>
          <w:tab w:leader="none" w:pos="1450"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Burns &amp; Levinson LLP, the Company’s counsel, dated as of the Initial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1" w:firstLine="584"/>
        <w:spacing w:after="0" w:line="297" w:lineRule="auto"/>
        <w:tabs>
          <w:tab w:leader="none" w:pos="1489"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Sherman &amp; Howard LLC, in its capacity as the Company’s Nevada counsel, dated as of the Initial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1" w:firstLine="584"/>
        <w:spacing w:after="0" w:line="297" w:lineRule="auto"/>
        <w:tabs>
          <w:tab w:leader="none" w:pos="1476"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Sherman &amp; Howard LLC, in its capacity as the Company’s Colorado counsel, dated as of the Initial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1" w:firstLine="584"/>
        <w:spacing w:after="0" w:line="297" w:lineRule="auto"/>
        <w:tabs>
          <w:tab w:leader="none" w:pos="1430"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copy of the Irrevocable Transfer Agent Instructions, dated as of the Initial Closing Date, in the form acceptable to such Holder, which instructions shall have been delivered to and acknowledged in writing by the Transfer Agent.</w:t>
      </w:r>
    </w:p>
    <w:p>
      <w:pPr>
        <w:spacing w:after="0" w:line="137" w:lineRule="exact"/>
        <w:rPr>
          <w:rFonts w:ascii="Times New Roman" w:cs="Times New Roman" w:eastAsia="Times New Roman" w:hAnsi="Times New Roman"/>
          <w:sz w:val="16"/>
          <w:szCs w:val="16"/>
          <w:color w:val="auto"/>
        </w:rPr>
      </w:pPr>
    </w:p>
    <w:p>
      <w:pPr>
        <w:jc w:val="both"/>
        <w:ind w:left="601" w:firstLine="584"/>
        <w:spacing w:after="0" w:line="290" w:lineRule="auto"/>
        <w:tabs>
          <w:tab w:leader="none" w:pos="1496"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certificate evidencing the formation and good standing of the Company in such entity’s jurisdiction of formation issued by the Secretary of State (or comparable office) of such jurisdiction of formation as of a date within ten (10) days of the Initial Closing Date.</w:t>
      </w:r>
    </w:p>
    <w:p>
      <w:pPr>
        <w:spacing w:after="0" w:line="345" w:lineRule="exact"/>
        <w:rPr>
          <w:rFonts w:ascii="Times New Roman" w:cs="Times New Roman" w:eastAsia="Times New Roman" w:hAnsi="Times New Roman"/>
          <w:sz w:val="16"/>
          <w:szCs w:val="16"/>
          <w:color w:val="auto"/>
        </w:rPr>
      </w:pPr>
    </w:p>
    <w:p>
      <w:pPr>
        <w:jc w:val="both"/>
        <w:ind w:left="601" w:firstLine="584"/>
        <w:spacing w:after="0" w:line="267" w:lineRule="auto"/>
        <w:tabs>
          <w:tab w:leader="none" w:pos="1523"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certificate, in the form acceptable to such Holder, executed by the Secretary of the Company and dated as of the Initial Closing Date, as to (i) the resolutions consistent with Section 3(b) as adopted by the Company’s Board of Directors or a committee thereof in a form reasonably acceptable to such Holder, (ii) the Articles of Incorporation of the Company and (iii) the Bylaws of the Company, each as in effect at the Initial Closing, or with respect to clauses (ii) and (iii), certifying that there have been no changes to the Articles of Incorporation of the Company or the Bylaws of the Company since last delivered to the Holders.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5" w:right="339" w:bottom="1440" w:gutter="0" w:footer="0" w:header="0"/>
        </w:sectPr>
      </w:pPr>
    </w:p>
    <w:bookmarkStart w:id="99" w:name="page100"/>
    <w:bookmarkEnd w:id="99"/>
    <w:p>
      <w:pPr>
        <w:jc w:val="both"/>
        <w:ind w:firstLine="584"/>
        <w:spacing w:after="0" w:line="264" w:lineRule="auto"/>
        <w:tabs>
          <w:tab w:leader="none" w:pos="968"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Initial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Initial Closing Date. Such Holder shall have received a certificate, duly executed by the Chief Executive Officer or Chief Financial Officer of the Company, dated as of the Initial Closing Date, to the foregoing effect and as to such other matters as may be reasonably requested by such Holder in the form acceptable to such Holder.</w:t>
      </w:r>
    </w:p>
    <w:p>
      <w:pPr>
        <w:spacing w:after="0" w:line="164" w:lineRule="exact"/>
        <w:rPr>
          <w:rFonts w:ascii="Times New Roman" w:cs="Times New Roman" w:eastAsia="Times New Roman" w:hAnsi="Times New Roman"/>
          <w:sz w:val="16"/>
          <w:szCs w:val="16"/>
          <w:color w:val="auto"/>
        </w:rPr>
      </w:pPr>
    </w:p>
    <w:p>
      <w:pPr>
        <w:jc w:val="both"/>
        <w:ind w:firstLine="584"/>
        <w:spacing w:after="0" w:line="277" w:lineRule="auto"/>
        <w:tabs>
          <w:tab w:leader="none" w:pos="87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(A) shall be designated for quotation or listed (as applicable) on the Principal Market and (B) shall not have been suspended, as of the Initial Closing Date, by the SEC or the Principal Market from trading on the Principal Market nor shall suspension by the SEC or the Principal Market have been threatened, as of the Initial Closing Date, in writing by the SEC or the Principal Market.</w:t>
      </w:r>
    </w:p>
    <w:p>
      <w:pPr>
        <w:spacing w:after="0" w:line="153" w:lineRule="exact"/>
        <w:rPr>
          <w:rFonts w:ascii="Times New Roman" w:cs="Times New Roman" w:eastAsia="Times New Roman" w:hAnsi="Times New Roman"/>
          <w:sz w:val="16"/>
          <w:szCs w:val="16"/>
          <w:color w:val="auto"/>
        </w:rPr>
      </w:pPr>
    </w:p>
    <w:p>
      <w:pPr>
        <w:ind w:firstLine="584"/>
        <w:spacing w:after="0" w:line="297" w:lineRule="auto"/>
        <w:tabs>
          <w:tab w:leader="none" w:pos="82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all governmental, regulatory or third party consents and approvals, if any, necessary for the exchange of the Initial Exchange Notes, including without limitation, those required by the Principal Market, if any.</w:t>
      </w:r>
    </w:p>
    <w:p>
      <w:pPr>
        <w:spacing w:after="0" w:line="137" w:lineRule="exact"/>
        <w:rPr>
          <w:rFonts w:ascii="Times New Roman" w:cs="Times New Roman" w:eastAsia="Times New Roman" w:hAnsi="Times New Roman"/>
          <w:sz w:val="16"/>
          <w:szCs w:val="16"/>
          <w:color w:val="auto"/>
        </w:rPr>
      </w:pPr>
    </w:p>
    <w:p>
      <w:pPr>
        <w:ind w:firstLine="584"/>
        <w:spacing w:after="0" w:line="297" w:lineRule="auto"/>
        <w:tabs>
          <w:tab w:leader="none" w:pos="877"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37" w:lineRule="exact"/>
        <w:rPr>
          <w:rFonts w:ascii="Times New Roman" w:cs="Times New Roman" w:eastAsia="Times New Roman" w:hAnsi="Times New Roman"/>
          <w:sz w:val="16"/>
          <w:szCs w:val="16"/>
          <w:color w:val="auto"/>
        </w:rPr>
      </w:pPr>
    </w:p>
    <w:p>
      <w:pPr>
        <w:ind w:left="920" w:hanging="336"/>
        <w:spacing w:after="0"/>
        <w:tabs>
          <w:tab w:leader="none" w:pos="9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execution of this Agreement, no event or series of events shall have occurred that would have or result in a Material Adverse</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w:t>
      </w:r>
    </w:p>
    <w:p>
      <w:pPr>
        <w:spacing w:after="0" w:line="194" w:lineRule="exact"/>
        <w:rPr>
          <w:rFonts w:ascii="Times New Roman" w:cs="Times New Roman" w:eastAsia="Times New Roman" w:hAnsi="Times New Roman"/>
          <w:sz w:val="16"/>
          <w:szCs w:val="16"/>
          <w:color w:val="auto"/>
        </w:rPr>
      </w:pPr>
    </w:p>
    <w:p>
      <w:pPr>
        <w:jc w:val="both"/>
        <w:ind w:firstLine="584"/>
        <w:spacing w:after="0" w:line="277" w:lineRule="auto"/>
        <w:tabs>
          <w:tab w:leader="none" w:pos="978"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approval of the Principal Market to list or designate for quotation (as the case may be) the Exchange Note Shares for the Initial Exchange Notes and confirmation from the Principal Market that no stockholder vote or other conditions under the rules of the Principal Market shall apply to the sale of the Initial Exchange Notes or the issuance of such Exchange Note Shares.</w:t>
      </w:r>
    </w:p>
    <w:p>
      <w:pPr>
        <w:spacing w:after="0" w:line="153" w:lineRule="exact"/>
        <w:rPr>
          <w:rFonts w:ascii="Times New Roman" w:cs="Times New Roman" w:eastAsia="Times New Roman" w:hAnsi="Times New Roman"/>
          <w:sz w:val="16"/>
          <w:szCs w:val="16"/>
          <w:color w:val="auto"/>
        </w:rPr>
      </w:pPr>
    </w:p>
    <w:p>
      <w:pPr>
        <w:jc w:val="both"/>
        <w:ind w:firstLine="584"/>
        <w:spacing w:after="0" w:line="290" w:lineRule="auto"/>
        <w:tabs>
          <w:tab w:leader="none" w:pos="95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costs, fees, expenses (including, without limitation legal fees and expenses) contemplated hereby to be payable to the Holders shall have been paid to the extent due and, in the case of expenses of the Holders that are reimbursable in accordance herewith, invoiced at least one day prior to the Initial Closing Date.</w:t>
      </w:r>
    </w:p>
    <w:p>
      <w:pPr>
        <w:spacing w:after="0" w:line="345" w:lineRule="exact"/>
        <w:rPr>
          <w:rFonts w:ascii="Times New Roman" w:cs="Times New Roman" w:eastAsia="Times New Roman" w:hAnsi="Times New Roman"/>
          <w:sz w:val="16"/>
          <w:szCs w:val="16"/>
          <w:color w:val="auto"/>
        </w:rPr>
      </w:pPr>
    </w:p>
    <w:p>
      <w:pPr>
        <w:ind w:firstLine="584"/>
        <w:spacing w:after="0" w:line="297" w:lineRule="auto"/>
        <w:tabs>
          <w:tab w:leader="none" w:pos="92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to the Holder the Prior Note Pay Down along with all accrued but unpaid interest, to, and including the Initial Closing Date, on the amount of principal being repaid.</w:t>
      </w:r>
    </w:p>
    <w:p>
      <w:pPr>
        <w:spacing w:after="0" w:line="137" w:lineRule="exact"/>
        <w:rPr>
          <w:rFonts w:ascii="Times New Roman" w:cs="Times New Roman" w:eastAsia="Times New Roman" w:hAnsi="Times New Roman"/>
          <w:sz w:val="16"/>
          <w:szCs w:val="16"/>
          <w:color w:val="auto"/>
        </w:rPr>
      </w:pPr>
    </w:p>
    <w:p>
      <w:pPr>
        <w:ind w:left="940" w:hanging="356"/>
        <w:spacing w:after="0"/>
        <w:tabs>
          <w:tab w:leader="none" w:pos="9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executed the Amendment to Prior Notes.</w:t>
      </w: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10795</wp:posOffset>
            </wp:positionV>
            <wp:extent cx="714375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0"/>
          </w:cols>
          <w:pgMar w:left="920" w:top="839" w:right="339" w:bottom="1440" w:gutter="0" w:footer="0" w:header="0"/>
        </w:sectPr>
      </w:pPr>
    </w:p>
    <w:bookmarkStart w:id="100" w:name="page101"/>
    <w:bookmarkEnd w:id="100"/>
    <w:p>
      <w:pPr>
        <w:ind w:left="600" w:firstLine="584"/>
        <w:spacing w:after="0" w:line="297" w:lineRule="auto"/>
        <w:tabs>
          <w:tab w:leader="none" w:pos="1601"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to the Holder all accrued but unpaid interest, to, and including, the Initial Closing Date, on the amount of principal being exchanged hereunder.</w:t>
      </w:r>
    </w:p>
    <w:p>
      <w:pPr>
        <w:spacing w:after="0" w:line="137" w:lineRule="exact"/>
        <w:rPr>
          <w:rFonts w:ascii="Times New Roman" w:cs="Times New Roman" w:eastAsia="Times New Roman" w:hAnsi="Times New Roman"/>
          <w:sz w:val="16"/>
          <w:szCs w:val="16"/>
          <w:color w:val="auto"/>
        </w:rPr>
      </w:pPr>
    </w:p>
    <w:p>
      <w:pPr>
        <w:ind w:left="600" w:firstLine="584"/>
        <w:spacing w:after="0" w:line="297" w:lineRule="auto"/>
        <w:tabs>
          <w:tab w:leader="none" w:pos="1681"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have delivered to such Holder such other documents, instruments or certificates relating to the transactions contemplated by the Transaction Documents as such Holder or its counsel may reasonably request.</w:t>
      </w:r>
    </w:p>
    <w:p>
      <w:pPr>
        <w:spacing w:after="0" w:line="137" w:lineRule="exact"/>
        <w:rPr>
          <w:rFonts w:ascii="Times New Roman" w:cs="Times New Roman" w:eastAsia="Times New Roman" w:hAnsi="Times New Roman"/>
          <w:sz w:val="16"/>
          <w:szCs w:val="16"/>
          <w:color w:val="auto"/>
        </w:rPr>
      </w:pPr>
    </w:p>
    <w:p>
      <w:pPr>
        <w:jc w:val="both"/>
        <w:ind w:firstLine="592"/>
        <w:spacing w:after="0" w:line="277" w:lineRule="auto"/>
        <w:tabs>
          <w:tab w:leader="none" w:pos="826"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each Holder hereunder to exchange its Prior Notes for the Optional Exchange Notes at the Optional Closing is subject to the satisfaction, at or before the Optional Closing Date, of each of the following conditions, provided that these conditions are for each Holder’s sole benefit and may be waived by such Holder at any time in its sole discretion by providing the Company with prior written notice thereof:</w:t>
      </w:r>
    </w:p>
    <w:p>
      <w:pPr>
        <w:spacing w:after="0" w:line="153" w:lineRule="exact"/>
        <w:rPr>
          <w:rFonts w:ascii="Times New Roman" w:cs="Times New Roman" w:eastAsia="Times New Roman" w:hAnsi="Times New Roman"/>
          <w:sz w:val="16"/>
          <w:szCs w:val="16"/>
          <w:color w:val="auto"/>
        </w:rPr>
      </w:pPr>
    </w:p>
    <w:p>
      <w:pPr>
        <w:jc w:val="both"/>
        <w:ind w:left="600" w:firstLine="584"/>
        <w:spacing w:after="0" w:line="277" w:lineRule="auto"/>
        <w:tabs>
          <w:tab w:leader="none" w:pos="1388"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Subsidiary (as the case may be) shall have duly executed and delivered to such Holder each of the Transaction Documents to which it is a party and the Company shall have duly executed and delivered to such Holder the Optional Exchange Notes set forth across from such Holder’s name on the Holder Optional Exchange Notes Notice at the Optional Closing pursuant to this Agreement.</w:t>
      </w:r>
    </w:p>
    <w:p>
      <w:pPr>
        <w:spacing w:after="0" w:line="153" w:lineRule="exact"/>
        <w:rPr>
          <w:rFonts w:ascii="Times New Roman" w:cs="Times New Roman" w:eastAsia="Times New Roman" w:hAnsi="Times New Roman"/>
          <w:sz w:val="16"/>
          <w:szCs w:val="16"/>
          <w:color w:val="auto"/>
        </w:rPr>
      </w:pPr>
    </w:p>
    <w:p>
      <w:pPr>
        <w:ind w:left="600" w:firstLine="584"/>
        <w:spacing w:after="0" w:line="297" w:lineRule="auto"/>
        <w:tabs>
          <w:tab w:leader="none" w:pos="1441"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Burns &amp; Levinson LLP, the Company’s counsel, dated as of the Optional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0" w:firstLine="584"/>
        <w:spacing w:after="0" w:line="297" w:lineRule="auto"/>
        <w:tabs>
          <w:tab w:leader="none" w:pos="1481"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Sherman &amp; Howard LLC, in its capacity as the Company’s Nevada counsel, dated as of the Optional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0" w:firstLine="584"/>
        <w:spacing w:after="0" w:line="297" w:lineRule="auto"/>
        <w:tabs>
          <w:tab w:leader="none" w:pos="149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Sherman &amp; Howard LLC, in its capacity as the Company’s Colorado counsel, dated as of the Optional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0" w:firstLine="584"/>
        <w:spacing w:after="0" w:line="297" w:lineRule="auto"/>
        <w:tabs>
          <w:tab w:leader="none" w:pos="143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copy of the Irrevocable Transfer Agent Instructions, dated as of the Optional Closing Date, in the form acceptable to such Holder, which instructions shall have been delivered to and acknowledged in writing by the Transfer Agent.</w:t>
      </w:r>
    </w:p>
    <w:p>
      <w:pPr>
        <w:spacing w:after="0" w:line="137" w:lineRule="exact"/>
        <w:rPr>
          <w:rFonts w:ascii="Times New Roman" w:cs="Times New Roman" w:eastAsia="Times New Roman" w:hAnsi="Times New Roman"/>
          <w:sz w:val="16"/>
          <w:szCs w:val="16"/>
          <w:color w:val="auto"/>
        </w:rPr>
      </w:pPr>
    </w:p>
    <w:p>
      <w:pPr>
        <w:jc w:val="both"/>
        <w:ind w:left="600" w:firstLine="584"/>
        <w:spacing w:after="0" w:line="290" w:lineRule="auto"/>
        <w:tabs>
          <w:tab w:leader="none" w:pos="1495"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certificate evidencing the formation and good standing of the Company in such entity’s jurisdiction of formation issued by the Secretary of State (or comparable office) of such jurisdiction of formation as of a date within ten (10) days of the Optional Closing Date.</w:t>
      </w:r>
    </w:p>
    <w:p>
      <w:pPr>
        <w:spacing w:after="0" w:line="345" w:lineRule="exact"/>
        <w:rPr>
          <w:rFonts w:ascii="Times New Roman" w:cs="Times New Roman" w:eastAsia="Times New Roman" w:hAnsi="Times New Roman"/>
          <w:sz w:val="16"/>
          <w:szCs w:val="16"/>
          <w:color w:val="auto"/>
        </w:rPr>
      </w:pPr>
    </w:p>
    <w:p>
      <w:pPr>
        <w:jc w:val="both"/>
        <w:ind w:left="600" w:firstLine="584"/>
        <w:spacing w:after="0" w:line="267" w:lineRule="auto"/>
        <w:tabs>
          <w:tab w:leader="none" w:pos="152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certificate, in the form acceptable to such Holder, executed by the Secretary of the Company and dated as of the Optional Closing Date, as to (i) the resolutions consistent with Section 3(b) as adopted by the Company’s Board of Directors or a committee thereof in a form reasonably acceptable to such Holder, (ii) the Articles of Incorporation of the Company and (iii) the Bylaws of the Company, each as in effect at the Optional Closing, or with respect to clauses (ii) and (iii), certifying that there have been no changes to the Articles of Incorporation of the Company or the Bylaws of the Company since last delivered to the Holders.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01" w:name="page102"/>
    <w:bookmarkEnd w:id="101"/>
    <w:p>
      <w:pPr>
        <w:jc w:val="both"/>
        <w:ind w:firstLine="584"/>
        <w:spacing w:after="0" w:line="264" w:lineRule="auto"/>
        <w:tabs>
          <w:tab w:leader="none" w:pos="96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Optional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Optional Closing Date. Such Holder shall have received a certificate, duly executed by the Chief Executive Officer or Chief Financial Officer of the Company, dated as of the Optional Closing Date, to the foregoing effect and as to such other matters as may be reasonably requested by such Holder in the form acceptable to such Holder.</w:t>
      </w:r>
    </w:p>
    <w:p>
      <w:pPr>
        <w:spacing w:after="0" w:line="164" w:lineRule="exact"/>
        <w:rPr>
          <w:rFonts w:ascii="Times New Roman" w:cs="Times New Roman" w:eastAsia="Times New Roman" w:hAnsi="Times New Roman"/>
          <w:sz w:val="16"/>
          <w:szCs w:val="16"/>
          <w:color w:val="auto"/>
        </w:rPr>
      </w:pPr>
    </w:p>
    <w:p>
      <w:pPr>
        <w:jc w:val="both"/>
        <w:ind w:firstLine="584"/>
        <w:spacing w:after="0" w:line="277" w:lineRule="auto"/>
        <w:tabs>
          <w:tab w:leader="none" w:pos="87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(A) shall be designated for quotation or listed (as applicable) on the Principal Market and (B) shall not have been suspended, as of the Optional Closing Date, by the SEC or the Principal Market from trading on the Principal Market nor shall suspension by the SEC or the Principal Market have been threatened, as of the Optional Closing Date, in writing by the SEC or the Principal Market.</w:t>
      </w:r>
    </w:p>
    <w:p>
      <w:pPr>
        <w:spacing w:after="0" w:line="153" w:lineRule="exact"/>
        <w:rPr>
          <w:rFonts w:ascii="Times New Roman" w:cs="Times New Roman" w:eastAsia="Times New Roman" w:hAnsi="Times New Roman"/>
          <w:sz w:val="16"/>
          <w:szCs w:val="16"/>
          <w:color w:val="auto"/>
        </w:rPr>
      </w:pPr>
    </w:p>
    <w:p>
      <w:pPr>
        <w:ind w:firstLine="584"/>
        <w:spacing w:after="0" w:line="297" w:lineRule="auto"/>
        <w:tabs>
          <w:tab w:leader="none" w:pos="84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all governmental, regulatory or third party consents and approvals, if any, necessary for the exchange of the Optional Exchange Notes, including without limitation, those required by the Principal Market, if any.</w:t>
      </w:r>
    </w:p>
    <w:p>
      <w:pPr>
        <w:spacing w:after="0" w:line="137" w:lineRule="exact"/>
        <w:rPr>
          <w:rFonts w:ascii="Times New Roman" w:cs="Times New Roman" w:eastAsia="Times New Roman" w:hAnsi="Times New Roman"/>
          <w:sz w:val="16"/>
          <w:szCs w:val="16"/>
          <w:color w:val="auto"/>
        </w:rPr>
      </w:pPr>
    </w:p>
    <w:p>
      <w:pPr>
        <w:ind w:firstLine="584"/>
        <w:spacing w:after="0" w:line="297" w:lineRule="auto"/>
        <w:tabs>
          <w:tab w:leader="none" w:pos="87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37" w:lineRule="exact"/>
        <w:rPr>
          <w:rFonts w:ascii="Times New Roman" w:cs="Times New Roman" w:eastAsia="Times New Roman" w:hAnsi="Times New Roman"/>
          <w:sz w:val="16"/>
          <w:szCs w:val="16"/>
          <w:color w:val="auto"/>
        </w:rPr>
      </w:pPr>
    </w:p>
    <w:p>
      <w:pPr>
        <w:ind w:left="920" w:hanging="336"/>
        <w:spacing w:after="0"/>
        <w:tabs>
          <w:tab w:leader="none" w:pos="9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execution of this Agreement, no event or series of events shall have occurred that would have or result in a Material Adverse</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w:t>
      </w:r>
    </w:p>
    <w:p>
      <w:pPr>
        <w:spacing w:after="0" w:line="194" w:lineRule="exact"/>
        <w:rPr>
          <w:rFonts w:ascii="Times New Roman" w:cs="Times New Roman" w:eastAsia="Times New Roman" w:hAnsi="Times New Roman"/>
          <w:sz w:val="16"/>
          <w:szCs w:val="16"/>
          <w:color w:val="auto"/>
        </w:rPr>
      </w:pPr>
    </w:p>
    <w:p>
      <w:pPr>
        <w:jc w:val="both"/>
        <w:ind w:firstLine="584"/>
        <w:spacing w:after="0" w:line="277" w:lineRule="auto"/>
        <w:tabs>
          <w:tab w:leader="none" w:pos="97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approval of the Principal Market to list or designate for quotation (as the case may be) the Exchange Note Shares for the Optional Exchange Notes and confirmation from the Principal Market that no stockholder vote or other conditions under the rules of the Principal Market shall apply to the sale of the Optional Exchange Notes or the issuance of such Exchange Note Shares.</w:t>
      </w:r>
    </w:p>
    <w:p>
      <w:pPr>
        <w:spacing w:after="0" w:line="153" w:lineRule="exact"/>
        <w:rPr>
          <w:rFonts w:ascii="Times New Roman" w:cs="Times New Roman" w:eastAsia="Times New Roman" w:hAnsi="Times New Roman"/>
          <w:sz w:val="16"/>
          <w:szCs w:val="16"/>
          <w:color w:val="auto"/>
        </w:rPr>
      </w:pPr>
    </w:p>
    <w:p>
      <w:pPr>
        <w:jc w:val="both"/>
        <w:ind w:firstLine="584"/>
        <w:spacing w:after="0" w:line="277" w:lineRule="auto"/>
        <w:tabs>
          <w:tab w:leader="none" w:pos="95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costs, fees, expenses (including, without limitation legal fees and expenses) contemplated hereby to be payable to the Holders shall have been paid to the extent due and, in the case of expenses of the Holders that are reimbursable in accordance herewith, invoiced at least one day prior to the Optional Closing Date.</w:t>
      </w:r>
    </w:p>
    <w:p>
      <w:pPr>
        <w:spacing w:after="0" w:line="34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10795</wp:posOffset>
            </wp:positionV>
            <wp:extent cx="714375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0"/>
          </w:cols>
          <w:pgMar w:left="920" w:top="839" w:right="339" w:bottom="1440" w:gutter="0" w:footer="0" w:header="0"/>
        </w:sectPr>
      </w:pPr>
    </w:p>
    <w:bookmarkStart w:id="102" w:name="page103"/>
    <w:bookmarkEnd w:id="102"/>
    <w:p>
      <w:pPr>
        <w:ind w:left="601" w:firstLine="584"/>
        <w:spacing w:after="0" w:line="297" w:lineRule="auto"/>
        <w:tabs>
          <w:tab w:leader="none" w:pos="1507"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to the Holder all accrued but unpaid interest, to, and including, the Optional Closing Date, on the amount of principal being exchanged hereunder.</w:t>
      </w:r>
    </w:p>
    <w:p>
      <w:pPr>
        <w:spacing w:after="0" w:line="137" w:lineRule="exact"/>
        <w:rPr>
          <w:rFonts w:ascii="Times New Roman" w:cs="Times New Roman" w:eastAsia="Times New Roman" w:hAnsi="Times New Roman"/>
          <w:sz w:val="16"/>
          <w:szCs w:val="16"/>
          <w:color w:val="auto"/>
        </w:rPr>
      </w:pPr>
    </w:p>
    <w:p>
      <w:pPr>
        <w:ind w:left="601" w:firstLine="584"/>
        <w:spacing w:after="0" w:line="297" w:lineRule="auto"/>
        <w:tabs>
          <w:tab w:leader="none" w:pos="1567"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been, and continues to remain, in full compliance with the terms and conditions of the Prior Notes and the Initial Exchange Notes and no Default or Event of Default has occurred and is continuing.</w:t>
      </w:r>
    </w:p>
    <w:p>
      <w:pPr>
        <w:spacing w:after="0" w:line="137" w:lineRule="exact"/>
        <w:rPr>
          <w:rFonts w:ascii="Times New Roman" w:cs="Times New Roman" w:eastAsia="Times New Roman" w:hAnsi="Times New Roman"/>
          <w:sz w:val="16"/>
          <w:szCs w:val="16"/>
          <w:color w:val="auto"/>
        </w:rPr>
      </w:pPr>
    </w:p>
    <w:p>
      <w:pPr>
        <w:ind w:left="1601" w:hanging="416"/>
        <w:spacing w:after="0"/>
        <w:tabs>
          <w:tab w:leader="none" w:pos="1601"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not be in possession of any material non-public information concerning the Company or any of its Subsidiaries.</w:t>
      </w:r>
    </w:p>
    <w:p>
      <w:pPr>
        <w:spacing w:after="0" w:line="211" w:lineRule="exact"/>
        <w:rPr>
          <w:rFonts w:ascii="Times New Roman" w:cs="Times New Roman" w:eastAsia="Times New Roman" w:hAnsi="Times New Roman"/>
          <w:sz w:val="16"/>
          <w:szCs w:val="16"/>
          <w:color w:val="auto"/>
        </w:rPr>
      </w:pPr>
    </w:p>
    <w:p>
      <w:pPr>
        <w:ind w:left="601" w:firstLine="584"/>
        <w:spacing w:after="0" w:line="297" w:lineRule="auto"/>
        <w:tabs>
          <w:tab w:leader="none" w:pos="1682"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have delivered to such Holder such other documents, instruments or certificates relating to the transactions contemplated by the Transaction Documents as such Holder or its counsel may reasonably request.</w:t>
      </w:r>
    </w:p>
    <w:p>
      <w:pPr>
        <w:spacing w:after="0" w:line="133"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w:t>
      </w:r>
    </w:p>
    <w:p>
      <w:pPr>
        <w:spacing w:after="0" w:line="215" w:lineRule="exact"/>
        <w:rPr>
          <w:sz w:val="20"/>
          <w:szCs w:val="20"/>
          <w:color w:val="auto"/>
        </w:rPr>
      </w:pPr>
    </w:p>
    <w:p>
      <w:pPr>
        <w:jc w:val="both"/>
        <w:ind w:left="1" w:firstLine="593"/>
        <w:spacing w:after="0" w:line="262" w:lineRule="auto"/>
        <w:rPr>
          <w:sz w:val="20"/>
          <w:szCs w:val="20"/>
          <w:color w:val="auto"/>
        </w:rPr>
      </w:pPr>
      <w:r>
        <w:rPr>
          <w:rFonts w:ascii="Times New Roman" w:cs="Times New Roman" w:eastAsia="Times New Roman" w:hAnsi="Times New Roman"/>
          <w:sz w:val="16"/>
          <w:szCs w:val="16"/>
          <w:color w:val="auto"/>
        </w:rPr>
        <w:t>In the event that the Initial Closing shall not have occurred with respect to a Holder within five (5) Business Days of the date hereof, then such Holder shall have the right to terminate its obligations under this Agreement with respect to itself at any time on or after the close of business on such date without liability of such Holder to any other party; provided, however, (i) the right to terminate this Agreement under this Section 8 shall not be available to such Holder if the failure of the transactions contemplated by this Agreement to have been consummated by such date is the result of such Holder’s breach of this Agreement and (ii) the abandonment of the exchange of the Exchange Notes shall be applicable only to such Holder providing such written notice; provided further that no such termination shall affect any obligation of the Company under this Agreement to reimburse such Holder for the expenses described in Section 4(f)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that this Agreement is terminated prior to Initial Closing, then neither this Agreement nor any of the other Transaction Documents will have any impact on the Prior SPA, Prior SEA or the Transaction Documents (as defined in the Prior SPA).</w:t>
      </w:r>
    </w:p>
    <w:p>
      <w:pPr>
        <w:spacing w:after="0" w:line="161" w:lineRule="exact"/>
        <w:rPr>
          <w:sz w:val="20"/>
          <w:szCs w:val="20"/>
          <w:color w:val="auto"/>
        </w:rPr>
      </w:pPr>
    </w:p>
    <w:p>
      <w:pPr>
        <w:ind w:left="161" w:hanging="161"/>
        <w:spacing w:after="0"/>
        <w:tabs>
          <w:tab w:leader="none" w:pos="161"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215" w:lineRule="exact"/>
        <w:rPr>
          <w:rFonts w:ascii="Times New Roman" w:cs="Times New Roman" w:eastAsia="Times New Roman" w:hAnsi="Times New Roman"/>
          <w:sz w:val="16"/>
          <w:szCs w:val="16"/>
          <w:b w:val="1"/>
          <w:bCs w:val="1"/>
          <w:color w:val="auto"/>
        </w:rPr>
      </w:pPr>
    </w:p>
    <w:p>
      <w:pPr>
        <w:jc w:val="both"/>
        <w:ind w:left="1" w:firstLine="592"/>
        <w:spacing w:after="0" w:line="259" w:lineRule="auto"/>
        <w:tabs>
          <w:tab w:leader="none" w:pos="83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Jury Trial</w:t>
      </w:r>
      <w:r>
        <w:rPr>
          <w:rFonts w:ascii="Times New Roman" w:cs="Times New Roman" w:eastAsia="Times New Roman" w:hAnsi="Times New Roman"/>
          <w:sz w:val="16"/>
          <w:szCs w:val="16"/>
          <w:color w:val="auto"/>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w:t>
      </w:r>
      <w:r>
        <w:rPr>
          <w:rFonts w:ascii="Times New Roman" w:cs="Times New Roman" w:eastAsia="Times New Roman" w:hAnsi="Times New Roman"/>
          <w:sz w:val="16"/>
          <w:szCs w:val="16"/>
          <w:b w:val="1"/>
          <w:bCs w:val="1"/>
          <w:color w:val="auto"/>
        </w:rPr>
        <w:t>EACH</w:t>
      </w:r>
    </w:p>
    <w:p>
      <w:pPr>
        <w:spacing w:after="0" w:line="6" w:lineRule="exact"/>
        <w:rPr>
          <w:rFonts w:ascii="Times New Roman" w:cs="Times New Roman" w:eastAsia="Times New Roman" w:hAnsi="Times New Roman"/>
          <w:sz w:val="16"/>
          <w:szCs w:val="16"/>
          <w:color w:val="auto"/>
        </w:rPr>
      </w:pPr>
    </w:p>
    <w:p>
      <w:pPr>
        <w:jc w:val="both"/>
        <w:ind w:left="1"/>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103" w:name="page104"/>
    <w:bookmarkEnd w:id="103"/>
    <w:p>
      <w:pPr>
        <w:jc w:val="both"/>
        <w:ind w:left="1" w:firstLine="592"/>
        <w:spacing w:after="0" w:line="265" w:lineRule="auto"/>
        <w:tabs>
          <w:tab w:leader="none" w:pos="827"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Electronic Signatures</w:t>
      </w:r>
      <w:r>
        <w:rPr>
          <w:rFonts w:ascii="Times New Roman" w:cs="Times New Roman" w:eastAsia="Times New Roman" w:hAnsi="Times New Roman"/>
          <w:sz w:val="16"/>
          <w:szCs w:val="16"/>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64" w:lineRule="exact"/>
        <w:rPr>
          <w:rFonts w:ascii="Times New Roman" w:cs="Times New Roman" w:eastAsia="Times New Roman" w:hAnsi="Times New Roman"/>
          <w:sz w:val="16"/>
          <w:szCs w:val="16"/>
          <w:color w:val="auto"/>
        </w:rPr>
      </w:pPr>
    </w:p>
    <w:p>
      <w:pPr>
        <w:jc w:val="both"/>
        <w:ind w:left="1" w:firstLine="592"/>
        <w:spacing w:after="0" w:line="262" w:lineRule="auto"/>
        <w:tabs>
          <w:tab w:leader="none" w:pos="818"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Gender; Interpretation</w:t>
      </w:r>
      <w:r>
        <w:rPr>
          <w:rFonts w:ascii="Times New Roman" w:cs="Times New Roman" w:eastAsia="Times New Roman" w:hAnsi="Times New Roman"/>
          <w:sz w:val="16"/>
          <w:szCs w:val="16"/>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Unless the context otherwise requires, references herein: (x) to Articles, Sections, Schedules and Exhibits mean the Articles and Sections of, and Schedules and Exhibits attached to, this Agreement;</w:t>
      </w:r>
    </w:p>
    <w:p>
      <w:pPr>
        <w:jc w:val="both"/>
        <w:ind w:left="1" w:hanging="1"/>
        <w:spacing w:after="0" w:line="266" w:lineRule="auto"/>
        <w:tabs>
          <w:tab w:leader="none" w:pos="235"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w:t>
      </w:r>
    </w:p>
    <w:p>
      <w:pPr>
        <w:spacing w:after="0" w:line="161" w:lineRule="exact"/>
        <w:rPr>
          <w:rFonts w:ascii="Times New Roman" w:cs="Times New Roman" w:eastAsia="Times New Roman" w:hAnsi="Times New Roman"/>
          <w:sz w:val="16"/>
          <w:szCs w:val="16"/>
          <w:color w:val="auto"/>
        </w:rPr>
      </w:pPr>
    </w:p>
    <w:p>
      <w:pPr>
        <w:jc w:val="both"/>
        <w:ind w:left="1" w:firstLine="592"/>
        <w:spacing w:after="0" w:line="260" w:lineRule="auto"/>
        <w:tabs>
          <w:tab w:leader="none" w:pos="827"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Maximum Payment Amounts</w:t>
      </w:r>
      <w:r>
        <w:rPr>
          <w:rFonts w:ascii="Times New Roman" w:cs="Times New Roman" w:eastAsia="Times New Roman" w:hAnsi="Times New Roman"/>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Holders, under the Transaction Documents (including without limitation, any amounts that would be characterized as “interest” under applicable law) exceed amounts permitted under any applicable law. Accordingly, if any obligation to pay, payment made to any Holder, or collection by any Holder pursuant the Transaction Documents is finally judicially determined to be contrary to any such applicable law, such obligation to pay, payment or collection shall be deemed to have been made by mutual mistake of such Holder,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Holder, the amount of interest or any other amounts which would constitute unlawful amounts required to be paid or actually paid to such Holder under the Transaction Documents. For greater certainty, to the extent that any interest, charges, fees, expenses or other amounts required to be paid to or received by such Holder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104" w:name="page105"/>
    <w:bookmarkEnd w:id="104"/>
    <w:p>
      <w:pPr>
        <w:jc w:val="both"/>
        <w:ind w:firstLine="592"/>
        <w:spacing w:after="0" w:line="258" w:lineRule="auto"/>
        <w:tabs>
          <w:tab w:leader="none" w:pos="82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 Amendments</w:t>
      </w:r>
      <w:r>
        <w:rPr>
          <w:rFonts w:ascii="Times New Roman" w:cs="Times New Roman" w:eastAsia="Times New Roman" w:hAnsi="Times New Roman"/>
          <w:sz w:val="16"/>
          <w:szCs w:val="16"/>
          <w:color w:val="auto"/>
        </w:rPr>
        <w:t>. This Agreement, the other Transaction Documents and the schedules and exhibits attached hereto and thereto and the instruments referenced herein and therein, and the Prior Transaction Documents and the schedules and exhibits attached thereto and the instruments referenced therein supersede all other prior oral or written agreements between the Holders, the Company, its Subsidiaries, their affiliates and Persons acting on their behalf, including, without limitation, any transactions by any Holder with respect to Common Stock or the Securities, and the other matters contained herein and therein, and this Agreement, the other Transaction Documents, the schedules and exhibits attached hereto and thereto and the instruments referenced herein and therein, and the Prior Transaction Documents, the schedules and exhibits attached thereto and the instruments referenced therein contain the entire understanding of the parties solely with respect to the matters covered herein and therein; provided, however, nothing contained in this Agreement or any other Transaction Document or the Prior Transaction Documents shall (or shall be deemed to) (i) have any effect on any agreements any Holder has entered into with, or any instruments any Holder has received from, the Company or any of its Subsidiaries prior to the date hereof with respect to any prior investment (other than in connection with the Prior Transaction Documents) made by such Holder in the Company or (ii) waive, alter, modify or amend in any respect any obligations of the Company or any of its Subsidiaries, or any rights of or benefits to any Holder or any other Person, in any agreement entered into prior to the date hereof between or among the Company and/or any of its Subsidiaries and any Holder, or any instruments any Holder received from the Company and/or any of its Subsidiaries prior to the date hereof, and all such agreements and instruments (other than the Prior Notes being exchanged at each Closing, which for the avoidance of doubt such amount being exchanged shall automatically terminate in all respects upon each Closing) shall continue in full force and effect. For the avoidance of doubt, except for the matters expressly set forth in the Transaction Documents, all other terms of the Prior Transaction Documents are hereby ratified and shall remain unchanged and in full force and effect. Except as specifically set forth herein or therein, neither the Company nor any Holder makes any representation, warranty, covenant or undertaking. For clarification purposes, the Recitals are part of this Agreement. No provision of this Agreement may be amended other than by an instrument in writing signed by the Company and the Required Holders, and any amendment to any provision of this Agreement made in conformity with the provisions of this Section 9(e) shall be binding on all Holders and holders of Securities, as applicable; provided that no such amendment shall be effective to the extent that it (A) applies to less than all of the holders of the Securities then outstanding or (B) imposes any obligation or liability on any Holder without such Holder’s prior written consent (which may be granted or withheld in such Holder’s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Holders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Holder without such Holder’s prior written consent (which may be granted or withheld in such Holder’s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and all holders of the Exchange Notes. From the date hereof and while any Exchange Notes are outstanding, the Company shall not be permitted to receive any consideration from a Holder or a holder of Exchange Notes that is not otherwise contemplated by the Transaction Documents in order to, directly or indirectly, induce the Company or any Subsidiary (i) to treat such Holder or holder of Exchange Notes in a manner that is more favorable than to other similarly situated Holders or holders of Exchange Notes, or (ii) to treat any Holder(s) or holder(s) of Exchange Notes in a manner that is less favorable than the Holder or holder of Exchange Notes that is paying such consideration; provided, however, that the determination of whether a Holder has been treated more or less favorably than another Holder shall disregard any securities of the Company purchased or sold by any Holder. The Company has not, directly or indirectly, made any agreements with any Holders relating to the terms or conditions of the transactions contemplated by the Transaction Documents or the Prior Transaction Documents except as set forth in the Transaction Documents and the Prior Transaction Documents. Without limiting the foregoing, the Company confirms that, except as set forth in this Agreement, no Holder has made any commitment or promise or has any other obligation to provide any financing to the Company, any Subsidiary or otherwise. As a material inducement for each Holder to enter into this Agreement, the Company expressly acknowledges and agrees that (x) no due diligence or other investigation or inquiry conducted by a Holder, any of its advisors or any of its representatives shall affect such Holder’s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or other similar language, nothing contained in any of the SEC Documents shall affect such Holder’s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6"/>
          <w:szCs w:val="16"/>
          <w:b w:val="1"/>
          <w:bCs w:val="1"/>
          <w:color w:val="auto"/>
        </w:rPr>
        <w:t>Required Holders</w:t>
      </w:r>
      <w:r>
        <w:rPr>
          <w:rFonts w:ascii="Times New Roman" w:cs="Times New Roman" w:eastAsia="Times New Roman" w:hAnsi="Times New Roman"/>
          <w:sz w:val="16"/>
          <w:szCs w:val="16"/>
          <w:color w:val="auto"/>
        </w:rPr>
        <w:t>” means (I) prior to the Initial Closing Date, each Holder entitled to exchange its Prior Notes for Initial Exchange Notes at the Initial Closing, and (II) on or after the Initial Closing Date, holders of a majority of the Exchange Note Shares in the aggregate as of such time issued or issuable hereunder or pursuant to the Exchange Notes; provided that such majority must include High Trail Special Situations LLC, so long as High Trail Special Situations LLC or any of its affiliates holds at least 50% of the outstanding aggregate principal amount of the Exchange Notes, the Prior Notes or the Previously Issued Warrants.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05" w:name="page106"/>
    <w:bookmarkEnd w:id="105"/>
    <w:p>
      <w:pPr>
        <w:jc w:val="both"/>
        <w:ind w:left="-592" w:firstLine="592"/>
        <w:spacing w:after="0" w:line="267" w:lineRule="auto"/>
        <w:tabs>
          <w:tab w:leader="none" w:pos="207"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addresses and e-mail addresses for such communications shall be:</w:t>
      </w:r>
    </w:p>
    <w:p>
      <w:pPr>
        <w:spacing w:after="0" w:line="162"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11"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31"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76 Treble Cove Road, Building 3</w:t>
      </w:r>
    </w:p>
    <w:p>
      <w:pPr>
        <w:spacing w:after="0" w:line="14"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Billerica, MA 01862</w:t>
      </w:r>
    </w:p>
    <w:p>
      <w:pPr>
        <w:sectPr>
          <w:pgSz w:w="11900" w:h="16838" w:orient="portrait"/>
          <w:cols w:equalWidth="0" w:num="1">
            <w:col w:w="10648"/>
          </w:cols>
          <w:pgMar w:left="912" w:top="839" w:right="339" w:bottom="1440" w:gutter="0" w:footer="0" w:header="0"/>
        </w:sectPr>
      </w:pPr>
    </w:p>
    <w:p>
      <w:pPr>
        <w:spacing w:after="0" w:line="194" w:lineRule="exact"/>
        <w:rPr>
          <w:sz w:val="20"/>
          <w:szCs w:val="20"/>
          <w:color w:val="auto"/>
        </w:rPr>
      </w:pPr>
    </w:p>
    <w:p>
      <w:pPr>
        <w:ind w:left="1668"/>
        <w:spacing w:after="0"/>
        <w:rPr>
          <w:sz w:val="20"/>
          <w:szCs w:val="20"/>
          <w:color w:val="auto"/>
        </w:rPr>
      </w:pPr>
      <w:r>
        <w:rPr>
          <w:rFonts w:ascii="Times New Roman" w:cs="Times New Roman" w:eastAsia="Times New Roman" w:hAnsi="Times New Roman"/>
          <w:sz w:val="16"/>
          <w:szCs w:val="16"/>
          <w:color w:val="auto"/>
        </w:rPr>
        <w:t>Telephone:</w:t>
      </w:r>
    </w:p>
    <w:p>
      <w:pPr>
        <w:spacing w:after="0" w:line="31" w:lineRule="exact"/>
        <w:rPr>
          <w:sz w:val="20"/>
          <w:szCs w:val="20"/>
          <w:color w:val="auto"/>
        </w:rPr>
      </w:pPr>
    </w:p>
    <w:p>
      <w:pPr>
        <w:ind w:left="1668"/>
        <w:spacing w:after="0"/>
        <w:rPr>
          <w:sz w:val="20"/>
          <w:szCs w:val="20"/>
          <w:color w:val="auto"/>
        </w:rPr>
      </w:pPr>
      <w:r>
        <w:rPr>
          <w:rFonts w:ascii="Times New Roman" w:cs="Times New Roman" w:eastAsia="Times New Roman" w:hAnsi="Times New Roman"/>
          <w:sz w:val="16"/>
          <w:szCs w:val="16"/>
          <w:color w:val="auto"/>
        </w:rPr>
        <w:t>Attention:</w:t>
      </w:r>
    </w:p>
    <w:p>
      <w:pPr>
        <w:spacing w:after="0" w:line="14" w:lineRule="exact"/>
        <w:rPr>
          <w:sz w:val="20"/>
          <w:szCs w:val="20"/>
          <w:color w:val="auto"/>
        </w:rPr>
      </w:pPr>
    </w:p>
    <w:p>
      <w:pPr>
        <w:ind w:left="1668"/>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(919) 619-7346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Joshua Savitz, Esq., Associate General Counsel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josh.savitz@agrify.com</w:t>
      </w:r>
    </w:p>
    <w:p>
      <w:pPr>
        <w:spacing w:after="0" w:line="194" w:lineRule="exact"/>
        <w:rPr>
          <w:sz w:val="20"/>
          <w:szCs w:val="20"/>
          <w:color w:val="auto"/>
        </w:rPr>
      </w:pPr>
    </w:p>
    <w:p>
      <w:pPr>
        <w:sectPr>
          <w:pgSz w:w="11900" w:h="16838" w:orient="portrait"/>
          <w:cols w:equalWidth="0" w:num="2">
            <w:col w:w="2388" w:space="620"/>
            <w:col w:w="7640"/>
          </w:cols>
          <w:pgMar w:left="912" w:top="839" w:right="339" w:bottom="1440" w:gutter="0" w:footer="0" w:header="0"/>
          <w:type w:val="continuous"/>
        </w:sectPr>
      </w:pPr>
    </w:p>
    <w:p>
      <w:pPr>
        <w:ind w:left="1188"/>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211"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31"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125 High Street</w:t>
      </w:r>
    </w:p>
    <w:p>
      <w:pPr>
        <w:spacing w:after="0" w:line="14"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Boston, MA 02110</w:t>
      </w:r>
    </w:p>
    <w:p>
      <w:pPr>
        <w:spacing w:after="0" w:line="14"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Telephone: 617-345-3684</w:t>
      </w:r>
    </w:p>
    <w:p>
      <w:pPr>
        <w:spacing w:after="0" w:line="14"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Attention: Frank A. Segall, Esq.</w:t>
      </w:r>
    </w:p>
    <w:p>
      <w:pPr>
        <w:spacing w:after="0" w:line="14" w:lineRule="exact"/>
        <w:rPr>
          <w:sz w:val="20"/>
          <w:szCs w:val="20"/>
          <w:color w:val="auto"/>
        </w:rPr>
      </w:pPr>
    </w:p>
    <w:p>
      <w:pPr>
        <w:ind w:left="1788"/>
        <w:spacing w:after="0"/>
        <w:rPr>
          <w:sz w:val="20"/>
          <w:szCs w:val="20"/>
          <w:color w:val="auto"/>
        </w:rPr>
      </w:pPr>
      <w:r>
        <w:rPr>
          <w:rFonts w:ascii="Times New Roman" w:cs="Times New Roman" w:eastAsia="Times New Roman" w:hAnsi="Times New Roman"/>
          <w:sz w:val="16"/>
          <w:szCs w:val="16"/>
          <w:color w:val="auto"/>
        </w:rPr>
        <w:t>Email: FSegall@burnslev.com</w:t>
      </w:r>
    </w:p>
    <w:p>
      <w:pPr>
        <w:spacing w:after="0" w:line="383" w:lineRule="exact"/>
        <w:rPr>
          <w:sz w:val="20"/>
          <w:szCs w:val="20"/>
          <w:color w:val="auto"/>
        </w:rPr>
      </w:pPr>
    </w:p>
    <w:p>
      <w:pPr>
        <w:jc w:val="center"/>
        <w:ind w:right="592"/>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10795</wp:posOffset>
            </wp:positionV>
            <wp:extent cx="714375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648"/>
          </w:cols>
          <w:pgMar w:left="912" w:top="839" w:right="339" w:bottom="1440" w:gutter="0" w:footer="0" w:header="0"/>
          <w:type w:val="continuous"/>
        </w:sectPr>
      </w:pPr>
    </w:p>
    <w:bookmarkStart w:id="106" w:name="page107"/>
    <w:bookmarkEnd w:id="106"/>
    <w:p>
      <w:pPr>
        <w:ind w:left="1781"/>
        <w:spacing w:after="0"/>
        <w:rPr>
          <w:sz w:val="20"/>
          <w:szCs w:val="20"/>
          <w:color w:val="auto"/>
        </w:rPr>
      </w:pPr>
      <w:r>
        <w:rPr>
          <w:rFonts w:ascii="Times New Roman" w:cs="Times New Roman" w:eastAsia="Times New Roman" w:hAnsi="Times New Roman"/>
          <w:sz w:val="16"/>
          <w:szCs w:val="16"/>
          <w:color w:val="auto"/>
        </w:rPr>
        <w:t>If to the Transfer Agent:</w:t>
      </w:r>
    </w:p>
    <w:p>
      <w:pPr>
        <w:spacing w:after="0" w:line="211"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Broadridge Financial Solutions, Inc.</w:t>
      </w:r>
    </w:p>
    <w:p>
      <w:pPr>
        <w:spacing w:after="0" w:line="31"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51 Mercedes Way</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Edgewood, NY 11717</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Attention: Lia Ludwig</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Email: lia.ludwig@broadridge.com</w:t>
      </w:r>
    </w:p>
    <w:p>
      <w:pPr>
        <w:spacing w:after="0" w:line="194" w:lineRule="exact"/>
        <w:rPr>
          <w:sz w:val="20"/>
          <w:szCs w:val="20"/>
          <w:color w:val="auto"/>
        </w:rPr>
      </w:pPr>
    </w:p>
    <w:p>
      <w:pPr>
        <w:ind w:left="1"/>
        <w:spacing w:after="0" w:line="297" w:lineRule="auto"/>
        <w:rPr>
          <w:sz w:val="20"/>
          <w:szCs w:val="20"/>
          <w:color w:val="auto"/>
        </w:rPr>
      </w:pPr>
      <w:r>
        <w:rPr>
          <w:rFonts w:ascii="Times New Roman" w:cs="Times New Roman" w:eastAsia="Times New Roman" w:hAnsi="Times New Roman"/>
          <w:sz w:val="16"/>
          <w:szCs w:val="16"/>
          <w:color w:val="auto"/>
        </w:rPr>
        <w:t>If to a Holder, to (i) its e-mail address set forth on the Schedule of Holders, with copies to such Holder’s representatives as set forth on the Schedule of Holders and (ii) to Eric Helenek, High Trail Capital, 80 River Street, Suite 4C, Hoboken, NJ 07030 (telephone: (917) 414-1733).</w:t>
      </w:r>
    </w:p>
    <w:p>
      <w:pPr>
        <w:spacing w:after="0" w:line="137" w:lineRule="exact"/>
        <w:rPr>
          <w:sz w:val="20"/>
          <w:szCs w:val="20"/>
          <w:color w:val="auto"/>
        </w:rPr>
      </w:pPr>
    </w:p>
    <w:p>
      <w:pPr>
        <w:ind w:left="1781"/>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211"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31"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12670 High Bluff Drive</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San Diego, CA 92130</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Telephone: (858) 523-5400</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Attention: Michael E. Sullivan</w:t>
      </w:r>
    </w:p>
    <w:p>
      <w:pPr>
        <w:spacing w:after="0" w:line="14"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6"/>
          <w:szCs w:val="16"/>
          <w:color w:val="auto"/>
        </w:rPr>
        <w:t>E-mail: michael.sullivan@lw.com</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or to such other address, e-mail address and/or to the attention of such other Person as the recipient party has specified by written notice given to each other party five</w:t>
      </w:r>
    </w:p>
    <w:p>
      <w:pPr>
        <w:spacing w:after="0" w:line="31" w:lineRule="exact"/>
        <w:rPr>
          <w:sz w:val="20"/>
          <w:szCs w:val="20"/>
          <w:color w:val="auto"/>
        </w:rPr>
      </w:pPr>
    </w:p>
    <w:p>
      <w:pPr>
        <w:jc w:val="both"/>
        <w:ind w:left="1" w:hanging="1"/>
        <w:spacing w:after="0" w:line="266" w:lineRule="auto"/>
        <w:tabs>
          <w:tab w:leader="none" w:pos="23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prior to the effectiveness of such change. Written confirmation of receipt (A) given by the recipient of such notice, consent, waiver or other communication, (B) electronically generated by the sender’s e-mail or (C) provided by an overnight courier service shall be rebuttable evidence of personal service, receipt by e-mail or receipt from an overnight courier service in accordance with clause (i), (ii) or (iii) above, respectively.</w:t>
      </w:r>
    </w:p>
    <w:p>
      <w:pPr>
        <w:spacing w:after="0" w:line="161" w:lineRule="exact"/>
        <w:rPr>
          <w:rFonts w:ascii="Times New Roman" w:cs="Times New Roman" w:eastAsia="Times New Roman" w:hAnsi="Times New Roman"/>
          <w:sz w:val="16"/>
          <w:szCs w:val="16"/>
          <w:color w:val="auto"/>
        </w:rPr>
      </w:pPr>
    </w:p>
    <w:p>
      <w:pPr>
        <w:jc w:val="both"/>
        <w:ind w:left="1" w:firstLine="592"/>
        <w:spacing w:after="0" w:line="264" w:lineRule="auto"/>
        <w:tabs>
          <w:tab w:leader="none" w:pos="83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be binding upon and inure to the benefit of the parties and their respective successors and assigns. The Company shall not assign this Agreement or any rights or obligations hereunder without the prior written consent of the Required Holders, including, without limitation, by way of a Fundamental Change (as defined in the Exchange Notes) (unless the Company is in compliance with the applicable provisions governing Fundamental Changes set forth in the Exchange Notes). A Holder may assign some or all of its rights hereunder in connection with any transfer of any of its Securities without the consent of the Company, provided such assignee agrees in writing to be bound by the provisions hereof that apply to Holders in which event such assignee shall be deemed to be a Holder hereunder with respect to such assigned rights, and provided further that such Holder shall provide the Company with notice of the assignment at least two (2) Business Days prior to such assignment.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107" w:name="page108"/>
    <w:bookmarkEnd w:id="107"/>
    <w:p>
      <w:pPr>
        <w:ind w:firstLine="592"/>
        <w:spacing w:after="0" w:line="297" w:lineRule="auto"/>
        <w:tabs>
          <w:tab w:leader="none" w:pos="82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spacing w:after="0" w:line="137" w:lineRule="exact"/>
        <w:rPr>
          <w:rFonts w:ascii="Times New Roman" w:cs="Times New Roman" w:eastAsia="Times New Roman" w:hAnsi="Times New Roman"/>
          <w:sz w:val="16"/>
          <w:szCs w:val="16"/>
          <w:color w:val="auto"/>
        </w:rPr>
      </w:pPr>
    </w:p>
    <w:p>
      <w:pPr>
        <w:ind w:firstLine="592"/>
        <w:spacing w:after="0" w:line="297" w:lineRule="auto"/>
        <w:tabs>
          <w:tab w:leader="none" w:pos="81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The representations, warranties, agreements and covenants shall survive each Closing. Each Holder shall be responsible only for its own representations, warranties, agreements and covenants hereunder.</w:t>
      </w:r>
    </w:p>
    <w:p>
      <w:pPr>
        <w:spacing w:after="0" w:line="137" w:lineRule="exact"/>
        <w:rPr>
          <w:rFonts w:ascii="Times New Roman" w:cs="Times New Roman" w:eastAsia="Times New Roman" w:hAnsi="Times New Roman"/>
          <w:sz w:val="16"/>
          <w:szCs w:val="16"/>
          <w:color w:val="auto"/>
        </w:rPr>
      </w:pPr>
    </w:p>
    <w:p>
      <w:pPr>
        <w:jc w:val="both"/>
        <w:ind w:firstLine="592"/>
        <w:spacing w:after="0" w:line="277" w:lineRule="auto"/>
        <w:tabs>
          <w:tab w:leader="none" w:pos="78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53"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600" w:firstLine="584"/>
        <w:spacing w:after="0" w:line="260" w:lineRule="auto"/>
        <w:tabs>
          <w:tab w:leader="none" w:pos="1393"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consideration of each Holder’s execution and delivery of the Transaction Documents and acquiring the Securities thereunder and in addition to all of the Company’s other obligations under the Transaction Documents, the Company shall defend, protect, indemnify and hold harmless each Holder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6"/>
          <w:szCs w:val="16"/>
          <w:b w:val="1"/>
          <w:bCs w:val="1"/>
          <w:color w:val="auto"/>
        </w:rPr>
        <w:t>Indemnitees</w:t>
      </w:r>
      <w:r>
        <w:rPr>
          <w:rFonts w:ascii="Times New Roman" w:cs="Times New Roman" w:eastAsia="Times New Roman" w:hAnsi="Times New Roman"/>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actual reasonable and documented attorneys’ fees and disbursements (the “</w:t>
      </w:r>
      <w:r>
        <w:rPr>
          <w:rFonts w:ascii="Times New Roman" w:cs="Times New Roman" w:eastAsia="Times New Roman" w:hAnsi="Times New Roman"/>
          <w:sz w:val="16"/>
          <w:szCs w:val="16"/>
          <w:b w:val="1"/>
          <w:bCs w:val="1"/>
          <w:color w:val="auto"/>
        </w:rPr>
        <w:t>Indemnified Liabilities</w:t>
      </w:r>
      <w:r>
        <w:rPr>
          <w:rFonts w:ascii="Times New Roman" w:cs="Times New Roman" w:eastAsia="Times New Roman" w:hAnsi="Times New Roman"/>
          <w:sz w:val="16"/>
          <w:szCs w:val="16"/>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(including, without limitation, any hedging or similar activities in connection therewith), or (B) the status of such Holder or holder of the Securities either as an investor in the Company pursuant to the transactions contemplated by the Transaction Documents or as a party to this Agreement (including, without limitation, any hedging or similar activities in connection therewith or as a party in interest or otherwise in any action or proceeding for injunctive or other equitable relief); provided, however, that the Company will not be liable in any such case to a Holder or its related Indemnitees to the extent that any such claim, loss, damage, liability or expense arise primarily out of or is based primarily upon (i) the inaccuracy of any representations and warranties made by such Holder herein, or (ii) the gross negligence or willful misconduct of any Holder.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08" w:name="page109"/>
    <w:bookmarkEnd w:id="108"/>
    <w:p>
      <w:pPr>
        <w:jc w:val="both"/>
        <w:ind w:left="-520" w:firstLine="584"/>
        <w:spacing w:after="0" w:line="259" w:lineRule="auto"/>
        <w:tabs>
          <w:tab w:leader="none" w:pos="33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receipt by an Indemnitee under this Section 9(k) of notice of the commencement of any action or proceeding (including, without limitation, any governmental action or proceeding) involving an Indemnified Liability, such Indemnitee shall, if a claim in respect thereof is to be made against any indemnifying party under this Section 9(k),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provided, however, that an Indemnitee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Indemnified Liability and to employ counsel reasonably satisfactory to such Indemnitee in any such Indemnified Liability; or (iii) the named parties to any such Indemnified Liability (including, without limitation, any impleaded parties) include both such Indemnitee and the indemnifying party, and such Indemnitee shall have been advised by counsel that a conflict of interest is likely to exist if the same counsel were to represent such Indemnitee and the indemnifying party (in which case, if such Indemnitee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actual reasonable and documented fees and expenses of more than one (1) separate legal counsel for such Indemnitee. The Indemnitee shall reasonably cooperate with the indemnifying party in connection with any negotiation or defense of any such action or claim by the indemnifying party and shall furnish to the indemnifying party all information reasonably available to the Indemnitee which relates to such Indemnified Liability. The indemnifying party shall keep the Indemnitee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and such settlement shall not include any admission as to fault on the part of the Indemnitee.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Section 9(k), except to the extent that the indemnifying party is materially and adversely prejudiced in its ability to defend such action. The indemnification required by this Section 9(k) shall be made by periodic payments of the amount thereof during the course of the investigation or defense, as and when bills are received or Indemnified Liabilities are incurred. The indemnity and contribution agreements contained herein shall be in addition to (i) any cause of action or similar right of the Indemnitees against the indemnifying party or others, and (ii) any liabilities the indemnifying party may be subject to pursuant to the law.</w:t>
      </w:r>
    </w:p>
    <w:p>
      <w:pPr>
        <w:spacing w:after="0" w:line="200" w:lineRule="exact"/>
        <w:rPr>
          <w:sz w:val="20"/>
          <w:szCs w:val="20"/>
          <w:color w:val="auto"/>
        </w:rPr>
      </w:pP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375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120"/>
          </w:cols>
          <w:pgMar w:left="1440" w:top="839" w:right="339" w:bottom="1440" w:gutter="0" w:footer="0" w:header="0"/>
        </w:sectPr>
      </w:pPr>
    </w:p>
    <w:bookmarkStart w:id="109" w:name="page110"/>
    <w:bookmarkEnd w:id="109"/>
    <w:p>
      <w:pPr>
        <w:jc w:val="both"/>
        <w:ind w:firstLine="592"/>
        <w:spacing w:after="0" w:line="264" w:lineRule="auto"/>
        <w:tabs>
          <w:tab w:leader="none" w:pos="78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Holder (or its broker or other financial representative) to effect short sales or similar transactions in the future.</w:t>
      </w:r>
    </w:p>
    <w:p>
      <w:pPr>
        <w:spacing w:after="0" w:line="164" w:lineRule="exact"/>
        <w:rPr>
          <w:rFonts w:ascii="Times New Roman" w:cs="Times New Roman" w:eastAsia="Times New Roman" w:hAnsi="Times New Roman"/>
          <w:sz w:val="16"/>
          <w:szCs w:val="16"/>
          <w:color w:val="auto"/>
        </w:rPr>
      </w:pPr>
    </w:p>
    <w:p>
      <w:pPr>
        <w:jc w:val="both"/>
        <w:ind w:firstLine="592"/>
        <w:spacing w:after="0" w:line="262" w:lineRule="auto"/>
        <w:tabs>
          <w:tab w:leader="none" w:pos="87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Each Holder and in the event of assignment by Holder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be inadequate relief to the Holders. The Company therefore agrees that the Holders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65" w:lineRule="exact"/>
        <w:rPr>
          <w:rFonts w:ascii="Times New Roman" w:cs="Times New Roman" w:eastAsia="Times New Roman" w:hAnsi="Times New Roman"/>
          <w:sz w:val="16"/>
          <w:szCs w:val="16"/>
          <w:color w:val="auto"/>
        </w:rPr>
      </w:pPr>
    </w:p>
    <w:p>
      <w:pPr>
        <w:jc w:val="both"/>
        <w:ind w:firstLine="592"/>
        <w:spacing w:after="0" w:line="271" w:lineRule="auto"/>
        <w:tabs>
          <w:tab w:leader="none" w:pos="85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Withdrawal Right</w:t>
      </w:r>
      <w:r>
        <w:rPr>
          <w:rFonts w:ascii="Times New Roman" w:cs="Times New Roman" w:eastAsia="Times New Roman" w:hAnsi="Times New Roman"/>
          <w:sz w:val="16"/>
          <w:szCs w:val="16"/>
          <w:color w:val="auto"/>
        </w:rPr>
        <w:t>. Notwithstanding anything to the contrary contained in (and without limiting any similar provisions of) the Transaction Documents, whenever any Holder exercises a right, election, demand or option under a Transaction Document and the Company or any Subsidiary does not timely perform its related obligations within the periods therein provided, then such Holder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0" w:name="page111"/>
    <w:bookmarkEnd w:id="110"/>
    <w:p>
      <w:pPr>
        <w:jc w:val="both"/>
        <w:ind w:firstLine="592"/>
        <w:spacing w:after="0" w:line="262" w:lineRule="auto"/>
        <w:tabs>
          <w:tab w:leader="none" w:pos="83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Set Aside; Currency</w:t>
      </w:r>
      <w:r>
        <w:rPr>
          <w:rFonts w:ascii="Times New Roman" w:cs="Times New Roman" w:eastAsia="Times New Roman" w:hAnsi="Times New Roman"/>
          <w:sz w:val="16"/>
          <w:szCs w:val="16"/>
          <w:color w:val="auto"/>
        </w:rPr>
        <w:t>. To the extent that the Company makes a payment or payments to any Holder hereunder or pursuant to any of the other Transaction Documents or any of the Holders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6"/>
          <w:szCs w:val="16"/>
          <w:b w:val="1"/>
          <w:bCs w:val="1"/>
          <w:color w:val="auto"/>
        </w:rPr>
        <w:t>U.S. Dollars</w:t>
      </w:r>
      <w:r>
        <w:rPr>
          <w:rFonts w:ascii="Times New Roman" w:cs="Times New Roman" w:eastAsia="Times New Roman" w:hAnsi="Times New Roman"/>
          <w:sz w:val="16"/>
          <w:szCs w:val="16"/>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6"/>
          <w:szCs w:val="16"/>
          <w:b w:val="1"/>
          <w:bCs w:val="1"/>
          <w:color w:val="auto"/>
        </w:rPr>
        <w:t>Exchange Rate</w:t>
      </w:r>
      <w:r>
        <w:rPr>
          <w:rFonts w:ascii="Times New Roman" w:cs="Times New Roman" w:eastAsia="Times New Roman" w:hAnsi="Times New Roman"/>
          <w:sz w:val="16"/>
          <w:szCs w:val="16"/>
          <w:color w:val="auto"/>
        </w:rPr>
        <w:t>” means, in relation to any amount of currency to be converted into U.S. Dollars pursuant to this Agreement, the U.S. Dollar exchange rate as published in the Wall Street Journal on the relevant date of calculation.</w:t>
      </w:r>
    </w:p>
    <w:p>
      <w:pPr>
        <w:spacing w:after="0" w:line="165" w:lineRule="exact"/>
        <w:rPr>
          <w:rFonts w:ascii="Times New Roman" w:cs="Times New Roman" w:eastAsia="Times New Roman" w:hAnsi="Times New Roman"/>
          <w:sz w:val="16"/>
          <w:szCs w:val="16"/>
          <w:color w:val="auto"/>
        </w:rPr>
      </w:pPr>
    </w:p>
    <w:p>
      <w:pPr>
        <w:ind w:left="820" w:hanging="228"/>
        <w:spacing w:after="0"/>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Judgment Currency</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jc w:val="both"/>
        <w:ind w:left="600" w:firstLine="584"/>
        <w:spacing w:after="0" w:line="271" w:lineRule="auto"/>
        <w:tabs>
          <w:tab w:leader="none" w:pos="139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6"/>
          <w:szCs w:val="16"/>
          <w:b w:val="1"/>
          <w:bCs w:val="1"/>
          <w:color w:val="auto"/>
        </w:rPr>
        <w:t>Judgment Currency</w:t>
      </w:r>
      <w:r>
        <w:rPr>
          <w:rFonts w:ascii="Times New Roman" w:cs="Times New Roman" w:eastAsia="Times New Roman" w:hAnsi="Times New Roman"/>
          <w:sz w:val="16"/>
          <w:szCs w:val="16"/>
          <w:color w:val="auto"/>
        </w:rPr>
        <w:t>”) an amount due in U.S. Dollars under this Agreement, the conversion shall be made at the Exchange Rate prevailing on the Business Day immediately preceding:</w:t>
      </w:r>
    </w:p>
    <w:p>
      <w:pPr>
        <w:spacing w:after="0" w:line="156" w:lineRule="exact"/>
        <w:rPr>
          <w:rFonts w:ascii="Times New Roman" w:cs="Times New Roman" w:eastAsia="Times New Roman" w:hAnsi="Times New Roman"/>
          <w:sz w:val="16"/>
          <w:szCs w:val="16"/>
          <w:color w:val="auto"/>
        </w:rPr>
      </w:pPr>
    </w:p>
    <w:p>
      <w:pPr>
        <w:ind w:left="1180" w:firstLine="1190"/>
        <w:spacing w:after="0" w:line="297" w:lineRule="auto"/>
        <w:tabs>
          <w:tab w:leader="none" w:pos="2607" w:val="left"/>
        </w:tabs>
        <w:numPr>
          <w:ilvl w:val="2"/>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actual payment of the amount due, in the case of any proceeding in the courts of New York or in the courts of any other jurisdiction that will give effect to such conversion being made on such date; or</w:t>
      </w:r>
    </w:p>
    <w:p>
      <w:pPr>
        <w:spacing w:after="0" w:line="137" w:lineRule="exact"/>
        <w:rPr>
          <w:rFonts w:ascii="Times New Roman" w:cs="Times New Roman" w:eastAsia="Times New Roman" w:hAnsi="Times New Roman"/>
          <w:sz w:val="16"/>
          <w:szCs w:val="16"/>
          <w:color w:val="auto"/>
        </w:rPr>
      </w:pPr>
    </w:p>
    <w:p>
      <w:pPr>
        <w:ind w:left="1180" w:firstLine="1190"/>
        <w:spacing w:after="0" w:line="297" w:lineRule="auto"/>
        <w:tabs>
          <w:tab w:leader="none" w:pos="2603" w:val="left"/>
        </w:tabs>
        <w:numPr>
          <w:ilvl w:val="2"/>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foreign court determines, in the case of any proceeding in the courts of any other jurisdiction (the date as of which such conversion is made pursuant to this Section 9(p)(i)(2) being hereinafter referred to as the “</w:t>
      </w:r>
      <w:r>
        <w:rPr>
          <w:rFonts w:ascii="Times New Roman" w:cs="Times New Roman" w:eastAsia="Times New Roman" w:hAnsi="Times New Roman"/>
          <w:sz w:val="16"/>
          <w:szCs w:val="16"/>
          <w:b w:val="1"/>
          <w:bCs w:val="1"/>
          <w:color w:val="auto"/>
        </w:rPr>
        <w:t>Judgment Conversion Date</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left="600" w:firstLine="584"/>
        <w:spacing w:after="0" w:line="267" w:lineRule="auto"/>
        <w:tabs>
          <w:tab w:leader="none" w:pos="1445"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the case of any proceeding in the court of any jurisdiction referred to in Section 9(p)(i)(2),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1" w:name="page112"/>
    <w:bookmarkEnd w:id="111"/>
    <w:p>
      <w:pPr>
        <w:ind w:left="600" w:firstLine="584"/>
        <w:spacing w:after="0" w:line="297" w:lineRule="auto"/>
        <w:tabs>
          <w:tab w:leader="none" w:pos="1481"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37" w:lineRule="exact"/>
        <w:rPr>
          <w:rFonts w:ascii="Times New Roman" w:cs="Times New Roman" w:eastAsia="Times New Roman" w:hAnsi="Times New Roman"/>
          <w:sz w:val="16"/>
          <w:szCs w:val="16"/>
          <w:color w:val="auto"/>
        </w:rPr>
      </w:pPr>
    </w:p>
    <w:p>
      <w:pPr>
        <w:jc w:val="both"/>
        <w:ind w:firstLine="592"/>
        <w:spacing w:after="0" w:line="260" w:lineRule="auto"/>
        <w:tabs>
          <w:tab w:leader="none" w:pos="82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Nature of Holders’ Obligations and Rights</w:t>
      </w:r>
      <w:r>
        <w:rPr>
          <w:rFonts w:ascii="Times New Roman" w:cs="Times New Roman" w:eastAsia="Times New Roman" w:hAnsi="Times New Roman"/>
          <w:sz w:val="16"/>
          <w:szCs w:val="16"/>
          <w:color w:val="auto"/>
        </w:rPr>
        <w:t>. The obligations of each Holder under the Transaction Documents are several and not joint with the obligations of any other Holder, and no Holder shall be responsible in any way for the performance of the obligations of any other Holder under any Transaction Document. Nothing contained herein or in any other Transaction Document, and no action taken by any Holder pursuant hereto or thereto, shall be deemed to constitute the Holders as, and the Company acknowledges that the Holders do not so constitute, a partnership, an association, a joint venture or any other kind of group or entity, or create a presumption that the Holders are in any way acting in concert or as a group or entity, and the Company shall not assert any such claim with respect to such obligations or the transactions contemplated by the Transaction Documents or any matters, and the Company acknowledges that the Holders are not acting in concert or as a group, and the Company shall not assert any such claim, with respect to such obligations or the transactions contemplated by the Transaction Documents. The decision of each Holder to exchange the Prior Notes for the Exchange Notes pursuant to the Transaction Documents has been made by such Holder independently of any other Holder. Each Holder acknowledges that no other Holder has acted as agent for such Holder in connection with such Holder making its investment hereunder and that no other Holder will be acting as agent of such Holder in connection with monitoring such Holder’s investment in the Securities or enforcing its rights under the Transaction Documents. The Company and each Holder confirms that each Holder has independently participated with the Company and its Subsidiaries in the negotiation of the transaction contemplated hereby with the advice of its own counsel and advisors. Each Holder shall be entitled to independently protect and enforce its rights, including, without limitation, the rights arising out of this Agreement or out of any other Transaction Documents, and it shall not be necessary for any other Holder to be joined as an additional party in any proceeding for such purpose. The use of a single agreement to effectuate the exchange of a portion of the aggregate principal of the Prior Notes for the Exchange Notes contemplated hereby was solely in the control of the Company, not the action or decision of any Holder, and was done solely for the convenience of the Company and its Subsidiaries and not because it was required or requested to do so by any Holder. It is expressly understood and agreed that each provision contained in this Agreement and in each other Transaction Document is between the Company, each Subsidiary and a Holder, solely, and not between the Company, its Subsidiaries and the Holders collectively and not between and among the Holders.</w:t>
      </w:r>
    </w:p>
    <w:p>
      <w:pPr>
        <w:spacing w:after="0" w:line="365" w:lineRule="exact"/>
        <w:rPr>
          <w:rFonts w:ascii="Times New Roman" w:cs="Times New Roman" w:eastAsia="Times New Roman" w:hAnsi="Times New Roman"/>
          <w:sz w:val="16"/>
          <w:szCs w:val="16"/>
          <w:color w:val="auto"/>
        </w:rPr>
      </w:pPr>
    </w:p>
    <w:p>
      <w:pPr>
        <w:ind w:firstLine="592"/>
        <w:spacing w:after="0" w:line="297" w:lineRule="auto"/>
        <w:tabs>
          <w:tab w:leader="none" w:pos="79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Date</w:t>
      </w:r>
      <w:r>
        <w:rPr>
          <w:rFonts w:ascii="Times New Roman" w:cs="Times New Roman" w:eastAsia="Times New Roman" w:hAnsi="Times New Roman"/>
          <w:sz w:val="16"/>
          <w:szCs w:val="16"/>
          <w:color w:val="auto"/>
        </w:rPr>
        <w:t>. If the date by which any obligation under any of the Transaction Documents must be performed occurs on a day other than a Business Day, then the date by which such performance is required shall be the next Business Day following such date.</w:t>
      </w:r>
    </w:p>
    <w:p>
      <w:pPr>
        <w:spacing w:after="0" w:line="137" w:lineRule="exact"/>
        <w:rPr>
          <w:rFonts w:ascii="Times New Roman" w:cs="Times New Roman" w:eastAsia="Times New Roman" w:hAnsi="Times New Roman"/>
          <w:sz w:val="16"/>
          <w:szCs w:val="16"/>
          <w:color w:val="auto"/>
        </w:rPr>
      </w:pPr>
    </w:p>
    <w:p>
      <w:pPr>
        <w:jc w:val="both"/>
        <w:ind w:firstLine="592"/>
        <w:spacing w:after="0" w:line="277" w:lineRule="auto"/>
        <w:tabs>
          <w:tab w:leader="none" w:pos="80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 Fees</w:t>
      </w:r>
      <w:r>
        <w:rPr>
          <w:rFonts w:ascii="Times New Roman" w:cs="Times New Roman" w:eastAsia="Times New Roman" w:hAnsi="Times New Roman"/>
          <w:sz w:val="16"/>
          <w:szCs w:val="16"/>
          <w:color w:val="auto"/>
        </w:rPr>
        <w:t>. The Company agrees to pay all reasonable and documented out of pocket costs and expenses of the Holders actually incurred as a result of enforcement of the Transaction Documents and the collection of any amounts owed to the Holders hereunder (whether in cash, equity or otherwise), including, without limitation, actual reasonable and documented attorneys’ fees and expenses.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2" w:name="page113"/>
    <w:bookmarkEnd w:id="112"/>
    <w:p>
      <w:pPr>
        <w:ind w:left="780" w:hanging="188"/>
        <w:spacing w:after="0"/>
        <w:tabs>
          <w:tab w:leader="none" w:pos="7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Agent</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jc w:val="both"/>
        <w:ind w:firstLine="1184"/>
        <w:spacing w:after="0" w:line="261" w:lineRule="auto"/>
        <w:tabs>
          <w:tab w:leader="none" w:pos="1382"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Appointment; Authorization. </w:t>
      </w:r>
      <w:r>
        <w:rPr>
          <w:rFonts w:ascii="Times New Roman" w:cs="Times New Roman" w:eastAsia="Times New Roman" w:hAnsi="Times New Roman"/>
          <w:sz w:val="16"/>
          <w:szCs w:val="16"/>
          <w:color w:val="auto"/>
        </w:rPr>
        <w:t>The Holders, together with any successors or assigns thereof, hereby irrevocably appoint, designate and authorize High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Trail Special Situations LLC as collateral agent to take such action on their behalf under the provisions of the Exchange Notes, each of the Security Documents, as amended by the Amendment to Security Documents and to exercise such powers and perform such duties as are expressly delegated to it by the terms of each of the Security Documents, as amended by the Amendment to Security Documents, together with such powers as are reasonably incidental thereto. The provisions of this Section 9(t) are solely for the benefit of the Collateral Agent, and the Company shall not have rights as a third-party beneficiary of any of such provisions. It is understood and agreed that the use of the term “agent” herein or in any Security Documents, as amended by the Amendments to Security Documents (or any other similar term) with reference to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Notwithstanding any provision to the contrary contained elsewhere in the Exchange Notes, any Security Documents, as amended by the Amendments to Security Documents or any other agreement, instrument or document related hereto or thereto, the Collateral Agent shall not have any duty or responsibility except those expressly set forth herein, and no implied covenants, functions, responsibilities, duties, obligations or liabilities shall be read into the Exchange Notes, any Security Documents, as amended by the Amendments to Security Documents or any other agreement, instrument or document related hereto or thereto or otherwise exist against the Collateral Agent.</w:t>
      </w:r>
    </w:p>
    <w:p>
      <w:pPr>
        <w:spacing w:after="0" w:line="365" w:lineRule="exact"/>
        <w:rPr>
          <w:rFonts w:ascii="Times New Roman" w:cs="Times New Roman" w:eastAsia="Times New Roman" w:hAnsi="Times New Roman"/>
          <w:sz w:val="16"/>
          <w:szCs w:val="16"/>
          <w:color w:val="auto"/>
        </w:rPr>
      </w:pPr>
    </w:p>
    <w:p>
      <w:pPr>
        <w:jc w:val="both"/>
        <w:ind w:firstLine="1184"/>
        <w:spacing w:after="0" w:line="263" w:lineRule="auto"/>
        <w:tabs>
          <w:tab w:leader="none" w:pos="142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Delegation of Duties. </w:t>
      </w:r>
      <w:r>
        <w:rPr>
          <w:rFonts w:ascii="Times New Roman" w:cs="Times New Roman" w:eastAsia="Times New Roman" w:hAnsi="Times New Roman"/>
          <w:sz w:val="16"/>
          <w:szCs w:val="16"/>
          <w:color w:val="auto"/>
        </w:rPr>
        <w:t>The Collateral Agent may perform any and all of its duties and exercise its rights and powers hereunder or under any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as amended by the Amendments to Security Documents by or through any one or more sub-agents appointed by the Collateral Agent. The Collateral Agent and any such sub-agent may perform any and all of its duties and exercise its rights and powers by or through its Affiliates (as defined in the Exchange Notes), partners, directors, officers, employees, agents, trustees, administrators, managers, advisors and representatives, or the partners, directors, officers, employees, agents, trustees, administrators, managers, advisors and representatives of any of its Affiliates (collectively, the “</w:t>
      </w:r>
      <w:r>
        <w:rPr>
          <w:rFonts w:ascii="Times New Roman" w:cs="Times New Roman" w:eastAsia="Times New Roman" w:hAnsi="Times New Roman"/>
          <w:sz w:val="16"/>
          <w:szCs w:val="16"/>
          <w:b w:val="1"/>
          <w:bCs w:val="1"/>
          <w:color w:val="auto"/>
        </w:rPr>
        <w:t>Related Parties</w:t>
      </w:r>
      <w:r>
        <w:rPr>
          <w:rFonts w:ascii="Times New Roman" w:cs="Times New Roman" w:eastAsia="Times New Roman" w:hAnsi="Times New Roman"/>
          <w:sz w:val="16"/>
          <w:szCs w:val="16"/>
          <w:color w:val="auto"/>
        </w:rPr>
        <w:t>”). The exculpatory provisions of this Section 9(t) shall apply to any such sub-agent and to the Related Parties of the Collateral Agent and any such sub-agent. The Collateral Agent shall not be responsible for the negligence or misconduct of any sub-agents except to the extent that a court of competent jurisdiction determines in a final and non-appealable judgment that the Collateral Agent acted with gross negligence or willful misconduct in the selection of such sub-agents.</w:t>
      </w:r>
    </w:p>
    <w:p>
      <w:pPr>
        <w:spacing w:after="0" w:line="165" w:lineRule="exact"/>
        <w:rPr>
          <w:rFonts w:ascii="Times New Roman" w:cs="Times New Roman" w:eastAsia="Times New Roman" w:hAnsi="Times New Roman"/>
          <w:sz w:val="16"/>
          <w:szCs w:val="16"/>
          <w:color w:val="auto"/>
        </w:rPr>
      </w:pPr>
    </w:p>
    <w:p>
      <w:pPr>
        <w:ind w:left="1480" w:hanging="296"/>
        <w:spacing w:after="0"/>
        <w:tabs>
          <w:tab w:leader="none" w:pos="148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Exculpatory Provisions</w:t>
      </w:r>
      <w:r>
        <w:rPr>
          <w:rFonts w:ascii="Times New Roman" w:cs="Times New Roman" w:eastAsia="Times New Roman" w:hAnsi="Times New Roman"/>
          <w:sz w:val="16"/>
          <w:szCs w:val="16"/>
          <w:color w:val="auto"/>
        </w:rPr>
        <w:t>.</w:t>
      </w:r>
    </w:p>
    <w:p>
      <w:pPr>
        <w:spacing w:after="0" w:line="213" w:lineRule="exact"/>
        <w:rPr>
          <w:rFonts w:ascii="Times New Roman" w:cs="Times New Roman" w:eastAsia="Times New Roman" w:hAnsi="Times New Roman"/>
          <w:sz w:val="16"/>
          <w:szCs w:val="16"/>
          <w:color w:val="auto"/>
        </w:rPr>
      </w:pPr>
    </w:p>
    <w:p>
      <w:pPr>
        <w:jc w:val="both"/>
        <w:ind w:firstLine="1777"/>
        <w:spacing w:after="0" w:line="265" w:lineRule="auto"/>
        <w:tabs>
          <w:tab w:leader="none" w:pos="2056"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have any duties or obligations except those expressly set forth in the Security Documents, as amended by the Amendments to Security Documents, and its duties shall be administrative in nature. Without limiting the generality of the foregoing, the Collateral Agent: (i) shall not be subject to any fiduciary or other implied duties, regardless of whether a Default (as defined in the Exchange Notes) or Event of Default (as defined in the Exchange Notes) has occurred and is continuing; (ii) shall not have any duty to take any discretionary action or exercise any discretionary powers; and (iii) shall not, except as expressly set forth in the Security Documents, as amended by the Amendments to Security Documents, have any duty to disclose, and shall not be liable for the failure to disclose, any information relating to the Company or any of its Affiliates that is communicated to or obtained by the Collateral Agent or any of its Affiliates in any capacity.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3" w:name="page114"/>
    <w:bookmarkEnd w:id="113"/>
    <w:p>
      <w:pPr>
        <w:jc w:val="both"/>
        <w:ind w:firstLine="1777"/>
        <w:spacing w:after="0" w:line="277" w:lineRule="auto"/>
        <w:tabs>
          <w:tab w:leader="none" w:pos="20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be liable for any action taken or not taken by it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the Company.</w:t>
      </w:r>
    </w:p>
    <w:p>
      <w:pPr>
        <w:spacing w:after="0" w:line="153" w:lineRule="exact"/>
        <w:rPr>
          <w:rFonts w:ascii="Times New Roman" w:cs="Times New Roman" w:eastAsia="Times New Roman" w:hAnsi="Times New Roman"/>
          <w:sz w:val="16"/>
          <w:szCs w:val="16"/>
          <w:color w:val="auto"/>
        </w:rPr>
      </w:pPr>
    </w:p>
    <w:p>
      <w:pPr>
        <w:jc w:val="both"/>
        <w:ind w:firstLine="1777"/>
        <w:spacing w:after="0" w:line="261" w:lineRule="auto"/>
        <w:tabs>
          <w:tab w:leader="none" w:pos="20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be responsible for or have any duty to ascertain or inquire into (a) any statement, warranty or representation made in or in connection with the Exchange Notes, any Security Documents, as amended by the Amendments to Security Documents or any other agreement, instrument or document related hereto or thereto,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or Event of Default, (d) the validity, enforceability, effectiveness or genuineness of the Exchange Notes, any Security Documents, as amended by the Amendments to Security Documents or any other agreement, instrument or document related to the Exchange Notes or the Security Documents, as amended by the Amendments to Security Documents, or (e) any failure of the Company or any other party to the Exchange Notes, any Security Documents, as amended by the Amendments to Security Documents or any other agreement, instrument or document related to the Exchange Notes or the Security Documents, as amended by the Amendments to Security Documents to perform its obligations thereunder. The Collateral Agent shall not be under any obligation to ascertain or to inquire as to the observance or performance of any of the agreements contained in, or conditions of, the Exchange Notes, any Security Documents, as amended by the Amendments to Security Documents or any other agreement, instrument or document related to the Exchange Notes or the Security Documents, as amended by the Amendments to Security Documents, or to inspect the properties, books or records of the Company or any Affiliate of the Company.</w:t>
      </w:r>
    </w:p>
    <w:p>
      <w:pPr>
        <w:spacing w:after="0" w:line="166" w:lineRule="exact"/>
        <w:rPr>
          <w:sz w:val="20"/>
          <w:szCs w:val="20"/>
          <w:color w:val="auto"/>
        </w:rPr>
      </w:pPr>
    </w:p>
    <w:p>
      <w:pPr>
        <w:jc w:val="both"/>
        <w:ind w:firstLine="1777"/>
        <w:spacing w:after="0" w:line="266" w:lineRule="auto"/>
        <w:tabs>
          <w:tab w:leader="none" w:pos="206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Reliance by Collateral Agent. </w:t>
      </w:r>
      <w:r>
        <w:rPr>
          <w:rFonts w:ascii="Times New Roman" w:cs="Times New Roman" w:eastAsia="Times New Roman" w:hAnsi="Times New Roman"/>
          <w:sz w:val="16"/>
          <w:szCs w:val="16"/>
          <w:color w:val="auto"/>
        </w:rPr>
        <w:t>The Collateral Agent shall be entitled to rely upon, and shall not incur any liability for relying upon,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4" w:name="page115"/>
    <w:bookmarkEnd w:id="114"/>
    <w:p>
      <w:pPr>
        <w:jc w:val="both"/>
        <w:ind w:firstLine="1777"/>
        <w:spacing w:after="0" w:line="262" w:lineRule="auto"/>
        <w:tabs>
          <w:tab w:leader="none" w:pos="201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Successor Agent. </w:t>
      </w:r>
      <w:r>
        <w:rPr>
          <w:rFonts w:ascii="Times New Roman" w:cs="Times New Roman" w:eastAsia="Times New Roman" w:hAnsi="Times New Roman"/>
          <w:sz w:val="16"/>
          <w:szCs w:val="16"/>
          <w:color w:val="auto"/>
        </w:rPr>
        <w:t>The Collateral Agent may resign as the Collateral Agent at any time upon ten (10) days’ prior notice to the Holders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If the Collateral Agent resigns under the Exchange Notes, the Required Holders shall appoint a successor agent. If no successor agent is appointed prior to the effective date of the resignation of the Collateral Agent, the Collateral Agent may appoint a successor Collateral Agent on behalf of the Holders after consulting with the Holders. Upon the acceptance of its appointment as successor agent hereunder, such successor agent shall succeed to all the rights, powers and duties of the retiring Collateral Agent and the term “the Collateral Agent” shall mean such successor agent, and the retiring Collateral Agent’s appointment, powers and duties as the Collateral Agent shall be terminated. After the Collateral Agent’s resignation hereunder as the Collateral Agent, the provisions of this Section 9(t) shall continue to inure to its benefit as to any actions taken or omitted to be taken by it while it was the Collateral Agent. If no successor agent has accepted appointment as the Collateral Agent by the date which is thirty (30) days following a retiring Collateral Agent’s notice of resignation, a retiring Collateral Agent’s resignation shall nevertheless thereupon become effective and the Holders, shall perform all of the duties of the Collateral Agent hereunder until such time as Required Holders shall appoint a successor agent as provided for above.</w:t>
      </w:r>
    </w:p>
    <w:p>
      <w:pPr>
        <w:spacing w:after="0" w:line="365" w:lineRule="exact"/>
        <w:rPr>
          <w:rFonts w:ascii="Times New Roman" w:cs="Times New Roman" w:eastAsia="Times New Roman" w:hAnsi="Times New Roman"/>
          <w:sz w:val="16"/>
          <w:szCs w:val="16"/>
          <w:color w:val="auto"/>
        </w:rPr>
      </w:pPr>
    </w:p>
    <w:p>
      <w:pPr>
        <w:jc w:val="both"/>
        <w:ind w:firstLine="1777"/>
        <w:spacing w:after="0" w:line="268" w:lineRule="auto"/>
        <w:tabs>
          <w:tab w:leader="none" w:pos="2057"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Non-Reliance on the Collateral Agent. </w:t>
      </w:r>
      <w:r>
        <w:rPr>
          <w:rFonts w:ascii="Times New Roman" w:cs="Times New Roman" w:eastAsia="Times New Roman" w:hAnsi="Times New Roman"/>
          <w:sz w:val="16"/>
          <w:szCs w:val="16"/>
          <w:color w:val="auto"/>
        </w:rPr>
        <w:t>The Holders acknowledges that they have, independently and without reliance upon the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or any of its Related Parties and based on such documents and information as they have deemed appropriate, made their own credit analysis and decision to enter invest in the Exchange Notes. The Holders also acknowledges that they will, independently and without reliance upon the Collateral Agent or any of its Related Parties and based on such documents and information as they shall from time to time deem appropriate, continue to make their own decisions in taking or not taking action under or based upon the Exchange Notes, any Security Document or any related agreement or any document furnished hereunder or thereunder.</w:t>
      </w:r>
    </w:p>
    <w:p>
      <w:pPr>
        <w:spacing w:after="0" w:line="158" w:lineRule="exact"/>
        <w:rPr>
          <w:rFonts w:ascii="Times New Roman" w:cs="Times New Roman" w:eastAsia="Times New Roman" w:hAnsi="Times New Roman"/>
          <w:sz w:val="16"/>
          <w:szCs w:val="16"/>
          <w:color w:val="auto"/>
        </w:rPr>
      </w:pPr>
    </w:p>
    <w:p>
      <w:pPr>
        <w:jc w:val="both"/>
        <w:ind w:firstLine="1777"/>
        <w:spacing w:after="0" w:line="263" w:lineRule="auto"/>
        <w:tabs>
          <w:tab w:leader="none" w:pos="210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Collateral Matters. </w:t>
      </w:r>
      <w:r>
        <w:rPr>
          <w:rFonts w:ascii="Times New Roman" w:cs="Times New Roman" w:eastAsia="Times New Roman" w:hAnsi="Times New Roman"/>
          <w:sz w:val="16"/>
          <w:szCs w:val="16"/>
          <w:color w:val="auto"/>
        </w:rPr>
        <w:t>The Holders irrevocably authorize the Collateral Agent to release any Lien (as defined in the Exchange Notes) granted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or held by the Collateral Agent under any Security Documents, as amended by the Amendments to Security Documents (i) when all Obligations (as defined in the Security Agreements) have been paid in full; (ii) constituting property sold or to be sold or disposed of as part of or in connection with any sale or other disposition permitted under the Exchange Notes and each other agreement, instrument or document related thereto (it being agreed and understood that the Collateral Agent may conclusively rely without further inquiry on a certificate of an officer of the Company as to the sale or other disposition of property being made in compliance with the Exchange Notes and each other agreement, instrument or document related thereto); or (iii) if approved, authorized or ratified in writing by the Holders. The Collateral Agent shall have the right, in accordance with the Security Documents, as amended by the Amendments to Security Documents to sell, lease or otherwise dispose of any Collateral (as defined in the Security Agreements) for cash, credit or any combination thereof, and the Collateral Agent may purchase any Collateral at public or, if permitted by law, private sale and, in lieu of actual payment of the purchase price, may credit bid and setoff the amount of such price against the Obligations.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15" w:name="page116"/>
    <w:bookmarkEnd w:id="115"/>
    <w:p>
      <w:pPr>
        <w:jc w:val="both"/>
        <w:ind w:firstLine="1777"/>
        <w:spacing w:after="0" w:line="271" w:lineRule="auto"/>
        <w:tabs>
          <w:tab w:leader="none" w:pos="214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Reimbursement by Holders. </w:t>
      </w:r>
      <w:r>
        <w:rPr>
          <w:rFonts w:ascii="Times New Roman" w:cs="Times New Roman" w:eastAsia="Times New Roman" w:hAnsi="Times New Roman"/>
          <w:sz w:val="16"/>
          <w:szCs w:val="16"/>
          <w:color w:val="auto"/>
        </w:rPr>
        <w:t>To the extent that the Company for any reason fails to indefeasibly pay any amount required under Sections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4(f) or 9(k) to be paid by it to the Collateral Agent (or any sub-agent thereof) or any Related Party of the Collateral Agent (or any sub-agent thereof), the Holders hereby agree, jointly and severally, to pay to the Collateral Agent (or any such sub-agent) or such Related Party of the Collateral Agent (or any sub-agent thereof), as the case may be, such unpaid amount.</w:t>
      </w:r>
    </w:p>
    <w:p>
      <w:pPr>
        <w:spacing w:after="0" w:line="156" w:lineRule="exact"/>
        <w:rPr>
          <w:rFonts w:ascii="Times New Roman" w:cs="Times New Roman" w:eastAsia="Times New Roman" w:hAnsi="Times New Roman"/>
          <w:sz w:val="16"/>
          <w:szCs w:val="16"/>
          <w:color w:val="auto"/>
        </w:rPr>
      </w:pPr>
    </w:p>
    <w:p>
      <w:pPr>
        <w:jc w:val="both"/>
        <w:ind w:firstLine="1777"/>
        <w:spacing w:after="0" w:line="263" w:lineRule="auto"/>
        <w:tabs>
          <w:tab w:leader="none" w:pos="2057"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Marshaling; Payments Set Aside. </w:t>
      </w:r>
      <w:r>
        <w:rPr>
          <w:rFonts w:ascii="Times New Roman" w:cs="Times New Roman" w:eastAsia="Times New Roman" w:hAnsi="Times New Roman"/>
          <w:sz w:val="16"/>
          <w:szCs w:val="16"/>
          <w:color w:val="auto"/>
        </w:rPr>
        <w:t>Neither the Collateral Agent nor the Holders shall be under any obligation to marshal any assets in favor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Company or any other Person or against or in payment of any or all of the Obligations. To the extent that the Company makes a payment or payments to the Collateral Agent, or the Collateral Agent enforces its Liens (as defined in the Exchange Notes) or exercises its rights of set-off, and such payment or payments or the proceeds of such enforcement or set-off or any part thereof are subsequently invalidated, declared to be fraudulent or preferential, set aside or required (including pursuant to any settlement entered into by the Collateral Agent in its discretion) to be repaid to a trustee, receiver or any other party in connection with any bankruptcy, insolvency or similar proceeding, or otherwise, then (i) to the extent of such recovery, the obligation under the Exchange Notes intended to be satisfied shall be revived and continued in full force and effect as if such payment had not been made or such enforcement or set-off had not occurred and (ii) the Holders agree to pay to the Collateral Agent upon demand its share of the total amount so recovered from or repaid by the Collateral Agent to the extent paid to the 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375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16" w:name="page117"/>
    <w:bookmarkEnd w:id="116"/>
    <w:p>
      <w:pPr>
        <w:ind w:firstLine="593"/>
        <w:spacing w:after="0" w:line="302"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Holder and the Company have caused their respective signature page to this Agreement to be duly executed as of the date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written above.</w:t>
      </w:r>
    </w:p>
    <w:p>
      <w:pPr>
        <w:spacing w:after="0" w:line="3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2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6"/>
          <w:szCs w:val="16"/>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26670</wp:posOffset>
            </wp:positionV>
            <wp:extent cx="256413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1587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Name:  Raymond Chang</w:t>
      </w:r>
    </w:p>
    <w:p>
      <w:pPr>
        <w:spacing w:after="0" w:line="31" w:lineRule="exact"/>
        <w:rPr>
          <w:sz w:val="20"/>
          <w:szCs w:val="20"/>
          <w:color w:val="auto"/>
        </w:rPr>
      </w:pPr>
    </w:p>
    <w:p>
      <w:pPr>
        <w:ind w:left="722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to Securities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4375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7" w:name="page118"/>
    <w:bookmarkEnd w:id="117"/>
    <w:p>
      <w:pPr>
        <w:ind w:firstLine="593"/>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Holder and the Company have caused their respective signature page to this Agreement to be duly executed as of the date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written above.</w:t>
      </w:r>
    </w:p>
    <w:p>
      <w:pPr>
        <w:spacing w:after="0" w:line="1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HOLDER:</w:t>
      </w:r>
    </w:p>
    <w:p>
      <w:pPr>
        <w:spacing w:after="0" w:line="2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HIGH TRAIL SPECIAL SITUATIONS LLC</w:t>
      </w:r>
    </w:p>
    <w:p>
      <w:pPr>
        <w:spacing w:after="0" w:line="21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6"/>
          <w:szCs w:val="16"/>
          <w:color w:val="auto"/>
        </w:rPr>
        <w:t>By:</w:t>
        <w:tab/>
        <w:t>/s/ Eric Helenek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26670</wp:posOffset>
            </wp:positionV>
            <wp:extent cx="256413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4130" cy="1587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Name:  Eric Helenek</w:t>
      </w:r>
    </w:p>
    <w:p>
      <w:pPr>
        <w:spacing w:after="0" w:line="31" w:lineRule="exact"/>
        <w:rPr>
          <w:sz w:val="20"/>
          <w:szCs w:val="20"/>
          <w:color w:val="auto"/>
        </w:rPr>
      </w:pPr>
    </w:p>
    <w:p>
      <w:pPr>
        <w:ind w:left="722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Signatory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to Securities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4375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9"/>
        </w:trPr>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8"/>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SCHEDULE OF HOLDERS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(1)</w:t>
            </w:r>
          </w:p>
        </w:tc>
        <w:tc>
          <w:tcPr>
            <w:tcW w:w="1880" w:type="dxa"/>
            <w:vAlign w:val="bottom"/>
            <w:gridSpan w:val="2"/>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(2)</w:t>
            </w: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(3)</w:t>
            </w:r>
          </w:p>
        </w:tc>
        <w:tc>
          <w:tcPr>
            <w:tcW w:w="60" w:type="dxa"/>
            <w:vAlign w:val="bottom"/>
          </w:tcPr>
          <w:p>
            <w:pPr>
              <w:spacing w:after="0"/>
              <w:rPr>
                <w:sz w:val="24"/>
                <w:szCs w:val="24"/>
                <w:color w:val="auto"/>
              </w:rPr>
            </w:pPr>
          </w:p>
        </w:tc>
        <w:tc>
          <w:tcPr>
            <w:tcW w:w="920" w:type="dxa"/>
            <w:vAlign w:val="bottom"/>
            <w:gridSpan w:val="2"/>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(4)</w:t>
            </w:r>
          </w:p>
        </w:tc>
        <w:tc>
          <w:tcPr>
            <w:tcW w:w="40" w:type="dxa"/>
            <w:vAlign w:val="bottom"/>
          </w:tcPr>
          <w:p>
            <w:pPr>
              <w:spacing w:after="0"/>
              <w:rPr>
                <w:sz w:val="24"/>
                <w:szCs w:val="24"/>
                <w:color w:val="auto"/>
              </w:rPr>
            </w:pPr>
          </w:p>
        </w:tc>
        <w:tc>
          <w:tcPr>
            <w:tcW w:w="88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6"/>
              </w:rPr>
              <w:t>(5)</w:t>
            </w:r>
          </w:p>
        </w:tc>
        <w:tc>
          <w:tcPr>
            <w:tcW w:w="40" w:type="dxa"/>
            <w:vAlign w:val="bottom"/>
          </w:tcPr>
          <w:p>
            <w:pPr>
              <w:spacing w:after="0"/>
              <w:rPr>
                <w:sz w:val="24"/>
                <w:szCs w:val="24"/>
                <w:color w:val="auto"/>
              </w:rPr>
            </w:pPr>
          </w:p>
        </w:tc>
        <w:tc>
          <w:tcPr>
            <w:tcW w:w="108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6"/>
              </w:rPr>
              <w:t>(6)</w:t>
            </w:r>
          </w:p>
        </w:tc>
        <w:tc>
          <w:tcPr>
            <w:tcW w:w="40" w:type="dxa"/>
            <w:vAlign w:val="bottom"/>
          </w:tcPr>
          <w:p>
            <w:pPr>
              <w:spacing w:after="0"/>
              <w:rPr>
                <w:sz w:val="24"/>
                <w:szCs w:val="24"/>
                <w:color w:val="auto"/>
              </w:rPr>
            </w:pPr>
          </w:p>
        </w:tc>
        <w:tc>
          <w:tcPr>
            <w:tcW w:w="110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rPr>
              <w:t>(7)</w:t>
            </w:r>
          </w:p>
        </w:tc>
        <w:tc>
          <w:tcPr>
            <w:tcW w:w="40" w:type="dxa"/>
            <w:vAlign w:val="bottom"/>
          </w:tcPr>
          <w:p>
            <w:pPr>
              <w:spacing w:after="0"/>
              <w:rPr>
                <w:sz w:val="24"/>
                <w:szCs w:val="24"/>
                <w:color w:val="auto"/>
              </w:rPr>
            </w:pPr>
          </w:p>
        </w:tc>
        <w:tc>
          <w:tcPr>
            <w:tcW w:w="110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rPr>
              <w:t>(8)</w:t>
            </w:r>
          </w:p>
        </w:tc>
        <w:tc>
          <w:tcPr>
            <w:tcW w:w="40" w:type="dxa"/>
            <w:vAlign w:val="bottom"/>
          </w:tcPr>
          <w:p>
            <w:pPr>
              <w:spacing w:after="0"/>
              <w:rPr>
                <w:sz w:val="24"/>
                <w:szCs w:val="24"/>
                <w:color w:val="auto"/>
              </w:rPr>
            </w:pPr>
          </w:p>
        </w:tc>
        <w:tc>
          <w:tcPr>
            <w:tcW w:w="92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6"/>
              </w:rPr>
              <w:t>(9)</w:t>
            </w:r>
          </w:p>
        </w:tc>
        <w:tc>
          <w:tcPr>
            <w:tcW w:w="100" w:type="dxa"/>
            <w:vAlign w:val="bottom"/>
          </w:tcPr>
          <w:p>
            <w:pPr>
              <w:spacing w:after="0"/>
              <w:rPr>
                <w:sz w:val="24"/>
                <w:szCs w:val="24"/>
                <w:color w:val="auto"/>
              </w:rPr>
            </w:pPr>
          </w:p>
        </w:tc>
        <w:tc>
          <w:tcPr>
            <w:tcW w:w="1060" w:type="dxa"/>
            <w:vAlign w:val="bottom"/>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0" w:type="dxa"/>
            <w:vAlign w:val="bottom"/>
          </w:tcPr>
          <w:p>
            <w:pPr>
              <w:spacing w:after="0"/>
              <w:rPr>
                <w:sz w:val="17"/>
                <w:szCs w:val="17"/>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7"/>
                <w:szCs w:val="17"/>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0" w:type="dxa"/>
            <w:vAlign w:val="bottom"/>
          </w:tcPr>
          <w:p>
            <w:pPr>
              <w:spacing w:after="0"/>
              <w:rPr>
                <w:sz w:val="17"/>
                <w:szCs w:val="17"/>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7"/>
                <w:szCs w:val="17"/>
                <w:color w:val="auto"/>
              </w:rPr>
            </w:pPr>
          </w:p>
        </w:tc>
        <w:tc>
          <w:tcPr>
            <w:tcW w:w="10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6"/>
                <w:szCs w:val="16"/>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6"/>
                <w:szCs w:val="16"/>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the Prior</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7"/>
                <w:szCs w:val="17"/>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Exchanged</w:t>
            </w:r>
          </w:p>
        </w:tc>
        <w:tc>
          <w:tcPr>
            <w:tcW w:w="140" w:type="dxa"/>
            <w:vAlign w:val="bottom"/>
          </w:tcPr>
          <w:p>
            <w:pPr>
              <w:spacing w:after="0"/>
              <w:rPr>
                <w:sz w:val="17"/>
                <w:szCs w:val="17"/>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Prior Notes</w:t>
            </w: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 Pay</w:t>
            </w: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be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Prior Notes</w:t>
            </w:r>
          </w:p>
        </w:tc>
        <w:tc>
          <w:tcPr>
            <w:tcW w:w="14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Initial</w:t>
            </w:r>
          </w:p>
        </w:tc>
        <w:tc>
          <w:tcPr>
            <w:tcW w:w="140" w:type="dxa"/>
            <w:vAlign w:val="bottom"/>
          </w:tcPr>
          <w:p>
            <w:pPr>
              <w:spacing w:after="0"/>
              <w:rPr>
                <w:sz w:val="17"/>
                <w:szCs w:val="17"/>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of Initial</w:t>
            </w:r>
          </w:p>
        </w:tc>
        <w:tc>
          <w:tcPr>
            <w:tcW w:w="140" w:type="dxa"/>
            <w:vAlign w:val="bottom"/>
          </w:tcPr>
          <w:p>
            <w:pPr>
              <w:spacing w:after="0"/>
              <w:rPr>
                <w:sz w:val="17"/>
                <w:szCs w:val="17"/>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Held After</w:t>
            </w: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Down</w:t>
            </w: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Exchanged</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Legal</w:t>
            </w: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Currently</w:t>
            </w:r>
          </w:p>
        </w:tc>
        <w:tc>
          <w:tcPr>
            <w:tcW w:w="140" w:type="dxa"/>
            <w:vAlign w:val="bottom"/>
          </w:tcPr>
          <w:p>
            <w:pPr>
              <w:spacing w:after="0"/>
              <w:rPr>
                <w:sz w:val="17"/>
                <w:szCs w:val="17"/>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tcPr>
          <w:p>
            <w:pPr>
              <w:spacing w:after="0"/>
              <w:rPr>
                <w:sz w:val="17"/>
                <w:szCs w:val="17"/>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40" w:type="dxa"/>
            <w:vAlign w:val="bottom"/>
          </w:tcPr>
          <w:p>
            <w:pPr>
              <w:spacing w:after="0"/>
              <w:rPr>
                <w:sz w:val="17"/>
                <w:szCs w:val="17"/>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Exchange of</w:t>
            </w:r>
          </w:p>
        </w:tc>
        <w:tc>
          <w:tcPr>
            <w:tcW w:w="140" w:type="dxa"/>
            <w:vAlign w:val="bottom"/>
          </w:tcPr>
          <w:p>
            <w:pPr>
              <w:spacing w:after="0"/>
              <w:rPr>
                <w:sz w:val="17"/>
                <w:szCs w:val="17"/>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Exclusive of</w:t>
            </w:r>
          </w:p>
        </w:tc>
        <w:tc>
          <w:tcPr>
            <w:tcW w:w="14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Prior Note</w:t>
            </w:r>
          </w:p>
        </w:tc>
        <w:tc>
          <w:tcPr>
            <w:tcW w:w="14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Holder</w:t>
            </w: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Representative’s</w:t>
            </w:r>
          </w:p>
        </w:tc>
        <w:tc>
          <w:tcPr>
            <w:tcW w:w="0" w:type="dxa"/>
            <w:vAlign w:val="bottom"/>
          </w:tcPr>
          <w:p>
            <w:pPr>
              <w:spacing w:after="0"/>
              <w:rPr>
                <w:sz w:val="1"/>
                <w:szCs w:val="1"/>
                <w:color w:val="auto"/>
              </w:rPr>
            </w:pPr>
          </w:p>
        </w:tc>
      </w:tr>
      <w:tr>
        <w:trPr>
          <w:trHeight w:val="235"/>
        </w:trPr>
        <w:tc>
          <w:tcPr>
            <w:tcW w:w="8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14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w:t>
            </w:r>
          </w:p>
        </w:tc>
        <w:tc>
          <w:tcPr>
            <w:tcW w:w="180" w:type="dxa"/>
            <w:vAlign w:val="bottom"/>
          </w:tcPr>
          <w:p>
            <w:pPr>
              <w:spacing w:after="0"/>
              <w:rPr>
                <w:sz w:val="20"/>
                <w:szCs w:val="20"/>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Held</w:t>
            </w:r>
          </w:p>
        </w:tc>
        <w:tc>
          <w:tcPr>
            <w:tcW w:w="140" w:type="dxa"/>
            <w:vAlign w:val="bottom"/>
          </w:tcPr>
          <w:p>
            <w:pPr>
              <w:spacing w:after="0"/>
              <w:rPr>
                <w:sz w:val="20"/>
                <w:szCs w:val="20"/>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20"/>
                <w:szCs w:val="20"/>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Initial Notes</w:t>
            </w:r>
          </w:p>
        </w:tc>
        <w:tc>
          <w:tcPr>
            <w:tcW w:w="140" w:type="dxa"/>
            <w:vAlign w:val="bottom"/>
          </w:tcPr>
          <w:p>
            <w:pPr>
              <w:spacing w:after="0"/>
              <w:rPr>
                <w:sz w:val="20"/>
                <w:szCs w:val="20"/>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20"/>
                <w:szCs w:val="20"/>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Pay Down</w:t>
            </w:r>
          </w:p>
        </w:tc>
        <w:tc>
          <w:tcPr>
            <w:tcW w:w="14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Address</w:t>
            </w:r>
          </w:p>
        </w:tc>
        <w:tc>
          <w:tcPr>
            <w:tcW w:w="0" w:type="dxa"/>
            <w:vAlign w:val="bottom"/>
          </w:tcPr>
          <w:p>
            <w:pPr>
              <w:spacing w:after="0"/>
              <w:rPr>
                <w:sz w:val="1"/>
                <w:szCs w:val="1"/>
                <w:color w:val="auto"/>
              </w:rPr>
            </w:pPr>
          </w:p>
        </w:tc>
      </w:tr>
      <w:tr>
        <w:trPr>
          <w:trHeight w:val="181"/>
        </w:trPr>
        <w:tc>
          <w:tcPr>
            <w:tcW w:w="82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High Trail</w:t>
            </w:r>
          </w:p>
        </w:tc>
        <w:tc>
          <w:tcPr>
            <w:tcW w:w="1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High Trail Capital</w:t>
            </w:r>
          </w:p>
        </w:tc>
        <w:tc>
          <w:tcPr>
            <w:tcW w:w="180" w:type="dxa"/>
            <w:vAlign w:val="bottom"/>
            <w:tcBorders>
              <w:top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31,947,121.96</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10,000,000</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10,000,000</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11,668,611.09</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10,535,473.64</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10,278.510.87</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Latham &amp;</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Special</w:t>
            </w: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80 River Street, Suite 4C</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Watkins LLP</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Situations</w:t>
            </w: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Hoboken, NJ 07030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12670 High Bluff</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Attn: Eric Helenek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Drive</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E-Mail: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San Diego, CA</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notices@hightrailcap.com</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92130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Telephone: (858)</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523-5400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Attention:</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E.</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Sullivan</w:t>
            </w:r>
          </w:p>
        </w:tc>
        <w:tc>
          <w:tcPr>
            <w:tcW w:w="0" w:type="dxa"/>
            <w:vAlign w:val="bottom"/>
          </w:tcPr>
          <w:p>
            <w:pPr>
              <w:spacing w:after="0"/>
              <w:rPr>
                <w:sz w:val="1"/>
                <w:szCs w:val="1"/>
                <w:color w:val="auto"/>
              </w:rPr>
            </w:pPr>
          </w:p>
        </w:tc>
      </w:tr>
      <w:tr>
        <w:trPr>
          <w:trHeight w:val="219"/>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$31,947,121.96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$ 10,000,000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$10,000,000</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$11,668,611.09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$10,535,473.64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$10,278,510.87</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$ 10,000,000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835"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147320</wp:posOffset>
            </wp:positionV>
            <wp:extent cx="3560445" cy="784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044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Announces Agreement to Modify Its Credit Facility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Terms Will Significantly Reduce Outstanding Debt and Provide Agrify with Additional Flexibility to Pursue Future Growth and Strategic Initiatives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BILLERICA, Mass., March 9, 2023 (GLOBE NEWSWIRE) -- Agrify Corporation (Nasdaq:AGFY) (“Agrify” or the “Company”), a leading provider of innovative cultivation and extraction solutions for the cannabis industry, today announced it has signed a definitive agreement with its institutional lender (the “Lender”) to amend its existing credit facility.</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“One of our key objectives at the beginning of this year has been to mitigate our financial risk profile, and reducing our total debt is one of the key initiatives to achieve that objective,” said Raymond Chang, Chairman and CEO of Agrify. “We are proud of the confidence our Lender has shown in Agrify by taking up the opportunity to modify the facility terms. We expect that the modification will allow us to strengthen our balance sheet and reduce our interest expense by approximately $1 million annually so we can now better focus on our core competencies and continue on the path toward profitability.”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Transaction Terms</w:t>
      </w:r>
    </w:p>
    <w:p>
      <w:pPr>
        <w:spacing w:after="0" w:line="211" w:lineRule="exact"/>
        <w:rPr>
          <w:sz w:val="20"/>
          <w:szCs w:val="20"/>
          <w:color w:val="auto"/>
        </w:rPr>
      </w:pPr>
    </w:p>
    <w:p>
      <w:pPr>
        <w:ind w:left="1180" w:hanging="292"/>
        <w:spacing w:after="0" w:line="271" w:lineRule="auto"/>
        <w:tabs>
          <w:tab w:leader="none" w:pos="11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Significant reduction in outstanding principal from approximately $32 million to approximately $11.675 million after the repayment and exchange</w:t>
      </w:r>
    </w:p>
    <w:p>
      <w:pPr>
        <w:spacing w:after="0" w:line="385" w:lineRule="exact"/>
        <w:rPr>
          <w:rFonts w:ascii="Times New Roman" w:cs="Times New Roman" w:eastAsia="Times New Roman" w:hAnsi="Times New Roman"/>
          <w:sz w:val="16"/>
          <w:szCs w:val="16"/>
          <w:color w:val="auto"/>
        </w:rPr>
      </w:pPr>
    </w:p>
    <w:p>
      <w:pPr>
        <w:ind w:left="1180" w:hanging="292"/>
        <w:spacing w:after="0"/>
        <w:tabs>
          <w:tab w:leader="none" w:pos="11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Elimination of working capital and restricted cash covenants to allow the Company more flexibility to pursue future growth</w:t>
      </w:r>
    </w:p>
    <w:p>
      <w:pPr>
        <w:spacing w:after="0" w:line="211" w:lineRule="exact"/>
        <w:rPr>
          <w:rFonts w:ascii="Times New Roman" w:cs="Times New Roman" w:eastAsia="Times New Roman" w:hAnsi="Times New Roman"/>
          <w:sz w:val="16"/>
          <w:szCs w:val="16"/>
          <w:color w:val="auto"/>
        </w:rPr>
      </w:pPr>
    </w:p>
    <w:p>
      <w:pPr>
        <w:ind w:left="1180" w:hanging="292"/>
        <w:spacing w:after="0"/>
        <w:tabs>
          <w:tab w:leader="none" w:pos="11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Revision of merger &amp; acquisition covenant to permit acquisitions using stock as consideration</w:t>
      </w:r>
    </w:p>
    <w:p>
      <w:pPr>
        <w:spacing w:after="0" w:line="211" w:lineRule="exact"/>
        <w:rPr>
          <w:rFonts w:ascii="Times New Roman" w:cs="Times New Roman" w:eastAsia="Times New Roman" w:hAnsi="Times New Roman"/>
          <w:sz w:val="16"/>
          <w:szCs w:val="16"/>
          <w:color w:val="auto"/>
        </w:rPr>
      </w:pPr>
    </w:p>
    <w:p>
      <w:pPr>
        <w:ind w:left="1180" w:hanging="292"/>
        <w:spacing w:after="0"/>
        <w:tabs>
          <w:tab w:leader="none" w:pos="118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Expected interest expense savings of approximately $1 million annually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Detailed Transaction Terms</w:t>
      </w:r>
    </w:p>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the terms of the Securities Exchange Agreement by and between Agrify and the Lender, dated as of March 8, 2023 (the “Exchange Agreement”), at closing Agrify will (a) exchange $10.0 million of the balance of the senior secured promissory note issued to the Lender in August 2022 with an aggregate original principal amount of $35.0 million (the “August 2022 Note”) for a new senior secured convertible note (the “Convertible Note”) with an aggregate original principal amount of $10.0 million, and (b) prepay in cash approximately $10.3 million of the remaining balance of the August 2022 Note. After the repayment and exchange, the remaining principal of the August 2022 Note will have been reduced from approximately $32 million to approximately $11.67 million.</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Pursuant to the Exchange Agreement, Agrify and the Lender have agreed to amend the terms of the August 2022 Note to allow for the removal of working capital and restricted cash covenants and a modification of the merger and acquisition restriction to permit acquisitions using stock as consideration.</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Convertible Note will be convertible at the option of the Lender at any time before its maturity date in August 2025. The conversion price will be a fixed price of $0.3820 per share, subject to customary adjustments for stock splits, rights plans, spin-offs, dividends, and similar transactions, which represents the Minimum Price as defined pursuant to applicable Nasdaq rules. The Lender may not exercise its conversion rights to the extent the resulting conversion would result in the Lender beneficially owning more than 4.99% of Agrify’s outstanding shares of common stock, which percentage may be increased to up to 9.99% under certain circumstances.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Should Agrify raise at least a further $8.0 million in equity before August 19, 2023, the Lender will be prohibited from exercising its right to redeem the August 2022 Note or the Convertible Note in August 2023. The Exchange Agreement provides that the Lender may, at its option, elect to exchange an additional $10.0 million in principal amount under the August 2022 Note for an additional $10.0 million principal amount convertible note on August 19, 2023. Agrify will also agree to repay at least a further $3.0 million of the August 2022 Note before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2023, and any cash sweep from future equity raises will count towards the repayment.</w:t>
      </w:r>
    </w:p>
    <w:p>
      <w:pPr>
        <w:spacing w:after="0" w:line="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principal amounts of the August 2022 Note and the Convertible Note will be payable on their respective maturity dates, provided that the Lender will be entitled to a cash sweep of 30% of any proceeds received by Agrify in connection with any At-The-Market equity financing, which will reduce the outstanding principal amount under the respective notes. The Lender will be entitled to a cash sweep of 20% for all other equity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4375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ind w:left="1"/>
        <w:spacing w:after="0"/>
        <w:rPr>
          <w:sz w:val="20"/>
          <w:szCs w:val="20"/>
          <w:color w:val="auto"/>
        </w:rPr>
      </w:pPr>
      <w:r>
        <w:rPr>
          <w:rFonts w:ascii="Times New Roman" w:cs="Times New Roman" w:eastAsia="Times New Roman" w:hAnsi="Times New Roman"/>
          <w:sz w:val="16"/>
          <w:szCs w:val="16"/>
          <w:color w:val="auto"/>
        </w:rPr>
        <w:t>Both the August 2022 Note and the Convertible Note will earn interest at a 9.0% annualized interest rate, with interest to be paid monthly in cash.</w:t>
      </w:r>
    </w:p>
    <w:p>
      <w:pPr>
        <w:spacing w:after="0" w:line="211"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The securities to be issued to the Lender will be issued under an exemption from the Securities Act of 1933, as amended (the “Securities Act”), and will not be registered under the Securities Act of 1933 or state securities laws and may not be offered or sold in the United States absent registration with the SEC or an applicable exemption from such registration requirements.</w:t>
      </w:r>
    </w:p>
    <w:p>
      <w:pPr>
        <w:spacing w:after="0" w:line="153"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This press release does not constitute an offer to sell or the solicitation of an offer to buy any securities in the offering. There shall not be any sale of the securities described herein in any state or jurisdiction in which such offering, sale, or solicitation would be unlawful prior to registration or qualification under the securities laws of any such state or jurisdiction.</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About Agrify (Nasdaq:AGFY)</w:t>
      </w:r>
    </w:p>
    <w:p>
      <w:pPr>
        <w:spacing w:after="0" w:line="215"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6"/>
          <w:szCs w:val="16"/>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3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5" w:lineRule="exact"/>
        <w:rPr>
          <w:sz w:val="20"/>
          <w:szCs w:val="20"/>
          <w:color w:val="auto"/>
        </w:rPr>
      </w:pPr>
    </w:p>
    <w:p>
      <w:pPr>
        <w:jc w:val="both"/>
        <w:ind w:left="1"/>
        <w:spacing w:after="0" w:line="260"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close the credit facility modification on a timely basis or at all, Agrify’s potential to be cash flow positive, the expected benefits and savings to be realized as a result of the credit facility modification, and Agrify’s ability to deliver solutions and services, including the development of new solutions.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3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Company Contacts</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Investor Relations Inquiries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Caitlin Moakley Bricker</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Chief of Staff</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caitlin.moakley@agrify.com</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(617) 733-0584</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Media Inquiries</w:t>
      </w:r>
    </w:p>
    <w:p>
      <w:pPr>
        <w:spacing w:after="0" w:line="2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Rachel Soulsby</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Vice President of Marketing</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rachel.soulsby@agrify.com</w:t>
      </w:r>
    </w:p>
    <w:p>
      <w:pPr>
        <w:spacing w:after="0" w:line="14" w:lineRule="exact"/>
        <w:rPr>
          <w:sz w:val="20"/>
          <w:szCs w:val="20"/>
          <w:color w:val="auto"/>
        </w:rPr>
      </w:pPr>
    </w:p>
    <w:p>
      <w:pPr>
        <w:ind w:left="401" w:hanging="401"/>
        <w:spacing w:after="0"/>
        <w:tabs>
          <w:tab w:leader="none" w:pos="40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660-9125</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8"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Agrify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395605</wp:posOffset>
            </wp:positionV>
            <wp:extent cx="714375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-521335</wp:posOffset>
            </wp:positionV>
            <wp:extent cx="1176020" cy="259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76020" cy="259080"/>
                    </a:xfrm>
                    <a:prstGeom prst="rect">
                      <a:avLst/>
                    </a:prstGeom>
                    <a:noFill/>
                  </pic:spPr>
                </pic:pic>
              </a:graphicData>
            </a:graphic>
          </wp:anchor>
        </w:drawing>
      </w:r>
    </w:p>
    <w:sectPr>
      <w:pgSz w:w="11900" w:h="16838" w:orient="portrait"/>
      <w:cols w:equalWidth="0" w:num="1">
        <w:col w:w="11241"/>
      </w:cols>
      <w:pgMar w:left="319" w:top="8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lowerRoman"/>
      <w:start w:val="2"/>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lowerRoman"/>
      <w:start w:val="2"/>
    </w:lvl>
  </w:abstractNum>
  <w:abstractNum w:abstractNumId="4">
    <w:nsid w:val="5DC79EA8"/>
    <w:multiLevelType w:val="hybridMultilevel"/>
    <w:lvl w:ilvl="0">
      <w:lvlJc w:val="left"/>
      <w:lvlText w:val="(%1)"/>
      <w:numFmt w:val="upperLetter"/>
      <w:start w:val="1"/>
    </w:lvl>
  </w:abstractNum>
  <w:abstractNum w:abstractNumId="5">
    <w:nsid w:val="540A471C"/>
    <w:multiLevelType w:val="hybridMultilevel"/>
    <w:lvl w:ilvl="0">
      <w:lvlJc w:val="left"/>
      <w:lvlText w:val="(%1)"/>
      <w:numFmt w:val="upperLetter"/>
      <w:start w:val="3"/>
    </w:lvl>
  </w:abstractNum>
  <w:abstractNum w:abstractNumId="6">
    <w:nsid w:val="7BD3EE7B"/>
    <w:multiLevelType w:val="hybridMultilevel"/>
    <w:lvl w:ilvl="0">
      <w:lvlJc w:val="left"/>
      <w:lvlText w:val="(%1)"/>
      <w:numFmt w:val="upperLetter"/>
      <w:start w:val="2"/>
    </w:lvl>
  </w:abstractNum>
  <w:abstractNum w:abstractNumId="7">
    <w:nsid w:val="51D9C564"/>
    <w:multiLevelType w:val="hybridMultilevel"/>
    <w:lvl w:ilvl="0">
      <w:lvlJc w:val="left"/>
      <w:lvlText w:val="(%1)"/>
      <w:numFmt w:val="upperLetter"/>
      <w:start w:val="1"/>
    </w:lvl>
  </w:abstractNum>
  <w:abstractNum w:abstractNumId="8">
    <w:nsid w:val="613EFDC5"/>
    <w:multiLevelType w:val="hybridMultilevel"/>
    <w:lvl w:ilvl="0">
      <w:lvlJc w:val="left"/>
      <w:lvlText w:val="(%1)"/>
      <w:numFmt w:val="upperLetter"/>
      <w:start w:val="8"/>
    </w:lvl>
  </w:abstractNum>
  <w:abstractNum w:abstractNumId="9">
    <w:nsid w:val="BF72B14"/>
    <w:multiLevelType w:val="hybridMultilevel"/>
    <w:lvl w:ilvl="0">
      <w:lvlJc w:val="left"/>
      <w:lvlText w:val="(%1)"/>
      <w:numFmt w:val="upperLetter"/>
      <w:start w:val="2"/>
    </w:lvl>
  </w:abstractNum>
  <w:abstractNum w:abstractNumId="10">
    <w:nsid w:val="11447B73"/>
    <w:multiLevelType w:val="hybridMultilevel"/>
    <w:lvl w:ilvl="0">
      <w:lvlJc w:val="left"/>
      <w:lvlText w:val="(%1)"/>
      <w:numFmt w:val="upperLetter"/>
      <w:start w:val="1"/>
    </w:lvl>
    <w:lvl w:ilvl="1">
      <w:lvlJc w:val="left"/>
      <w:lvlText w:val="(%2)"/>
      <w:numFmt w:val="lowerRoman"/>
      <w:start w:val="1"/>
    </w:lvl>
  </w:abstractNum>
  <w:abstractNum w:abstractNumId="11">
    <w:nsid w:val="42963E5A"/>
    <w:multiLevelType w:val="hybridMultilevel"/>
    <w:lvl w:ilvl="0">
      <w:lvlJc w:val="left"/>
      <w:lvlText w:val="(%1)"/>
      <w:numFmt w:val="upperLetter"/>
      <w:start w:val="3"/>
    </w:lvl>
    <w:lvl w:ilvl="1">
      <w:lvlJc w:val="left"/>
      <w:lvlText w:val="(%2)"/>
      <w:numFmt w:val="lowerRoman"/>
      <w:start w:val="1"/>
    </w:lvl>
  </w:abstractNum>
  <w:abstractNum w:abstractNumId="12">
    <w:nsid w:val="A0382C5"/>
    <w:multiLevelType w:val="hybridMultilevel"/>
    <w:lvl w:ilvl="0">
      <w:lvlJc w:val="left"/>
      <w:lvlText w:val="(%1)"/>
      <w:numFmt w:val="lowerRoman"/>
      <w:start w:val="4"/>
    </w:lvl>
  </w:abstractNum>
  <w:abstractNum w:abstractNumId="13">
    <w:nsid w:val="8F2B15E"/>
    <w:multiLevelType w:val="hybridMultilevel"/>
    <w:lvl w:ilvl="0">
      <w:lvlJc w:val="left"/>
      <w:lvlText w:val="(%1)"/>
      <w:numFmt w:val="upperLetter"/>
      <w:start w:val="1"/>
    </w:lvl>
  </w:abstractNum>
  <w:abstractNum w:abstractNumId="14">
    <w:nsid w:val="1A32234B"/>
    <w:multiLevelType w:val="hybridMultilevel"/>
    <w:lvl w:ilvl="0">
      <w:lvlJc w:val="left"/>
      <w:lvlText w:val="(%1)"/>
      <w:numFmt w:val="upperLetter"/>
      <w:start w:val="1"/>
    </w:lvl>
  </w:abstractNum>
  <w:abstractNum w:abstractNumId="15">
    <w:nsid w:val="3B0FD379"/>
    <w:multiLevelType w:val="hybridMultilevel"/>
    <w:lvl w:ilvl="0">
      <w:lvlJc w:val="left"/>
      <w:lvlText w:val="(%1)"/>
      <w:numFmt w:val="upperLetter"/>
      <w:start w:val="4"/>
    </w:lvl>
  </w:abstractNum>
  <w:abstractNum w:abstractNumId="16">
    <w:nsid w:val="68EB2F63"/>
    <w:multiLevelType w:val="hybridMultilevel"/>
    <w:lvl w:ilvl="0">
      <w:lvlJc w:val="left"/>
      <w:lvlText w:val="(%1)"/>
      <w:numFmt w:val="upperLetter"/>
      <w:start w:val="5"/>
    </w:lvl>
  </w:abstractNum>
  <w:abstractNum w:abstractNumId="17">
    <w:nsid w:val="4962813B"/>
    <w:multiLevelType w:val="hybridMultilevel"/>
    <w:lvl w:ilvl="0">
      <w:lvlJc w:val="left"/>
      <w:lvlText w:val="(%1)"/>
      <w:numFmt w:val="upperLetter"/>
      <w:start w:val="1"/>
    </w:lvl>
    <w:lvl w:ilvl="1">
      <w:lvlJc w:val="left"/>
      <w:lvlText w:val="(%2)"/>
      <w:numFmt w:val="lowerRoman"/>
      <w:start w:val="1"/>
    </w:lvl>
  </w:abstractNum>
  <w:abstractNum w:abstractNumId="18">
    <w:nsid w:val="60B6DF70"/>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9">
    <w:nsid w:val="6A5EE64"/>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20">
    <w:nsid w:val="14330624"/>
    <w:multiLevelType w:val="hybridMultilevel"/>
    <w:lvl w:ilvl="0">
      <w:lvlJc w:val="left"/>
      <w:lvlText w:val="(%1)"/>
      <w:numFmt w:val="lowerRoman"/>
      <w:start w:val="4"/>
    </w:lvl>
    <w:lvl w:ilvl="1">
      <w:lvlJc w:val="left"/>
      <w:lvlText w:val="(%2)"/>
      <w:numFmt w:val="decimal"/>
      <w:start w:val="1"/>
    </w:lvl>
  </w:abstractNum>
  <w:abstractNum w:abstractNumId="21">
    <w:nsid w:val="7FFFCA11"/>
    <w:multiLevelType w:val="hybridMultilevel"/>
    <w:lvl w:ilvl="0">
      <w:lvlJc w:val="left"/>
      <w:lvlText w:val="(%1)"/>
      <w:numFmt w:val="lowerRoman"/>
      <w:start w:val="5"/>
    </w:lvl>
  </w:abstractNum>
  <w:abstractNum w:abstractNumId="22">
    <w:nsid w:val="1A27709E"/>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23">
    <w:nsid w:val="71EA1109"/>
    <w:multiLevelType w:val="hybridMultilevel"/>
    <w:lvl w:ilvl="0">
      <w:lvlJc w:val="left"/>
      <w:lvlText w:val="(%1)"/>
      <w:numFmt w:val="decimal"/>
      <w:start w:val="2"/>
    </w:lvl>
  </w:abstractNum>
  <w:abstractNum w:abstractNumId="24">
    <w:nsid w:val="100F59DC"/>
    <w:multiLevelType w:val="hybridMultilevel"/>
    <w:lvl w:ilvl="0">
      <w:lvlJc w:val="left"/>
      <w:lvlText w:val="X"/>
      <w:numFmt w:val="bullet"/>
      <w:start w:val="1"/>
    </w:lvl>
  </w:abstractNum>
  <w:abstractNum w:abstractNumId="25">
    <w:nsid w:val="7FB7E0AA"/>
    <w:multiLevelType w:val="hybridMultilevel"/>
    <w:lvl w:ilvl="0">
      <w:lvlJc w:val="left"/>
      <w:lvlText w:val="Y"/>
      <w:numFmt w:val="bullet"/>
      <w:start w:val="1"/>
    </w:lvl>
    <w:lvl w:ilvl="1">
      <w:lvlJc w:val="left"/>
      <w:lvlText w:val="(%2)"/>
      <w:numFmt w:val="lowerLetter"/>
      <w:start w:val="25"/>
    </w:lvl>
  </w:abstractNum>
  <w:abstractNum w:abstractNumId="26">
    <w:nsid w:val="6EB5BD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2"/>
    </w:lvl>
  </w:abstractNum>
  <w:abstractNum w:abstractNumId="27">
    <w:nsid w:val="6F6DD9AC"/>
    <w:multiLevelType w:val="hybridMultilevel"/>
    <w:lvl w:ilvl="0">
      <w:lvlJc w:val="left"/>
      <w:lvlText w:val="(%1)"/>
      <w:numFmt w:val="lowerLetter"/>
      <w:start w:val="25"/>
    </w:lvl>
  </w:abstractNum>
  <w:abstractNum w:abstractNumId="28">
    <w:nsid w:val="94211F2"/>
    <w:multiLevelType w:val="hybridMultilevel"/>
    <w:lvl w:ilvl="0">
      <w:lvlJc w:val="left"/>
      <w:lvlText w:val="(%1)"/>
      <w:numFmt w:val="lowerLetter"/>
      <w:start w:val="2"/>
    </w:lvl>
  </w:abstractNum>
  <w:abstractNum w:abstractNumId="29">
    <w:nsid w:val="885E1B"/>
    <w:multiLevelType w:val="hybridMultilevel"/>
    <w:lvl w:ilvl="0">
      <w:lvlJc w:val="left"/>
      <w:lvlText w:val="(%1)"/>
      <w:numFmt w:val="decimal"/>
      <w:start w:val="4"/>
    </w:lvl>
  </w:abstractNum>
  <w:abstractNum w:abstractNumId="30">
    <w:nsid w:val="76272110"/>
    <w:multiLevelType w:val="hybridMultilevel"/>
    <w:lvl w:ilvl="0">
      <w:lvlJc w:val="left"/>
      <w:lvlText w:val="D"/>
      <w:numFmt w:val="bullet"/>
      <w:start w:val="1"/>
    </w:lvl>
  </w:abstractNum>
  <w:abstractNum w:abstractNumId="31">
    <w:nsid w:val="4C04A8AF"/>
    <w:multiLevelType w:val="hybridMultilevel"/>
    <w:lvl w:ilvl="0">
      <w:lvlJc w:val="left"/>
      <w:lvlText w:val="(%1)"/>
      <w:numFmt w:val="decimal"/>
      <w:start w:val="5"/>
    </w:lvl>
  </w:abstractNum>
  <w:abstractNum w:abstractNumId="32">
    <w:nsid w:val="1716703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3">
    <w:nsid w:val="14E17E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4">
    <w:nsid w:val="3222E7C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5">
    <w:nsid w:val="74DE0EE3"/>
    <w:multiLevelType w:val="hybridMultilevel"/>
    <w:lvl w:ilvl="0">
      <w:lvlJc w:val="left"/>
      <w:lvlText w:val="(%1)"/>
      <w:numFmt w:val="lowerRoman"/>
      <w:start w:val="4"/>
    </w:lvl>
    <w:lvl w:ilvl="1">
      <w:lvlJc w:val="left"/>
      <w:lvlText w:val="(%2)"/>
      <w:numFmt w:val="decimal"/>
      <w:start w:val="1"/>
    </w:lvl>
  </w:abstractNum>
  <w:abstractNum w:abstractNumId="36">
    <w:nsid w:val="68EBC550"/>
    <w:multiLevelType w:val="hybridMultilevel"/>
    <w:lvl w:ilvl="0">
      <w:lvlJc w:val="left"/>
      <w:lvlText w:val="%1"/>
      <w:numFmt w:val="lowerLetter"/>
      <w:start w:val="1"/>
    </w:lvl>
    <w:lvl w:ilvl="1">
      <w:lvlJc w:val="left"/>
      <w:lvlText w:val="(%2)"/>
      <w:numFmt w:val="lowerLetter"/>
      <w:start w:val="22"/>
    </w:lvl>
  </w:abstractNum>
  <w:abstractNum w:abstractNumId="37">
    <w:nsid w:val="2DF6D648"/>
    <w:multiLevelType w:val="hybridMultilevel"/>
    <w:lvl w:ilvl="0">
      <w:lvlJc w:val="left"/>
      <w:lvlText w:val="(%1)"/>
      <w:numFmt w:val="lowerLetter"/>
      <w:start w:val="1"/>
    </w:lvl>
    <w:lvl w:ilvl="1">
      <w:lvlJc w:val="left"/>
      <w:lvlText w:val="%2"/>
      <w:numFmt w:val="lowerLetter"/>
      <w:start w:val="1"/>
    </w:lvl>
  </w:abstractNum>
  <w:abstractNum w:abstractNumId="38">
    <w:nsid w:val="46B7D447"/>
    <w:multiLevelType w:val="hybridMultilevel"/>
    <w:lvl w:ilvl="0">
      <w:lvlJc w:val="left"/>
      <w:lvlText w:val="(%1)"/>
      <w:numFmt w:val="lowerRoman"/>
      <w:start w:val="6"/>
    </w:lvl>
  </w:abstractNum>
  <w:abstractNum w:abstractNumId="39">
    <w:nsid w:val="4A2AC315"/>
    <w:multiLevelType w:val="hybridMultilevel"/>
    <w:lvl w:ilvl="0">
      <w:lvlJc w:val="left"/>
      <w:lvlText w:val="%1"/>
      <w:numFmt w:val="upperLetter"/>
      <w:start w:val="1"/>
    </w:lvl>
    <w:lvl w:ilvl="1">
      <w:lvlJc w:val="left"/>
      <w:lvlText w:val="(%2)"/>
      <w:numFmt w:val="lowerRoman"/>
      <w:start w:val="9"/>
    </w:lvl>
    <w:lvl w:ilvl="2">
      <w:lvlJc w:val="left"/>
      <w:lvlText w:val="%3"/>
      <w:numFmt w:val="decimal"/>
      <w:start w:val="1"/>
    </w:lvl>
  </w:abstractNum>
  <w:abstractNum w:abstractNumId="40">
    <w:nsid w:val="39EE015C"/>
    <w:multiLevelType w:val="hybridMultilevel"/>
    <w:lvl w:ilvl="0">
      <w:lvlJc w:val="left"/>
      <w:lvlText w:val="(%1)"/>
      <w:numFmt w:val="upperLetter"/>
      <w:start w:val="7"/>
    </w:lvl>
    <w:lvl w:ilvl="1">
      <w:lvlJc w:val="left"/>
      <w:lvlText w:val="(%2)"/>
      <w:numFmt w:val="lowerRoman"/>
      <w:start w:val="1"/>
    </w:lvl>
    <w:lvl w:ilvl="2">
      <w:lvlJc w:val="left"/>
      <w:lvlText w:val="(%3)"/>
      <w:numFmt w:val="decimal"/>
      <w:start w:val="1"/>
    </w:lvl>
  </w:abstractNum>
  <w:abstractNum w:abstractNumId="41">
    <w:nsid w:val="57FC4FBB"/>
    <w:multiLevelType w:val="hybridMultilevel"/>
    <w:lvl w:ilvl="0">
      <w:lvlJc w:val="left"/>
      <w:lvlText w:val="%1"/>
      <w:numFmt w:val="upperLetter"/>
      <w:start w:val="1"/>
    </w:lvl>
    <w:lvl w:ilvl="1">
      <w:lvlJc w:val="left"/>
      <w:lvlText w:val="(%2)"/>
      <w:numFmt w:val="lowerRoman"/>
      <w:start w:val="2"/>
    </w:lvl>
  </w:abstractNum>
  <w:abstractNum w:abstractNumId="42">
    <w:nsid w:val="CC1016F"/>
    <w:multiLevelType w:val="hybridMultilevel"/>
    <w:lvl w:ilvl="0">
      <w:lvlJc w:val="left"/>
      <w:lvlText w:val="(%1)"/>
      <w:numFmt w:val="upperLetter"/>
      <w:start w:val="9"/>
    </w:lvl>
    <w:lvl w:ilvl="1">
      <w:lvlJc w:val="left"/>
      <w:lvlText w:val="%2"/>
      <w:numFmt w:val="lowerRoman"/>
      <w:start w:val="1"/>
    </w:lvl>
  </w:abstractNum>
  <w:abstractNum w:abstractNumId="43">
    <w:nsid w:val="43F18422"/>
    <w:multiLevelType w:val="hybridMultilevel"/>
    <w:lvl w:ilvl="0">
      <w:lvlJc w:val="left"/>
      <w:lvlText w:val="(%1)"/>
      <w:numFmt w:val="upperLetter"/>
      <w:start w:val="1"/>
    </w:lvl>
  </w:abstractNum>
  <w:abstractNum w:abstractNumId="44">
    <w:nsid w:val="60EF0119"/>
    <w:multiLevelType w:val="hybridMultilevel"/>
    <w:lvl w:ilvl="0">
      <w:lvlJc w:val="left"/>
      <w:lvlText w:val="(%1)"/>
      <w:numFmt w:val="upperLetter"/>
      <w:start w:val="1"/>
    </w:lvl>
  </w:abstractNum>
  <w:abstractNum w:abstractNumId="45">
    <w:nsid w:val="26F324BA"/>
    <w:multiLevelType w:val="hybridMultilevel"/>
    <w:lvl w:ilvl="0">
      <w:lvlJc w:val="left"/>
      <w:lvlText w:val="(%1)"/>
      <w:numFmt w:val="upperLetter"/>
      <w:start w:val="2"/>
    </w:lvl>
    <w:lvl w:ilvl="1">
      <w:lvlJc w:val="left"/>
      <w:lvlText w:val="(%2)"/>
      <w:numFmt w:val="lowerRoman"/>
      <w:start w:val="1"/>
    </w:lvl>
  </w:abstractNum>
  <w:abstractNum w:abstractNumId="46">
    <w:nsid w:val="7F01579B"/>
    <w:multiLevelType w:val="hybridMultilevel"/>
    <w:lvl w:ilvl="0">
      <w:lvlJc w:val="left"/>
      <w:lvlText w:val="(%1)"/>
      <w:numFmt w:val="upperLetter"/>
      <w:start w:val="3"/>
    </w:lvl>
  </w:abstractNum>
  <w:abstractNum w:abstractNumId="47">
    <w:nsid w:val="49DA307D"/>
    <w:multiLevelType w:val="hybridMultilevel"/>
    <w:lvl w:ilvl="0">
      <w:lvlJc w:val="left"/>
      <w:lvlText w:val="(%1)"/>
      <w:numFmt w:val="upperLetter"/>
      <w:start w:val="7"/>
    </w:lvl>
  </w:abstractNum>
  <w:abstractNum w:abstractNumId="48">
    <w:nsid w:val="7055A5F5"/>
    <w:multiLevelType w:val="hybridMultilevel"/>
    <w:lvl w:ilvl="0">
      <w:lvlJc w:val="left"/>
      <w:lvlText w:val="(%1)"/>
      <w:numFmt w:val="upperLetter"/>
      <w:start w:val="8"/>
    </w:lvl>
  </w:abstractNum>
  <w:abstractNum w:abstractNumId="49">
    <w:nsid w:val="5FB8370B"/>
    <w:multiLevelType w:val="hybridMultilevel"/>
    <w:lvl w:ilvl="0">
      <w:lvlJc w:val="left"/>
      <w:lvlText w:val="(%1)"/>
      <w:numFmt w:val="upperLetter"/>
      <w:start w:val="10"/>
    </w:lvl>
  </w:abstractNum>
  <w:abstractNum w:abstractNumId="50">
    <w:nsid w:val="50801EE1"/>
    <w:multiLevelType w:val="hybridMultilevel"/>
    <w:lvl w:ilvl="0">
      <w:lvlJc w:val="left"/>
      <w:lvlText w:val="(%1)"/>
      <w:numFmt w:val="upperLetter"/>
      <w:start w:val="18"/>
    </w:lvl>
  </w:abstractNum>
  <w:abstractNum w:abstractNumId="51">
    <w:nsid w:val="488AC1A"/>
    <w:multiLevelType w:val="hybridMultilevel"/>
    <w:lvl w:ilvl="0">
      <w:lvlJc w:val="left"/>
      <w:lvlText w:val="(%1)"/>
      <w:numFmt w:val="upperLetter"/>
      <w:start w:val="21"/>
    </w:lvl>
  </w:abstractNum>
  <w:abstractNum w:abstractNumId="52">
    <w:nsid w:val="5FB8011C"/>
    <w:multiLevelType w:val="hybridMultilevel"/>
    <w:lvl w:ilvl="0">
      <w:lvlJc w:val="left"/>
      <w:lvlText w:val="(%1)"/>
      <w:numFmt w:val="upperLetter"/>
      <w:start w:val="24"/>
    </w:lvl>
  </w:abstractNum>
  <w:abstractNum w:abstractNumId="53">
    <w:nsid w:val="6AA78F7F"/>
    <w:multiLevelType w:val="hybridMultilevel"/>
    <w:lvl w:ilvl="0">
      <w:lvlJc w:val="left"/>
      <w:lvlText w:val="(%1)"/>
      <w:numFmt w:val="upperLetter"/>
      <w:start w:val="1"/>
    </w:lvl>
  </w:abstractNum>
  <w:abstractNum w:abstractNumId="54">
    <w:nsid w:val="7672BD23"/>
    <w:multiLevelType w:val="hybridMultilevel"/>
    <w:lvl w:ilvl="0">
      <w:lvlJc w:val="left"/>
      <w:lvlText w:val="(%1)"/>
      <w:numFmt w:val="upperLetter"/>
      <w:start w:val="1"/>
    </w:lvl>
    <w:lvl w:ilvl="1">
      <w:lvlJc w:val="left"/>
      <w:lvlText w:val="(%2)"/>
      <w:numFmt w:val="lowerRoman"/>
      <w:start w:val="1"/>
    </w:lvl>
  </w:abstractNum>
  <w:abstractNum w:abstractNumId="55">
    <w:nsid w:val="6FC75AF8"/>
    <w:multiLevelType w:val="hybridMultilevel"/>
    <w:lvl w:ilvl="0">
      <w:lvlJc w:val="left"/>
      <w:lvlText w:val="(%1)"/>
      <w:numFmt w:val="lowerRoman"/>
      <w:start w:val="9"/>
    </w:lvl>
  </w:abstractNum>
  <w:abstractNum w:abstractNumId="56">
    <w:nsid w:val="6A5F7029"/>
    <w:multiLevelType w:val="hybridMultilevel"/>
    <w:lvl w:ilvl="0">
      <w:lvlJc w:val="left"/>
      <w:lvlText w:val="(%1)"/>
      <w:numFmt w:val="lowerRoman"/>
      <w:start w:val="15"/>
    </w:lvl>
    <w:lvl w:ilvl="1">
      <w:lvlJc w:val="left"/>
      <w:lvlText w:val="(%2)"/>
      <w:numFmt w:val="decimal"/>
      <w:start w:val="1"/>
    </w:lvl>
  </w:abstractNum>
  <w:abstractNum w:abstractNumId="57">
    <w:nsid w:val="7D5E18F8"/>
    <w:multiLevelType w:val="hybridMultilevel"/>
    <w:lvl w:ilvl="0">
      <w:lvlJc w:val="left"/>
      <w:lvlText w:val="%1"/>
      <w:numFmt w:val="upperLetter"/>
      <w:start w:val="1"/>
    </w:lvl>
    <w:lvl w:ilvl="1">
      <w:lvlJc w:val="left"/>
      <w:lvlText w:val="(%2)"/>
      <w:numFmt w:val="lowerRoman"/>
      <w:start w:val="19"/>
    </w:lvl>
  </w:abstractNum>
  <w:abstractNum w:abstractNumId="58">
    <w:nsid w:val="5F3534A4"/>
    <w:multiLevelType w:val="hybridMultilevel"/>
    <w:lvl w:ilvl="0">
      <w:lvlJc w:val="left"/>
      <w:lvlText w:val="(%1)"/>
      <w:numFmt w:val="upperLetter"/>
      <w:start w:val="2"/>
    </w:lvl>
    <w:lvl w:ilvl="1">
      <w:lvlJc w:val="left"/>
      <w:lvlText w:val="(%2)"/>
      <w:numFmt w:val="lowerRoman"/>
      <w:start w:val="1"/>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1)"/>
      <w:numFmt w:val="upperLetter"/>
      <w:start w:val="1"/>
    </w:lvl>
    <w:lvl w:ilvl="1">
      <w:lvlJc w:val="left"/>
      <w:lvlText w:val="(%2)"/>
      <w:numFmt w:val="lowerRoman"/>
      <w:start w:val="1"/>
    </w:lvl>
  </w:abstractNum>
  <w:abstractNum w:abstractNumId="61">
    <w:nsid w:val="555C55B5"/>
    <w:multiLevelType w:val="hybridMultilevel"/>
    <w:lvl w:ilvl="0">
      <w:lvlJc w:val="left"/>
      <w:lvlText w:val="(%1)"/>
      <w:numFmt w:val="lowerRoman"/>
      <w:start w:val="2"/>
    </w:lvl>
  </w:abstractNum>
  <w:abstractNum w:abstractNumId="62">
    <w:nsid w:val="3FA62ACA"/>
    <w:multiLevelType w:val="hybridMultilevel"/>
    <w:lvl w:ilvl="0">
      <w:lvlJc w:val="left"/>
      <w:lvlText w:val="(%1)"/>
      <w:numFmt w:val="upperLetter"/>
      <w:start w:val="26"/>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lowerLetter"/>
      <w:start w:val="2"/>
    </w:lvl>
  </w:abstractNum>
  <w:abstractNum w:abstractNumId="66">
    <w:nsid w:val="9DAF632"/>
    <w:multiLevelType w:val="hybridMultilevel"/>
    <w:lvl w:ilvl="0">
      <w:lvlJc w:val="left"/>
      <w:lvlText w:val="(%1)"/>
      <w:numFmt w:val="lowerLetter"/>
      <w:start w:val="1"/>
    </w:lvl>
  </w:abstractNum>
  <w:abstractNum w:abstractNumId="67">
    <w:nsid w:val="53299938"/>
    <w:multiLevelType w:val="hybridMultilevel"/>
    <w:lvl w:ilvl="0">
      <w:lvlJc w:val="left"/>
      <w:lvlText w:val="(%1)"/>
      <w:numFmt w:val="decimal"/>
      <w:start w:val="3"/>
    </w:lvl>
    <w:lvl w:ilvl="1">
      <w:lvlJc w:val="left"/>
      <w:lvlText w:val="%2."/>
      <w:numFmt w:val="upperLetter"/>
      <w:start w:val="4"/>
    </w:lvl>
  </w:abstractNum>
  <w:abstractNum w:abstractNumId="68">
    <w:nsid w:val="1FBFE8E0"/>
    <w:multiLevelType w:val="hybridMultilevel"/>
    <w:lvl w:ilvl="0">
      <w:lvlJc w:val="left"/>
      <w:lvlText w:val="%1."/>
      <w:numFmt w:val="decimal"/>
      <w:start w:val="1"/>
    </w:lvl>
    <w:lvl w:ilvl="1">
      <w:lvlJc w:val="left"/>
      <w:lvlText w:val="(%2)"/>
      <w:numFmt w:val="lowerLetter"/>
      <w:start w:val="1"/>
    </w:lvl>
  </w:abstractNum>
  <w:abstractNum w:abstractNumId="69">
    <w:nsid w:val="5092CA79"/>
    <w:multiLevelType w:val="hybridMultilevel"/>
    <w:lvl w:ilvl="0">
      <w:lvlJc w:val="left"/>
      <w:lvlText w:val="(%1)"/>
      <w:numFmt w:val="lowerLetter"/>
      <w:start w:val="2"/>
    </w:lvl>
  </w:abstractNum>
  <w:abstractNum w:abstractNumId="70">
    <w:nsid w:val="1D545C4D"/>
    <w:multiLevelType w:val="hybridMultilevel"/>
    <w:lvl w:ilvl="0">
      <w:lvlJc w:val="left"/>
      <w:lvlText w:val="%1"/>
      <w:numFmt w:val="decimal"/>
      <w:start w:val="1"/>
    </w:lvl>
    <w:lvl w:ilvl="1">
      <w:lvlJc w:val="left"/>
      <w:lvlText w:val="(%2)"/>
      <w:numFmt w:val="lowerLetter"/>
      <w:start w:val="5"/>
    </w:lvl>
  </w:abstractNum>
  <w:abstractNum w:abstractNumId="71">
    <w:nsid w:val="59ADEA3D"/>
    <w:multiLevelType w:val="hybridMultilevel"/>
    <w:lvl w:ilvl="0">
      <w:lvlJc w:val="left"/>
      <w:lvlText w:val="%1."/>
      <w:numFmt w:val="decimal"/>
      <w:start w:val="2"/>
    </w:lvl>
    <w:lvl w:ilvl="1">
      <w:lvlJc w:val="left"/>
      <w:lvlText w:val="%2"/>
      <w:numFmt w:val="lowerLetter"/>
      <w:start w:val="1"/>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3"/>
    </w:lvl>
  </w:abstractNum>
  <w:abstractNum w:abstractNumId="74">
    <w:nsid w:val="1D9F6E5F"/>
    <w:multiLevelType w:val="hybridMultilevel"/>
    <w:lvl w:ilvl="0">
      <w:lvlJc w:val="left"/>
      <w:lvlText w:val="(%1)"/>
      <w:numFmt w:val="lowerLetter"/>
      <w:start w:val="7"/>
    </w:lvl>
  </w:abstractNum>
  <w:abstractNum w:abstractNumId="75">
    <w:nsid w:val="97E1B4E"/>
    <w:multiLevelType w:val="hybridMultilevel"/>
    <w:lvl w:ilvl="0">
      <w:lvlJc w:val="left"/>
      <w:lvlText w:val="%1"/>
      <w:numFmt w:val="decimal"/>
      <w:start w:val="1"/>
    </w:lvl>
    <w:lvl w:ilvl="1">
      <w:lvlJc w:val="left"/>
      <w:lvlText w:val="(%2)"/>
      <w:numFmt w:val="lowerLetter"/>
      <w:start w:val="10"/>
    </w:lvl>
  </w:abstractNum>
  <w:abstractNum w:abstractNumId="76">
    <w:nsid w:val="51088277"/>
    <w:multiLevelType w:val="hybridMultilevel"/>
    <w:lvl w:ilvl="0">
      <w:lvlJc w:val="left"/>
      <w:lvlText w:val="%1."/>
      <w:numFmt w:val="decimal"/>
      <w:start w:val="3"/>
    </w:lvl>
    <w:lvl w:ilvl="1">
      <w:lvlJc w:val="left"/>
      <w:lvlText w:val="%2"/>
      <w:numFmt w:val="lowerLetter"/>
      <w:start w:val="1"/>
    </w:lvl>
  </w:abstractNum>
  <w:abstractNum w:abstractNumId="77">
    <w:nsid w:val="1CA0C5FA"/>
    <w:multiLevelType w:val="hybridMultilevel"/>
    <w:lvl w:ilvl="0">
      <w:lvlJc w:val="left"/>
      <w:lvlText w:val="(%1)"/>
      <w:numFmt w:val="lowerLetter"/>
      <w:start w:val="1"/>
    </w:lvl>
  </w:abstractNum>
  <w:abstractNum w:abstractNumId="78">
    <w:nsid w:val="53584BCB"/>
    <w:multiLevelType w:val="hybridMultilevel"/>
    <w:lvl w:ilvl="0">
      <w:lvlJc w:val="left"/>
      <w:lvlText w:val="(%1)"/>
      <w:numFmt w:val="lowerLetter"/>
      <w:start w:val="2"/>
    </w:lvl>
  </w:abstractNum>
  <w:abstractNum w:abstractNumId="79">
    <w:nsid w:val="415E286C"/>
    <w:multiLevelType w:val="hybridMultilevel"/>
    <w:lvl w:ilvl="0">
      <w:lvlJc w:val="left"/>
      <w:lvlText w:val="(%1)"/>
      <w:numFmt w:val="lowerLetter"/>
      <w:start w:val="4"/>
    </w:lvl>
  </w:abstractNum>
  <w:abstractNum w:abstractNumId="80">
    <w:nsid w:val="7C58FD05"/>
    <w:multiLevelType w:val="hybridMultilevel"/>
    <w:lvl w:ilvl="0">
      <w:lvlJc w:val="left"/>
      <w:lvlText w:val="(%1)"/>
      <w:numFmt w:val="lowerLetter"/>
      <w:start w:val="6"/>
    </w:lvl>
  </w:abstractNum>
  <w:abstractNum w:abstractNumId="81">
    <w:nsid w:val="23D86AAC"/>
    <w:multiLevelType w:val="hybridMultilevel"/>
    <w:lvl w:ilvl="0">
      <w:lvlJc w:val="left"/>
      <w:lvlText w:val="(%1)"/>
      <w:numFmt w:val="lowerLetter"/>
      <w:start w:val="9"/>
    </w:lvl>
  </w:abstractNum>
  <w:abstractNum w:abstractNumId="82">
    <w:nsid w:val="45E6D486"/>
    <w:multiLevelType w:val="hybridMultilevel"/>
    <w:lvl w:ilvl="0">
      <w:lvlJc w:val="left"/>
      <w:lvlText w:val="%1"/>
      <w:numFmt w:val="upperLetter"/>
      <w:start w:val="1"/>
    </w:lvl>
    <w:lvl w:ilvl="1">
      <w:lvlJc w:val="left"/>
      <w:lvlText w:val="(%2)"/>
      <w:numFmt w:val="lowerLetter"/>
      <w:start w:val="12"/>
    </w:lvl>
  </w:abstractNum>
  <w:abstractNum w:abstractNumId="83">
    <w:nsid w:val="5C10FE21"/>
    <w:multiLevelType w:val="hybridMultilevel"/>
    <w:lvl w:ilvl="0">
      <w:lvlJc w:val="left"/>
      <w:lvlText w:val="(%1)"/>
      <w:numFmt w:val="upperLetter"/>
      <w:start w:val="2"/>
    </w:lvl>
    <w:lvl w:ilvl="1">
      <w:lvlJc w:val="left"/>
      <w:lvlText w:val="(%2)"/>
      <w:numFmt w:val="lowerLetter"/>
      <w:start w:val="14"/>
    </w:lvl>
  </w:abstractNum>
  <w:abstractNum w:abstractNumId="84">
    <w:nsid w:val="E7FFA2B"/>
    <w:multiLevelType w:val="hybridMultilevel"/>
    <w:lvl w:ilvl="0">
      <w:lvlJc w:val="left"/>
      <w:lvlText w:val="(%1)"/>
      <w:numFmt w:val="lowerLetter"/>
      <w:start w:val="15"/>
    </w:lvl>
    <w:lvl w:ilvl="1">
      <w:lvlJc w:val="left"/>
      <w:lvlText w:val="(%2)"/>
      <w:numFmt w:val="lowerRoman"/>
      <w:start w:val="1"/>
    </w:lvl>
  </w:abstractNum>
  <w:abstractNum w:abstractNumId="85">
    <w:nsid w:val="3C5991AA"/>
    <w:multiLevelType w:val="hybridMultilevel"/>
    <w:lvl w:ilvl="0">
      <w:lvlJc w:val="left"/>
      <w:lvlText w:val="(%1)"/>
      <w:numFmt w:val="lowerLetter"/>
      <w:start w:val="16"/>
    </w:lvl>
  </w:abstractNum>
  <w:abstractNum w:abstractNumId="86">
    <w:nsid w:val="4BD8591A"/>
    <w:multiLevelType w:val="hybridMultilevel"/>
    <w:lvl w:ilvl="0">
      <w:lvlJc w:val="left"/>
      <w:lvlText w:val="(%1)"/>
      <w:numFmt w:val="lowerLetter"/>
      <w:start w:val="18"/>
    </w:lvl>
    <w:lvl w:ilvl="1">
      <w:lvlJc w:val="left"/>
      <w:lvlText w:val="(%2)"/>
      <w:numFmt w:val="lowerRoman"/>
      <w:start w:val="1"/>
    </w:lvl>
  </w:abstractNum>
  <w:abstractNum w:abstractNumId="87">
    <w:nsid w:val="78DF6A5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88">
    <w:nsid w:val="39B7AAA2"/>
    <w:multiLevelType w:val="hybridMultilevel"/>
    <w:lvl w:ilvl="0">
      <w:lvlJc w:val="left"/>
      <w:lvlText w:val="%1"/>
      <w:numFmt w:val="lowerRoman"/>
      <w:start w:val="1"/>
    </w:lvl>
    <w:lvl w:ilvl="1">
      <w:lvlJc w:val="left"/>
      <w:lvlText w:val="(%2)"/>
      <w:numFmt w:val="lowerLetter"/>
      <w:start w:val="19"/>
    </w:lvl>
    <w:lvl w:ilvl="2">
      <w:lvlJc w:val="left"/>
      <w:lvlText w:val="%3"/>
      <w:numFmt w:val="lowerRoman"/>
      <w:start w:val="1"/>
    </w:lvl>
  </w:abstractNum>
  <w:abstractNum w:abstractNumId="89">
    <w:nsid w:val="2B0D8DBE"/>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90">
    <w:nsid w:val="6C80EC70"/>
    <w:multiLevelType w:val="hybridMultilevel"/>
    <w:lvl w:ilvl="0">
      <w:lvlJc w:val="left"/>
      <w:lvlText w:val="(%1)"/>
      <w:numFmt w:val="lowerRoman"/>
      <w:start w:val="10"/>
    </w:lvl>
    <w:lvl w:ilvl="1">
      <w:lvlJc w:val="left"/>
      <w:lvlText w:val="(%2)"/>
      <w:numFmt w:val="lowerLetter"/>
      <w:start w:val="20"/>
    </w:lvl>
    <w:lvl w:ilvl="2">
      <w:lvlJc w:val="left"/>
      <w:lvlText w:val="%3"/>
      <w:numFmt w:val="lowerRoman"/>
      <w:start w:val="1"/>
    </w:lvl>
  </w:abstractNum>
  <w:abstractNum w:abstractNumId="91">
    <w:nsid w:val="379E21B5"/>
    <w:multiLevelType w:val="hybridMultilevel"/>
    <w:lvl w:ilvl="0">
      <w:lvlJc w:val="left"/>
      <w:lvlText w:val="(%1)"/>
      <w:numFmt w:val="lowerLetter"/>
      <w:start w:val="21"/>
    </w:lvl>
  </w:abstractNum>
  <w:abstractNum w:abstractNumId="92">
    <w:nsid w:val="69E373"/>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93">
    <w:nsid w:val="2C27173B"/>
    <w:multiLevelType w:val="hybridMultilevel"/>
    <w:lvl w:ilvl="0">
      <w:lvlJc w:val="left"/>
      <w:lvlText w:val="(%1)"/>
      <w:numFmt w:val="lowerLetter"/>
      <w:start w:val="27"/>
    </w:lvl>
  </w:abstractNum>
  <w:abstractNum w:abstractNumId="94">
    <w:nsid w:val="4C9B0904"/>
    <w:multiLevelType w:val="hybridMultilevel"/>
    <w:lvl w:ilvl="0">
      <w:lvlJc w:val="left"/>
      <w:lvlText w:val="(%1)"/>
      <w:numFmt w:val="lowerLetter"/>
      <w:start w:val="28"/>
    </w:lvl>
  </w:abstractNum>
  <w:abstractNum w:abstractNumId="95">
    <w:nsid w:val="6AA7B75C"/>
    <w:multiLevelType w:val="hybridMultilevel"/>
    <w:lvl w:ilvl="0">
      <w:lvlJc w:val="left"/>
      <w:lvlText w:val="%1"/>
      <w:numFmt w:val="lowerLetter"/>
      <w:start w:val="1"/>
    </w:lvl>
    <w:lvl w:ilvl="1">
      <w:lvlJc w:val="left"/>
      <w:lvlText w:val="(%2)"/>
      <w:numFmt w:val="lowerLetter"/>
      <w:start w:val="32"/>
    </w:lvl>
  </w:abstractNum>
  <w:abstractNum w:abstractNumId="96">
    <w:nsid w:val="1DF029D3"/>
    <w:multiLevelType w:val="hybridMultilevel"/>
    <w:lvl w:ilvl="0">
      <w:lvlJc w:val="left"/>
      <w:lvlText w:val="(%1)"/>
      <w:numFmt w:val="lowerLetter"/>
      <w:start w:val="61"/>
    </w:lvl>
    <w:lvl w:ilvl="1">
      <w:lvlJc w:val="left"/>
      <w:lvlText w:val="(%2)"/>
      <w:numFmt w:val="lowerLetter"/>
      <w:start w:val="33"/>
    </w:lvl>
  </w:abstractNum>
  <w:abstractNum w:abstractNumId="97">
    <w:nsid w:val="5675FF36"/>
    <w:multiLevelType w:val="hybridMultilevel"/>
    <w:lvl w:ilvl="0">
      <w:lvlJc w:val="left"/>
      <w:lvlText w:val="(%1)"/>
      <w:numFmt w:val="lowerLetter"/>
      <w:start w:val="38"/>
    </w:lvl>
    <w:lvl w:ilvl="1">
      <w:lvlJc w:val="left"/>
      <w:lvlText w:val="(%2)"/>
      <w:numFmt w:val="lowerRoman"/>
      <w:start w:val="1"/>
    </w:lvl>
    <w:lvl w:ilvl="2">
      <w:lvlJc w:val="left"/>
      <w:lvlText w:val="(%3)"/>
      <w:numFmt w:val="decimal"/>
      <w:start w:val="1"/>
    </w:lvl>
  </w:abstractNum>
  <w:abstractNum w:abstractNumId="98">
    <w:nsid w:val="3DD15094"/>
    <w:multiLevelType w:val="hybridMultilevel"/>
    <w:lvl w:ilvl="0">
      <w:lvlJc w:val="left"/>
      <w:lvlText w:val="%1"/>
      <w:numFmt w:val="lowerLetter"/>
      <w:start w:val="1"/>
    </w:lvl>
    <w:lvl w:ilvl="1">
      <w:lvlJc w:val="left"/>
      <w:lvlText w:val="(%2)"/>
      <w:numFmt w:val="lowerRoman"/>
      <w:start w:val="5"/>
    </w:lvl>
  </w:abstractNum>
  <w:abstractNum w:abstractNumId="99">
    <w:nsid w:val="3DB012B3"/>
    <w:multiLevelType w:val="hybridMultilevel"/>
    <w:lvl w:ilvl="0">
      <w:lvlJc w:val="left"/>
      <w:lvlText w:val="(%1)"/>
      <w:numFmt w:val="lowerLetter"/>
      <w:start w:val="41"/>
    </w:lvl>
    <w:lvl w:ilvl="1">
      <w:lvlJc w:val="left"/>
      <w:lvlText w:val="%2"/>
      <w:numFmt w:val="lowerRoman"/>
      <w:start w:val="1"/>
    </w:lvl>
  </w:abstractNum>
  <w:abstractNum w:abstractNumId="100">
    <w:nsid w:val="2708C9AF"/>
    <w:multiLevelType w:val="hybridMultilevel"/>
    <w:lvl w:ilvl="0">
      <w:lvlJc w:val="left"/>
      <w:lvlText w:val="%1"/>
      <w:numFmt w:val="decimal"/>
      <w:start w:val="1"/>
    </w:lvl>
    <w:lvl w:ilvl="1">
      <w:lvlJc w:val="left"/>
      <w:lvlText w:val="(%2)"/>
      <w:numFmt w:val="lowerLetter"/>
      <w:start w:val="44"/>
    </w:lvl>
  </w:abstractNum>
  <w:abstractNum w:abstractNumId="101">
    <w:nsid w:val="5B25ACE2"/>
    <w:multiLevelType w:val="hybridMultilevel"/>
    <w:lvl w:ilvl="0">
      <w:lvlJc w:val="left"/>
      <w:lvlText w:val="%1."/>
      <w:numFmt w:val="decimal"/>
      <w:start w:val="4"/>
    </w:lvl>
    <w:lvl w:ilvl="1">
      <w:lvlJc w:val="left"/>
      <w:lvlText w:val="(%2)"/>
      <w:numFmt w:val="lowerLetter"/>
      <w:start w:val="1"/>
    </w:lvl>
  </w:abstractNum>
  <w:abstractNum w:abstractNumId="102">
    <w:nsid w:val="175DFCF0"/>
    <w:multiLevelType w:val="hybridMultilevel"/>
    <w:lvl w:ilvl="0">
      <w:lvlJc w:val="left"/>
      <w:lvlText w:val="(%1)"/>
      <w:numFmt w:val="lowerLetter"/>
      <w:start w:val="4"/>
    </w:lvl>
  </w:abstractNum>
  <w:abstractNum w:abstractNumId="103">
    <w:nsid w:val="4F97E3E4"/>
    <w:multiLevelType w:val="hybridMultilevel"/>
    <w:lvl w:ilvl="0">
      <w:lvlJc w:val="left"/>
      <w:lvlText w:val="(%1)"/>
      <w:numFmt w:val="lowerRoman"/>
      <w:start w:val="1"/>
    </w:lvl>
  </w:abstractNum>
  <w:abstractNum w:abstractNumId="104">
    <w:nsid w:val="53B0A9E"/>
    <w:multiLevelType w:val="hybridMultilevel"/>
    <w:lvl w:ilvl="0">
      <w:lvlJc w:val="left"/>
      <w:lvlText w:val="%1"/>
      <w:numFmt w:val="lowerRoman"/>
      <w:start w:val="1"/>
    </w:lvl>
    <w:lvl w:ilvl="1">
      <w:lvlJc w:val="left"/>
      <w:lvlText w:val="(%2)"/>
      <w:numFmt w:val="lowerRoman"/>
      <w:start w:val="2"/>
    </w:lvl>
  </w:abstractNum>
  <w:abstractNum w:abstractNumId="105">
    <w:nsid w:val="34FD6B4F"/>
    <w:multiLevelType w:val="hybridMultilevel"/>
    <w:lvl w:ilvl="0">
      <w:lvlJc w:val="left"/>
      <w:lvlText w:val="(%1)"/>
      <w:numFmt w:val="lowerRoman"/>
      <w:start w:val="1"/>
    </w:lvl>
    <w:lvl w:ilvl="1">
      <w:lvlJc w:val="left"/>
      <w:lvlText w:val="%2"/>
      <w:numFmt w:val="lowerRoman"/>
      <w:start w:val="1"/>
    </w:lvl>
  </w:abstractNum>
  <w:abstractNum w:abstractNumId="106">
    <w:nsid w:val="5915FF32"/>
    <w:multiLevelType w:val="hybridMultilevel"/>
    <w:lvl w:ilvl="0">
      <w:lvlJc w:val="left"/>
      <w:lvlText w:val="(%1)"/>
      <w:numFmt w:val="lowerRoman"/>
      <w:start w:val="1"/>
    </w:lvl>
    <w:lvl w:ilvl="1">
      <w:lvlJc w:val="left"/>
      <w:lvlText w:val="(%2)"/>
      <w:numFmt w:val="lowerRoman"/>
      <w:start w:val="1"/>
    </w:lvl>
  </w:abstractNum>
  <w:abstractNum w:abstractNumId="107">
    <w:nsid w:val="56438D15"/>
    <w:multiLevelType w:val="hybridMultilevel"/>
    <w:lvl w:ilvl="0">
      <w:lvlJc w:val="left"/>
      <w:lvlText w:val="(%1)"/>
      <w:numFmt w:val="lowerLetter"/>
      <w:start w:val="10"/>
    </w:lvl>
  </w:abstractNum>
  <w:abstractNum w:abstractNumId="108">
    <w:nsid w:val="519E3149"/>
    <w:multiLevelType w:val="hybridMultilevel"/>
    <w:lvl w:ilvl="0">
      <w:lvlJc w:val="left"/>
      <w:lvlText w:val="(%1)"/>
      <w:numFmt w:val="lowerLetter"/>
      <w:start w:val="18"/>
    </w:lvl>
    <w:lvl w:ilvl="1">
      <w:lvlJc w:val="left"/>
      <w:lvlText w:val="(%2)"/>
      <w:numFmt w:val="upperLetter"/>
      <w:start w:val="1"/>
    </w:lvl>
  </w:abstractNum>
  <w:abstractNum w:abstractNumId="109">
    <w:nsid w:val="2C6E4AFD"/>
    <w:multiLevelType w:val="hybridMultilevel"/>
    <w:lvl w:ilvl="0">
      <w:lvlJc w:val="left"/>
      <w:lvlText w:val="(%1)"/>
      <w:numFmt w:val="upperLetter"/>
      <w:start w:val="3"/>
    </w:lvl>
  </w:abstractNum>
  <w:abstractNum w:abstractNumId="110">
    <w:nsid w:val="17A1B582"/>
    <w:multiLevelType w:val="hybridMultilevel"/>
    <w:lvl w:ilvl="0">
      <w:lvlJc w:val="left"/>
      <w:lvlText w:val="(%1)"/>
      <w:numFmt w:val="upperLetter"/>
      <w:start w:val="6"/>
    </w:lvl>
  </w:abstractNum>
  <w:abstractNum w:abstractNumId="111">
    <w:nsid w:val="4DF72E4E"/>
    <w:multiLevelType w:val="hybridMultilevel"/>
    <w:lvl w:ilvl="0">
      <w:lvlJc w:val="left"/>
      <w:lvlText w:val="%1"/>
      <w:numFmt w:val="lowerLetter"/>
      <w:start w:val="1"/>
    </w:lvl>
    <w:lvl w:ilvl="1">
      <w:lvlJc w:val="left"/>
      <w:lvlText w:val="(%2)"/>
      <w:numFmt w:val="upperLetter"/>
      <w:start w:val="9"/>
    </w:lvl>
  </w:abstractNum>
  <w:abstractNum w:abstractNumId="112">
    <w:nsid w:val="5046B5A9"/>
    <w:multiLevelType w:val="hybridMultilevel"/>
    <w:lvl w:ilvl="0">
      <w:lvlJc w:val="left"/>
      <w:lvlText w:val="(%1)"/>
      <w:numFmt w:val="lowerLetter"/>
      <w:start w:val="19"/>
    </w:lvl>
    <w:lvl w:ilvl="1">
      <w:lvlJc w:val="left"/>
      <w:lvlText w:val="%2"/>
      <w:numFmt w:val="upperLetter"/>
      <w:start w:val="1"/>
    </w:lvl>
  </w:abstractNum>
  <w:abstractNum w:abstractNumId="113">
    <w:nsid w:val="5D888A08"/>
    <w:multiLevelType w:val="hybridMultilevel"/>
    <w:lvl w:ilvl="0">
      <w:lvlJc w:val="left"/>
      <w:lvlText w:val="%1."/>
      <w:numFmt w:val="decimal"/>
      <w:start w:val="5"/>
    </w:lvl>
    <w:lvl w:ilvl="1">
      <w:lvlJc w:val="left"/>
      <w:lvlText w:val="(%2)"/>
      <w:numFmt w:val="lowerLetter"/>
      <w:start w:val="1"/>
    </w:lvl>
  </w:abstractNum>
  <w:abstractNum w:abstractNumId="114">
    <w:nsid w:val="2A082C70"/>
    <w:multiLevelType w:val="hybridMultilevel"/>
    <w:lvl w:ilvl="0">
      <w:lvlJc w:val="left"/>
      <w:lvlText w:val="(%1)"/>
      <w:numFmt w:val="lowerLetter"/>
      <w:start w:val="3"/>
    </w:lvl>
  </w:abstractNum>
  <w:abstractNum w:abstractNumId="115">
    <w:nsid w:val="5EC6AFD4"/>
    <w:multiLevelType w:val="hybridMultilevel"/>
    <w:lvl w:ilvl="0">
      <w:lvlJc w:val="left"/>
      <w:lvlText w:val="(%1)"/>
      <w:numFmt w:val="lowerLetter"/>
      <w:start w:val="4"/>
    </w:lvl>
  </w:abstractNum>
  <w:abstractNum w:abstractNumId="116">
    <w:nsid w:val="19E21BB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7">
    <w:nsid w:val="75E0858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8">
    <w:nsid w:val="57A61A29"/>
    <w:multiLevelType w:val="hybridMultilevel"/>
    <w:lvl w:ilvl="0">
      <w:lvlJc w:val="left"/>
      <w:lvlText w:val="(%1)"/>
      <w:numFmt w:val="lowerRoman"/>
      <w:start w:val="8"/>
    </w:lvl>
  </w:abstractNum>
  <w:abstractNum w:abstractNumId="119">
    <w:nsid w:val="5399C654"/>
    <w:multiLevelType w:val="hybridMultilevel"/>
    <w:lvl w:ilvl="0">
      <w:lvlJc w:val="left"/>
      <w:lvlText w:val="%1"/>
      <w:numFmt w:val="lowerLetter"/>
      <w:start w:val="1"/>
    </w:lvl>
    <w:lvl w:ilvl="1">
      <w:lvlJc w:val="left"/>
      <w:lvlText w:val="(%2)"/>
      <w:numFmt w:val="lowerRoman"/>
      <w:start w:val="17"/>
    </w:lvl>
  </w:abstractNum>
  <w:abstractNum w:abstractNumId="120">
    <w:nsid w:val="20EE1348"/>
    <w:multiLevelType w:val="hybridMultilevel"/>
    <w:lvl w:ilvl="0">
      <w:lvlJc w:val="left"/>
      <w:lvlText w:val="(%1)"/>
      <w:numFmt w:val="lowerLetter"/>
      <w:start w:val="2"/>
    </w:lvl>
    <w:lvl w:ilvl="1">
      <w:lvlJc w:val="left"/>
      <w:lvlText w:val="(%2)"/>
      <w:numFmt w:val="lowerRoman"/>
      <w:start w:val="1"/>
    </w:lvl>
  </w:abstractNum>
  <w:abstractNum w:abstractNumId="121">
    <w:nsid w:val="4427069A"/>
    <w:multiLevelType w:val="hybridMultilevel"/>
    <w:lvl w:ilvl="0">
      <w:lvlJc w:val="left"/>
      <w:lvlText w:val="(%1)"/>
      <w:numFmt w:val="lowerRoman"/>
      <w:start w:val="8"/>
    </w:lvl>
  </w:abstractNum>
  <w:abstractNum w:abstractNumId="122">
    <w:nsid w:val="B37E80A"/>
    <w:multiLevelType w:val="hybridMultilevel"/>
    <w:lvl w:ilvl="0">
      <w:lvlJc w:val="left"/>
      <w:lvlText w:val="%1"/>
      <w:numFmt w:val="decimal"/>
      <w:start w:val="1"/>
    </w:lvl>
    <w:lvl w:ilvl="1">
      <w:lvlJc w:val="left"/>
      <w:lvlText w:val="(%2)"/>
      <w:numFmt w:val="lowerRoman"/>
      <w:start w:val="15"/>
    </w:lvl>
  </w:abstractNum>
  <w:abstractNum w:abstractNumId="123">
    <w:nsid w:val="2157F6BC"/>
    <w:multiLevelType w:val="hybridMultilevel"/>
    <w:lvl w:ilvl="0">
      <w:lvlJc w:val="left"/>
      <w:lvlText w:val="%1."/>
      <w:numFmt w:val="decimal"/>
      <w:start w:val="8"/>
    </w:lvl>
    <w:lvl w:ilvl="1">
      <w:lvlJc w:val="left"/>
      <w:lvlText w:val="%2"/>
      <w:numFmt w:val="lowerRoman"/>
      <w:start w:val="1"/>
    </w:lvl>
  </w:abstractNum>
  <w:abstractNum w:abstractNumId="124">
    <w:nsid w:val="704E1DD5"/>
    <w:multiLevelType w:val="hybridMultilevel"/>
    <w:lvl w:ilvl="0">
      <w:lvlJc w:val="left"/>
      <w:lvlText w:val="%1."/>
      <w:numFmt w:val="decimal"/>
      <w:start w:val="9"/>
    </w:lvl>
    <w:lvl w:ilvl="1">
      <w:lvlJc w:val="left"/>
      <w:lvlText w:val="(%2)"/>
      <w:numFmt w:val="lowerLetter"/>
      <w:start w:val="1"/>
    </w:lvl>
  </w:abstractNum>
  <w:abstractNum w:abstractNumId="125">
    <w:nsid w:val="57D2F10E"/>
    <w:multiLevelType w:val="hybridMultilevel"/>
    <w:lvl w:ilvl="0">
      <w:lvlJc w:val="left"/>
      <w:lvlText w:val="%1"/>
      <w:numFmt w:val="lowerLetter"/>
      <w:start w:val="1"/>
    </w:lvl>
    <w:lvl w:ilvl="1">
      <w:lvlJc w:val="left"/>
      <w:lvlText w:val="(%2)"/>
      <w:numFmt w:val="lowerLetter"/>
      <w:start w:val="2"/>
    </w:lvl>
  </w:abstractNum>
  <w:abstractNum w:abstractNumId="126">
    <w:nsid w:val="BFFAE18"/>
    <w:multiLevelType w:val="hybridMultilevel"/>
    <w:lvl w:ilvl="0">
      <w:lvlJc w:val="left"/>
      <w:lvlText w:val="(%1)"/>
      <w:numFmt w:val="lowerLetter"/>
      <w:start w:val="25"/>
    </w:lvl>
    <w:lvl w:ilvl="1">
      <w:lvlJc w:val="left"/>
      <w:lvlText w:val="(%2)"/>
      <w:numFmt w:val="lowerLetter"/>
      <w:start w:val="4"/>
    </w:lvl>
  </w:abstractNum>
  <w:abstractNum w:abstractNumId="127">
    <w:nsid w:val="E3E47A8"/>
    <w:multiLevelType w:val="hybridMultilevel"/>
    <w:lvl w:ilvl="0">
      <w:lvlJc w:val="left"/>
      <w:lvlText w:val="(%1)"/>
      <w:numFmt w:val="lowerLetter"/>
      <w:start w:val="5"/>
    </w:lvl>
  </w:abstractNum>
  <w:abstractNum w:abstractNumId="128">
    <w:nsid w:val="2E48F044"/>
    <w:multiLevelType w:val="hybridMultilevel"/>
    <w:lvl w:ilvl="0">
      <w:lvlJc w:val="left"/>
      <w:lvlText w:val="(%1)"/>
      <w:numFmt w:val="lowerLetter"/>
      <w:start w:val="6"/>
    </w:lvl>
  </w:abstractNum>
  <w:abstractNum w:abstractNumId="129">
    <w:nsid w:val="49D0FEAC"/>
    <w:multiLevelType w:val="hybridMultilevel"/>
    <w:lvl w:ilvl="0">
      <w:lvlJc w:val="left"/>
      <w:lvlText w:val="(%1)"/>
      <w:numFmt w:val="decimal"/>
      <w:start w:val="5"/>
    </w:lvl>
    <w:lvl w:ilvl="1">
      <w:lvlJc w:val="left"/>
      <w:lvlText w:val="(%2)"/>
      <w:numFmt w:val="lowerLetter"/>
      <w:start w:val="7"/>
    </w:lvl>
  </w:abstractNum>
  <w:abstractNum w:abstractNumId="130">
    <w:nsid w:val="4BEE5A5B"/>
    <w:multiLevelType w:val="hybridMultilevel"/>
    <w:lvl w:ilvl="0">
      <w:lvlJc w:val="left"/>
      <w:lvlText w:val="(%1)"/>
      <w:numFmt w:val="lowerLetter"/>
      <w:start w:val="8"/>
    </w:lvl>
    <w:lvl w:ilvl="1">
      <w:lvlJc w:val="left"/>
      <w:lvlText w:val="(%2)"/>
      <w:numFmt w:val="lowerLetter"/>
      <w:start w:val="9"/>
    </w:lvl>
  </w:abstractNum>
  <w:abstractNum w:abstractNumId="131">
    <w:nsid w:val="5551B9F3"/>
    <w:multiLevelType w:val="hybridMultilevel"/>
    <w:lvl w:ilvl="0">
      <w:lvlJc w:val="left"/>
      <w:lvlText w:val="(%1)"/>
      <w:numFmt w:val="lowerRoman"/>
      <w:start w:val="2"/>
    </w:lvl>
  </w:abstractNum>
  <w:abstractNum w:abstractNumId="132">
    <w:nsid w:val="24F6AB8E"/>
    <w:multiLevelType w:val="hybridMultilevel"/>
    <w:lvl w:ilvl="0">
      <w:lvlJc w:val="left"/>
      <w:lvlText w:val="(%1)"/>
      <w:numFmt w:val="lowerLetter"/>
      <w:start w:val="12"/>
    </w:lvl>
  </w:abstractNum>
  <w:abstractNum w:abstractNumId="133">
    <w:nsid w:val="634C574C"/>
    <w:multiLevelType w:val="hybridMultilevel"/>
    <w:lvl w:ilvl="0">
      <w:lvlJc w:val="left"/>
      <w:lvlText w:val="(%1)"/>
      <w:numFmt w:val="lowerLetter"/>
      <w:start w:val="15"/>
    </w:lvl>
    <w:lvl w:ilvl="1">
      <w:lvlJc w:val="left"/>
      <w:lvlText w:val="(%2)"/>
      <w:numFmt w:val="lowerRoman"/>
      <w:start w:val="1"/>
    </w:lvl>
    <w:lvl w:ilvl="2">
      <w:lvlJc w:val="left"/>
      <w:lvlText w:val="(%3)"/>
      <w:numFmt w:val="decimal"/>
      <w:start w:val="1"/>
    </w:lvl>
  </w:abstractNum>
  <w:abstractNum w:abstractNumId="134">
    <w:nsid w:val="24E99DD7"/>
    <w:multiLevelType w:val="hybridMultilevel"/>
    <w:lvl w:ilvl="0">
      <w:lvlJc w:val="left"/>
      <w:lvlText w:val="%1"/>
      <w:numFmt w:val="lowerLetter"/>
      <w:start w:val="1"/>
    </w:lvl>
    <w:lvl w:ilvl="1">
      <w:lvlJc w:val="left"/>
      <w:lvlText w:val="(%2)"/>
      <w:numFmt w:val="lowerLetter"/>
      <w:start w:val="61"/>
    </w:lvl>
  </w:abstractNum>
  <w:abstractNum w:abstractNumId="135">
    <w:nsid w:val="2A31B62D"/>
    <w:multiLevelType w:val="hybridMultilevel"/>
    <w:lvl w:ilvl="0">
      <w:lvlJc w:val="left"/>
      <w:lvlText w:val="(%1)"/>
      <w:numFmt w:val="lowerLetter"/>
      <w:start w:val="17"/>
    </w:lvl>
    <w:lvl w:ilvl="1">
      <w:lvlJc w:val="left"/>
      <w:lvlText w:val="%2"/>
      <w:numFmt w:val="lowerLetter"/>
      <w:start w:val="1"/>
    </w:lvl>
  </w:abstractNum>
  <w:abstractNum w:abstractNumId="136">
    <w:nsid w:val="1849C29B"/>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37">
    <w:nsid w:val="7DFF9D09"/>
    <w:multiLevelType w:val="hybridMultilevel"/>
    <w:lvl w:ilvl="0">
      <w:lvlJc w:val="left"/>
      <w:lvlText w:val="(%1)"/>
      <w:numFmt w:val="upperLetter"/>
      <w:start w:val="2"/>
    </w:lvl>
  </w:abstractNum>
  <w:abstractNum w:abstractNumId="138">
    <w:nsid w:val="754342"/>
    <w:multiLevelType w:val="hybridMultilevel"/>
    <w:lvl w:ilvl="0">
      <w:lvlJc w:val="left"/>
      <w:lvlText w:val="(%1)"/>
      <w:numFmt w:val="lowerRoman"/>
      <w:start w:val="4"/>
    </w:lvl>
  </w:abstractNum>
  <w:abstractNum w:abstractNumId="139">
    <w:nsid w:val="69E7F3E5"/>
    <w:multiLevelType w:val="hybridMultilevel"/>
    <w:lvl w:ilvl="0">
      <w:lvlJc w:val="left"/>
      <w:lvlText w:val="(%1)"/>
      <w:numFmt w:val="lowerRoman"/>
      <w:start w:val="5"/>
    </w:lvl>
  </w:abstractNum>
  <w:abstractNum w:abstractNumId="140">
    <w:nsid w:val="2A6DE806"/>
    <w:multiLevelType w:val="hybridMultilevel"/>
    <w:lvl w:ilvl="0">
      <w:lvlJc w:val="left"/>
      <w:lvlText w:val="(%1)"/>
      <w:numFmt w:val="lowerRoman"/>
      <w:start w:val="8"/>
    </w:lvl>
  </w:abstractNum>
  <w:abstractNum w:abstractNumId="141">
    <w:nsid w:val="1816F8C4"/>
    <w:multiLevelType w:val="hybridMultilevel"/>
    <w:lvl w:ilvl="0">
      <w:lvlJc w:val="left"/>
      <w:lvlText w:val="●"/>
      <w:numFmt w:val="bullet"/>
      <w:start w:val="1"/>
    </w:lvl>
  </w:abstractNum>
  <w:abstractNum w:abstractNumId="142">
    <w:nsid w:val="37DF2233"/>
    <w:multiLevelType w:val="hybridMultilevel"/>
    <w:lvl w:ilvl="0">
      <w:lvlJc w:val="left"/>
      <w:lvlText w:val="(%1)"/>
      <w:numFmt w:val="decimal"/>
      <w:start w:val="9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2023-03-09T07:05:04Z</dcterms:created>
  <dcterms:modified xsi:type="dcterms:W3CDTF">2023-03-09T07:05:04Z</dcterms:modified>
</cp:coreProperties>
</file>