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25,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6429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429375"/>
                    </a:xfrm>
                    <a:prstGeom prst="rect">
                      <a:avLst/>
                    </a:prstGeom>
                    <a:noFill/>
                  </pic:spPr>
                </pic:pic>
              </a:graphicData>
            </a:graphic>
          </wp:anchor>
        </w:drawing>
      </w:r>
    </w:p>
    <w:p>
      <w:pPr>
        <w:spacing w:after="0" w:line="192" w:lineRule="exact"/>
        <w:rPr>
          <w:sz w:val="20"/>
          <w:szCs w:val="20"/>
          <w:color w:val="auto"/>
        </w:rPr>
      </w:pPr>
    </w:p>
    <w:p>
      <w:pPr>
        <w:ind w:left="920" w:right="814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I-Tseng Jenny Chan</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Check the Appropriate Box if a Member of a Group (See Instructions)</w:t>
      </w:r>
    </w:p>
    <w:p>
      <w:pPr>
        <w:sectPr>
          <w:pgSz w:w="11900" w:h="16838" w:orient="portrait"/>
          <w:cols w:equalWidth="0" w:num="1">
            <w:col w:w="11240"/>
          </w:cols>
          <w:pgMar w:left="320" w:top="266" w:right="339" w:bottom="1440" w:gutter="0" w:footer="0" w:header="0"/>
        </w:sectPr>
      </w:pPr>
    </w:p>
    <w:p>
      <w:pPr>
        <w:spacing w:after="0" w:line="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0"/>
          <w:szCs w:val="20"/>
          <w:color w:val="auto"/>
        </w:rPr>
      </w:pPr>
    </w:p>
    <w:p>
      <w:pPr>
        <w:sectPr>
          <w:pgSz w:w="11900" w:h="16838" w:orient="portrait"/>
          <w:cols w:equalWidth="0" w:num="2">
            <w:col w:w="9480" w:space="720"/>
            <w:col w:w="1040"/>
          </w:cols>
          <w:pgMar w:left="320" w:top="266" w:right="339" w:bottom="1440" w:gutter="0" w:footer="0" w:header="0"/>
          <w:type w:val="continuous"/>
        </w:sectPr>
      </w:pPr>
    </w:p>
    <w:p>
      <w:pPr>
        <w:spacing w:after="0" w:line="106" w:lineRule="exact"/>
        <w:rPr>
          <w:sz w:val="20"/>
          <w:szCs w:val="20"/>
          <w:color w:val="auto"/>
        </w:rPr>
      </w:pPr>
    </w:p>
    <w:p>
      <w:pPr>
        <w:ind w:left="920" w:hanging="782"/>
        <w:spacing w:after="0"/>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60"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199"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b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p>
      <w:pPr>
        <w:spacing w:after="0" w:line="68"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09" w:lineRule="exact"/>
        <w:rPr>
          <w:rFonts w:ascii="Times New Roman" w:cs="Times New Roman" w:eastAsia="Times New Roman" w:hAnsi="Times New Roman"/>
          <w:sz w:val="18"/>
          <w:szCs w:val="18"/>
          <w:b w:val="1"/>
          <w:bCs w:val="1"/>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445,272 shares of Common Stock held by M Zion Capital, LLC (“M Zion Capital”), an entity controlled by Ms. Chan, (ii) 445,272 shares of Common Stock held by M Olivet Capital, LLC (“M Olivet Capital”), an entity controlled by Ms. Chan, (iii) 445,272 shares of Common Stock held by M Cannan Capital, LLC (“M Cannan Capital”), an entity controlled by Ms. Chan and (iv) that number of shares of Common Stock issuable to CP Acquisitions, LLC (“CP Acquisitions”), an entity controlled by Ms. Chan, issuable to Ms. Chan upon the conversion of that certain Senior Secured Amended, Restated and Consolidated Convertible Note due 2025 described herein with an outstanding principal amount of $15,000,000.00 and a conversion price of $1.46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Raymond Chang, a member of the Board of Directors and the CEO of the Issuer, and/or Ms. Chan, in which case the 49.99% beneficial ownership limitation will apply to each of them individually.</w:t>
      </w:r>
    </w:p>
    <w:p>
      <w:pPr>
        <w:spacing w:after="0" w:line="120"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w:t>
      </w:r>
    </w:p>
    <w:p>
      <w:pPr>
        <w:spacing w:after="0" w:line="10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 plus the shares of Common Stock issuable upon conversion of the convertible note in footnote (1), subject to applicable beneficial ownership limitations.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29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2937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Zion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Check the Appropriate Box if a Member of a Group (See Instructions)</w:t>
      </w:r>
    </w:p>
    <w:p>
      <w:pPr>
        <w:sectPr>
          <w:pgSz w:w="11900" w:h="16838" w:orient="portrait"/>
          <w:cols w:equalWidth="0" w:num="1">
            <w:col w:w="11240"/>
          </w:cols>
          <w:pgMar w:left="320" w:top="333" w:right="339" w:bottom="1440" w:gutter="0" w:footer="0" w:header="0"/>
        </w:sectPr>
      </w:pPr>
    </w:p>
    <w:p>
      <w:pPr>
        <w:spacing w:after="0" w:line="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0"/>
          <w:szCs w:val="20"/>
          <w:color w:val="auto"/>
        </w:rPr>
      </w:pPr>
    </w:p>
    <w:p>
      <w:pPr>
        <w:sectPr>
          <w:pgSz w:w="11900" w:h="16838" w:orient="portrait"/>
          <w:cols w:equalWidth="0" w:num="2">
            <w:col w:w="9480" w:space="720"/>
            <w:col w:w="1040"/>
          </w:cols>
          <w:pgMar w:left="320" w:top="333" w:right="339" w:bottom="1440" w:gutter="0" w:footer="0" w:header="0"/>
          <w:type w:val="continuous"/>
        </w:sectPr>
      </w:pPr>
    </w:p>
    <w:p>
      <w:pPr>
        <w:spacing w:after="0" w:line="106" w:lineRule="exact"/>
        <w:rPr>
          <w:sz w:val="20"/>
          <w:szCs w:val="20"/>
          <w:color w:val="auto"/>
        </w:rPr>
      </w:pPr>
    </w:p>
    <w:p>
      <w:pPr>
        <w:ind w:left="920" w:hanging="782"/>
        <w:spacing w:after="0"/>
        <w:tabs>
          <w:tab w:leader="none" w:pos="9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60"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199"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b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68"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Zion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29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42937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Olivet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Check the Appropriate Box if a Member of a Group (See Instructions)</w:t>
      </w:r>
    </w:p>
    <w:p>
      <w:pPr>
        <w:sectPr>
          <w:pgSz w:w="11900" w:h="16838" w:orient="portrait"/>
          <w:cols w:equalWidth="0" w:num="1">
            <w:col w:w="11240"/>
          </w:cols>
          <w:pgMar w:left="320" w:top="333" w:right="339" w:bottom="1440" w:gutter="0" w:footer="0" w:header="0"/>
        </w:sectPr>
      </w:pPr>
    </w:p>
    <w:p>
      <w:pPr>
        <w:spacing w:after="0" w:line="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0"/>
          <w:szCs w:val="20"/>
          <w:color w:val="auto"/>
        </w:rPr>
      </w:pPr>
    </w:p>
    <w:p>
      <w:pPr>
        <w:sectPr>
          <w:pgSz w:w="11900" w:h="16838" w:orient="portrait"/>
          <w:cols w:equalWidth="0" w:num="2">
            <w:col w:w="9480" w:space="720"/>
            <w:col w:w="1040"/>
          </w:cols>
          <w:pgMar w:left="320" w:top="333" w:right="339" w:bottom="1440" w:gutter="0" w:footer="0" w:header="0"/>
          <w:type w:val="continuous"/>
        </w:sectPr>
      </w:pPr>
    </w:p>
    <w:p>
      <w:pPr>
        <w:spacing w:after="0" w:line="106" w:lineRule="exact"/>
        <w:rPr>
          <w:sz w:val="20"/>
          <w:szCs w:val="20"/>
          <w:color w:val="auto"/>
        </w:rPr>
      </w:pPr>
    </w:p>
    <w:p>
      <w:pPr>
        <w:ind w:left="920" w:hanging="782"/>
        <w:spacing w:after="0"/>
        <w:tabs>
          <w:tab w:leader="none" w:pos="9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60"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199"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b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68"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Olivet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2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Cannan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Check the Appropriate Box if a Member of a Group (See Instructions)</w:t>
      </w:r>
    </w:p>
    <w:p>
      <w:pPr>
        <w:sectPr>
          <w:pgSz w:w="11900" w:h="16838" w:orient="portrait"/>
          <w:cols w:equalWidth="0" w:num="1">
            <w:col w:w="11240"/>
          </w:cols>
          <w:pgMar w:left="320" w:top="333" w:right="339" w:bottom="1440" w:gutter="0" w:footer="0" w:header="0"/>
        </w:sectPr>
      </w:pPr>
    </w:p>
    <w:p>
      <w:pPr>
        <w:spacing w:after="0" w:line="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0"/>
          <w:szCs w:val="20"/>
          <w:color w:val="auto"/>
        </w:rPr>
      </w:pPr>
    </w:p>
    <w:p>
      <w:pPr>
        <w:sectPr>
          <w:pgSz w:w="11900" w:h="16838" w:orient="portrait"/>
          <w:cols w:equalWidth="0" w:num="2">
            <w:col w:w="9480" w:space="720"/>
            <w:col w:w="1040"/>
          </w:cols>
          <w:pgMar w:left="320" w:top="333" w:right="339" w:bottom="1440" w:gutter="0" w:footer="0" w:header="0"/>
          <w:type w:val="continuous"/>
        </w:sectPr>
      </w:pPr>
    </w:p>
    <w:p>
      <w:pPr>
        <w:spacing w:after="0" w:line="106" w:lineRule="exact"/>
        <w:rPr>
          <w:sz w:val="20"/>
          <w:szCs w:val="20"/>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60"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199"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b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 xml:space="preserve">445,272 </w:t>
      </w:r>
      <w:r>
        <w:rPr>
          <w:rFonts w:ascii="Times New Roman" w:cs="Times New Roman" w:eastAsia="Times New Roman" w:hAnsi="Times New Roman"/>
          <w:sz w:val="29"/>
          <w:szCs w:val="29"/>
          <w:color w:val="auto"/>
          <w:vertAlign w:val="superscript"/>
        </w:rPr>
        <w:t>(1)</w:t>
      </w:r>
    </w:p>
    <w:p>
      <w:pPr>
        <w:spacing w:after="0" w:line="68"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29"/>
          <w:szCs w:val="29"/>
          <w:color w:val="auto"/>
          <w:vertAlign w:val="superscript"/>
        </w:rPr>
        <w:t>(2)</w:t>
      </w:r>
    </w:p>
    <w:p>
      <w:pPr>
        <w:spacing w:after="0" w:line="184"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Cannan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29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42937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Check the Appropriate Box if a Member of a Group (See Instructions)</w:t>
      </w:r>
    </w:p>
    <w:p>
      <w:pPr>
        <w:sectPr>
          <w:pgSz w:w="11900" w:h="16838" w:orient="portrait"/>
          <w:cols w:equalWidth="0" w:num="1">
            <w:col w:w="11240"/>
          </w:cols>
          <w:pgMar w:left="320" w:top="333" w:right="339" w:bottom="1440" w:gutter="0" w:footer="0" w:header="0"/>
        </w:sectPr>
      </w:pPr>
    </w:p>
    <w:p>
      <w:pPr>
        <w:spacing w:after="0" w:line="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0"/>
          <w:szCs w:val="20"/>
          <w:color w:val="auto"/>
        </w:rPr>
      </w:pPr>
    </w:p>
    <w:p>
      <w:pPr>
        <w:sectPr>
          <w:pgSz w:w="11900" w:h="16838" w:orient="portrait"/>
          <w:cols w:equalWidth="0" w:num="2">
            <w:col w:w="9480" w:space="720"/>
            <w:col w:w="1040"/>
          </w:cols>
          <w:pgMar w:left="320" w:top="333" w:right="339" w:bottom="1440" w:gutter="0" w:footer="0" w:header="0"/>
          <w:type w:val="continuous"/>
        </w:sectPr>
      </w:pPr>
    </w:p>
    <w:p>
      <w:pPr>
        <w:spacing w:after="0" w:line="106" w:lineRule="exact"/>
        <w:rPr>
          <w:sz w:val="20"/>
          <w:szCs w:val="20"/>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60"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199"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disclosure of legal proceedings is required pursuant to Items 2(d) or 2(e) b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68" w:lineRule="exact"/>
        <w:rPr>
          <w:rFonts w:ascii="Times New Roman" w:cs="Times New Roman" w:eastAsia="Times New Roman" w:hAnsi="Times New Roman"/>
          <w:sz w:val="18"/>
          <w:szCs w:val="18"/>
          <w:b w:val="1"/>
          <w:bCs w:val="1"/>
          <w:color w:val="auto"/>
        </w:rPr>
      </w:pPr>
    </w:p>
    <w:p>
      <w:pPr>
        <w:ind w:left="920" w:hanging="782"/>
        <w:spacing w:after="0" w:line="207" w:lineRule="exact"/>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42"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4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that number of shares of Common Stock issuable to CP Acquisitions, an entity controlled by Ms. Chan, issuable to Ms. Chan upon the conversion of that certain Senior Secured Amended, Restated and Consolidated Convertible Note due 2025 described herein with an outstanding principal amount of $15,000,000.00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Raymond Chang, a member of the Board of Directors and the CEO of the Issuer, and/or Ms. Chan, in which case the 49.99% beneficial ownership limitation will apply to each of them individually.</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 plus the shares of Common Stock issuable upon conversion of the convertible note in footnote (1) above, subject to applicable beneficial ownership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This Statement of Beneficial Ownership on Schedule 13D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relates to the shares of common stock, $0.001 par value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a Nevada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The Issuer maintains its principal executive office at 2468 Industrial Drive Troy, MI 48084.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This statement is filed by I-Tseng Jenny Chan (“</w:t>
      </w:r>
      <w:r>
        <w:rPr>
          <w:rFonts w:ascii="Times New Roman" w:cs="Times New Roman" w:eastAsia="Times New Roman" w:hAnsi="Times New Roman"/>
          <w:sz w:val="18"/>
          <w:szCs w:val="18"/>
          <w:i w:val="1"/>
          <w:iCs w:val="1"/>
          <w:color w:val="auto"/>
        </w:rPr>
        <w:t>Ms. Chan</w:t>
      </w:r>
      <w:r>
        <w:rPr>
          <w:rFonts w:ascii="Times New Roman" w:cs="Times New Roman" w:eastAsia="Times New Roman" w:hAnsi="Times New Roman"/>
          <w:sz w:val="18"/>
          <w:szCs w:val="18"/>
          <w:color w:val="auto"/>
        </w:rPr>
        <w:t>”), M Zion Capital, LLC (“</w:t>
      </w:r>
      <w:r>
        <w:rPr>
          <w:rFonts w:ascii="Times New Roman" w:cs="Times New Roman" w:eastAsia="Times New Roman" w:hAnsi="Times New Roman"/>
          <w:sz w:val="18"/>
          <w:szCs w:val="18"/>
          <w:i w:val="1"/>
          <w:iCs w:val="1"/>
          <w:color w:val="auto"/>
        </w:rPr>
        <w:t>M Zion Capital</w:t>
      </w:r>
      <w:r>
        <w:rPr>
          <w:rFonts w:ascii="Times New Roman" w:cs="Times New Roman" w:eastAsia="Times New Roman" w:hAnsi="Times New Roman"/>
          <w:sz w:val="18"/>
          <w:szCs w:val="18"/>
          <w:color w:val="auto"/>
        </w:rPr>
        <w:t>”), M Olivet Capital, LLC (“</w:t>
      </w:r>
      <w:r>
        <w:rPr>
          <w:rFonts w:ascii="Times New Roman" w:cs="Times New Roman" w:eastAsia="Times New Roman" w:hAnsi="Times New Roman"/>
          <w:sz w:val="18"/>
          <w:szCs w:val="18"/>
          <w:i w:val="1"/>
          <w:iCs w:val="1"/>
          <w:color w:val="auto"/>
        </w:rPr>
        <w:t>M Olivet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and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that they may be deemed to have beneficial ownership.</w:t>
      </w:r>
    </w:p>
    <w:p>
      <w:pPr>
        <w:spacing w:after="0" w:line="17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Ms. Chan’s principal occupation is serving as a luxury brand professional. The principal occupation of M Zion Capital, M Olivet Capital and M Cannan Capital is asset management.</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Ms. Chan is a citizen of the United States of America, and her principal business address is c/o Agrify Corporation, 2468 Industrial Row Drive, Troy, Michigan 48084. M Zion Capital is organized under the laws of the Delaware, and has a principal business address of 27 Devon Rd, Brookline, MA 02467. M Olivet Capital is organized under the laws of the Delaware, and has a principal business address of 27 Devon Rd, Brookline, MA 02467. M Cannan Capital is organized under the laws of the Delaware, and has a principal business address of 27 Devon Rd, Brookline, MA 02467.</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Persons have not been convicted in a criminal proceeding (excluding traffic violations or similar misdemeanors). During the last five years, the Reporting Persons have not been a party to any other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January 25, 2024, CP Acquisitions and the Issuer consolidated the outstanding principal and interest due under the outstanding secured notes previously issued by the Issuer and held by CP Acquisitions into a certain single convertible note, titled “Senior Secured Amended, Restated and Consolidated Convertible Note due 2025” (the “</w:t>
      </w:r>
      <w:r>
        <w:rPr>
          <w:rFonts w:ascii="Times New Roman" w:cs="Times New Roman" w:eastAsia="Times New Roman" w:hAnsi="Times New Roman"/>
          <w:sz w:val="18"/>
          <w:szCs w:val="18"/>
          <w:i w:val="1"/>
          <w:iCs w:val="1"/>
          <w:color w:val="auto"/>
        </w:rPr>
        <w:t>Restated Note</w:t>
      </w:r>
      <w:r>
        <w:rPr>
          <w:rFonts w:ascii="Times New Roman" w:cs="Times New Roman" w:eastAsia="Times New Roman" w:hAnsi="Times New Roman"/>
          <w:sz w:val="18"/>
          <w:szCs w:val="18"/>
          <w:color w:val="auto"/>
        </w:rPr>
        <w:t xml:space="preserve">”), with an outstanding principal amount of approximately $18,900,583.71 at the time of issuance of the Restated Note. The Restated Note is convertible at a current conversion price of $1.46 per share, as may be adjusted per the Note from time to time,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Raymond Chang, a member of the Board of Directors and the CEO of the Issuer, and/or Ms. I-Tseng Jenny Chan, in which case the 49.99% beneficial ownership limitation will apply to each of them individually.</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Immediately following the execution of the Restated Note, CP Acquisitions elected to convert approximately $3,900,583.71 of outstanding principal and accrued but unpaid interest into an aggregate of 2,671,633 shares of common stock, and assigned its rights to receive 1,335,817 of such shares to RTC3 2020 Irrevocable Family Trust, of which Mr. Raymond Chang retains the authority to remove the independent trustee, and the remainder of such shares to those certain entities controlled by Ms. Chan as follows: 445,272 shares to M Zion Capital, 445,272 shares to M Olivet Capital and 445,272 shares to M Cannan Capital. Following the conversion, there was $15,000,000.00 in principal amount outstanding under the Restated Note. CP Acquisitions does not presently intend to convert some or all of the outstanding principal amount and accrued but unpaid interest under the Restated Note, and may seek to exercise certain rights as a senior secured debtholder of the Issuer in the future.</w:t>
      </w:r>
    </w:p>
    <w:p>
      <w:pPr>
        <w:spacing w:after="0" w:line="18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No part of the purchase price of the securities was represented by funds or other consideration borrowed or otherwise obtained for the purpose of acquiring, holding, trading, or voting the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Reporting Persons acquired the securities reported herein for investment purposes. Ms. Chan was elected to the Issuer’s Board of Directors at the Issuer’s Annual Meeting of Stockholders held on January 8, 2024. Depending on market conditions, their continuing evaluation of the business and prospects of the Issuer and other factors, each Reporting Person may dispose of or acquire additional shares of the Issuer. Except as set forth above, no Reporting Person has any present plans which relate to or would result in:</w:t>
      </w:r>
    </w:p>
    <w:p>
      <w:pPr>
        <w:spacing w:after="0" w:line="180" w:lineRule="exact"/>
        <w:rPr>
          <w:sz w:val="20"/>
          <w:szCs w:val="20"/>
          <w:color w:val="auto"/>
        </w:rPr>
      </w:pPr>
    </w:p>
    <w:p>
      <w:pPr>
        <w:ind w:left="1300" w:right="2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of additional securities of the Issuer, or the disposition of securities of the Issuer, except that the Reporting Person may receive additional equity grants in the future as a director of the Issuer;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extraordinary corporate transaction, such as a merger, reorganization or liquidation, involving the Issuer or any of its subsidiaries;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transfer of a material amount of assets of the Issuer or any of its subsidiaries;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the present capitalization or dividend policy of the Issuer;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change in the Issuer’s business or corporate structure;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Issuer’s charter, bylaws or instruments corresponding thereto or other actions which may impede the acquisition of control of the Issuer by any person;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of equity securities of the Issuer becoming eligible for termination of registration pursuant to Section 12(g)(4) of the Securities Exchange Act of 1934;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similar to any of those enumerated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left="1300" w:hanging="644"/>
        <w:spacing w:after="0" w:line="258"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6,846,419 shares of Common Stock outstanding as of the date hereof. Notwithstanding the foregoing, Ms. Chan hereby disclaims beneficial ownership with respect to the securities held by M Zion Capital, M Olivet Capital and M Cannan Capital, except to the extent of her pecuniary interest therein.</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the number of shares as to which each Reporting Person has: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7 of each cover sheet.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8 of each cover sheet.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See line 9 of each cover sheet.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See line 10 of each cover sheet.</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 3 above, none of the Reporting Persons has effected any transaction in the Common Stock during the last 60 days.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is known to have the right to receive or the power to direct the receipt of dividends from, or any proceeds from the sale of, securities beneficially owned by the Reporting Persons.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Items 3, 4, and 5 above is incorporated herein by reference.</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Reporting Persons may be deemed to be a “group” pursuant to Section 13(d)(3) of the Act. Neither the filing of this Schedule 13D nor any of its contents shall be deemed to constitute an admission that the Reporting Persons or any of their respective affiliates are the beneficial owners of any Common Stock beneficially owned by any of the Reporting Persons for purposes of Section 13(d) of the Act, the rules promulgated thereunder or for any other purpose.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041"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hanging="1133"/>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1</w:t>
      </w:r>
      <w:r>
        <w:rPr>
          <w:sz w:val="20"/>
          <w:szCs w:val="20"/>
          <w:color w:val="auto"/>
        </w:rPr>
        <w:tab/>
      </w:r>
      <w:hyperlink r:id="rId26">
        <w:r>
          <w:rPr>
            <w:rFonts w:ascii="Times New Roman" w:cs="Times New Roman" w:eastAsia="Times New Roman" w:hAnsi="Times New Roman"/>
            <w:sz w:val="18"/>
            <w:szCs w:val="18"/>
            <w:u w:val="single" w:color="auto"/>
            <w:color w:val="0000EE"/>
          </w:rPr>
          <w:t>Senior Secured Amended, Restated and Consolidated Convertible Note, dated January 25, 2024 (filed as Exhibit 4.1 to the Issuer’s Current</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Report on Form 8-K, as filed with the Commission on January 25, 2024, and incorporated herein by reference).</w:t>
        </w:r>
      </w:hyperlink>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 Olivet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 Cannan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decimal"/>
      <w:start w:val="3"/>
    </w:lvl>
  </w:abstractNum>
  <w:abstractNum w:abstractNumId="3">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E6AFB66"/>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3"/>
    </w:lvl>
  </w:abstractNum>
  <w:abstractNum w:abstractNumId="8">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
    <w:nsid w:val="7C83E4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0">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3"/>
    </w:lvl>
  </w:abstractNum>
  <w:abstractNum w:abstractNumId="13">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4">
    <w:nsid w:val="333AB10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5">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3"/>
    </w:lvl>
  </w:abstractNum>
  <w:abstractNum w:abstractNumId="18">
    <w:nsid w:val="6763845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75A2A8D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3"/>
    </w:lvl>
  </w:abstractNum>
  <w:abstractNum w:abstractNumId="23">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189A769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26" Type="http://schemas.openxmlformats.org/officeDocument/2006/relationships/hyperlink" Target="http://www.sec.gov/Archives/edgar/data/1800637/000121390024006275/ea192155ex4-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2024-01-29T15:38:41Z</dcterms:created>
  <dcterms:modified xsi:type="dcterms:W3CDTF">2024-01-29T15:38:41Z</dcterms:modified>
</cp:coreProperties>
</file>