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34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4987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Holtzman Max</w:t>
              </w:r>
            </w:hyperlink>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5"/>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Agrify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2220 HICKS ROAD</w:t>
            </w: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06/11/2025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2"/>
                <w:szCs w:val="12"/>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ROLLING</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10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2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8"/>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7"/>
              </w:rPr>
              <w:t>Common Stock</w:t>
            </w:r>
            <w:r>
              <w:rPr>
                <w:rFonts w:ascii="Times New Roman" w:cs="Times New Roman" w:eastAsia="Times New Roman" w:hAnsi="Times New Roman"/>
                <w:sz w:val="21"/>
                <w:szCs w:val="21"/>
                <w:color w:val="008000"/>
                <w:w w:val="97"/>
                <w:vertAlign w:val="superscript"/>
              </w:rPr>
              <w:t>(1)</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06/11/2025</w:t>
            </w: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99"/>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5,000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(2)</w:t>
            </w: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5,000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7"/>
              </w:rPr>
              <w:t>Common Stock</w:t>
            </w:r>
            <w:r>
              <w:rPr>
                <w:rFonts w:ascii="Times New Roman" w:cs="Times New Roman" w:eastAsia="Times New Roman" w:hAnsi="Times New Roman"/>
                <w:sz w:val="21"/>
                <w:szCs w:val="21"/>
                <w:color w:val="008000"/>
                <w:w w:val="97"/>
                <w:vertAlign w:val="superscript"/>
              </w:rPr>
              <w:t>(3)</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06/12/2025</w:t>
            </w: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5,000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10,000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8"/>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6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rPr>
              <w:t>06/12/2025</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gridSpan w:val="2"/>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6"/>
                <w:szCs w:val="6"/>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(3)</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as amended, (the "Plan"). 100% of the restricted stock units will vest on the earlier of (i) the one year anniversary of the date of the grant of the restricted stock units and (ii) the next annual meeting of the stockholders of Agrify Corporation following the date of the grant of the restricted stock units, subject to the reporting person's continuous service to the issuer through such vesting date.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settlement of restricted stock units on June 12,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5,000 restricted stock units on November 19, 2024 under the Plan. All of the restricted stock units settled on June 12, 2025.</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300" w:type="dxa"/>
            <w:vAlign w:val="bottom"/>
            <w:tcBorders>
              <w:top w:val="single" w:sz="8" w:color="auto"/>
              <w:bottom w:val="single" w:sz="8" w:color="auto"/>
            </w:tcBorders>
            <w:vMerge w:val="restart"/>
          </w:tcPr>
          <w:p>
            <w:pPr>
              <w:spacing w:after="0"/>
              <w:rPr>
                <w:sz w:val="7"/>
                <w:szCs w:val="7"/>
                <w:color w:val="auto"/>
              </w:rPr>
            </w:pPr>
          </w:p>
        </w:tc>
        <w:tc>
          <w:tcPr>
            <w:tcW w:w="7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2355850</wp:posOffset>
            </wp:positionH>
            <wp:positionV relativeFrom="page">
              <wp:posOffset>383540</wp:posOffset>
            </wp:positionV>
            <wp:extent cx="2844165" cy="582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44165" cy="5822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u w:val="single" w:color="auto"/>
          <w:color w:val="auto"/>
        </w:rPr>
        <w:t>AGRIFY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0" w:lineRule="exact"/>
        <w:rPr>
          <w:sz w:val="20"/>
          <w:szCs w:val="20"/>
          <w:color w:val="auto"/>
        </w:rPr>
      </w:pPr>
    </w:p>
    <w:p>
      <w:pPr>
        <w:ind w:right="240" w:firstLine="624"/>
        <w:spacing w:after="0" w:line="262" w:lineRule="auto"/>
        <w:rPr>
          <w:sz w:val="20"/>
          <w:szCs w:val="20"/>
          <w:color w:val="auto"/>
        </w:rPr>
      </w:pPr>
      <w:r>
        <w:rPr>
          <w:rFonts w:ascii="Times New Roman" w:cs="Times New Roman" w:eastAsia="Times New Roman" w:hAnsi="Times New Roman"/>
          <w:sz w:val="21"/>
          <w:szCs w:val="21"/>
          <w:color w:val="auto"/>
        </w:rPr>
        <w:t>The undersigned hereby constitutes and appoints each of Bret Kravitz, Kathryn A. Lloyd, and Brad Asher, signing singly, the undersigned’s true and lawful attorney-in-fact to:</w:t>
      </w:r>
    </w:p>
    <w:p>
      <w:pPr>
        <w:spacing w:after="0" w:line="32" w:lineRule="exact"/>
        <w:rPr>
          <w:sz w:val="20"/>
          <w:szCs w:val="20"/>
          <w:color w:val="auto"/>
        </w:rPr>
      </w:pPr>
    </w:p>
    <w:p>
      <w:pPr>
        <w:ind w:left="620" w:right="140" w:hanging="304"/>
        <w:spacing w:after="0"/>
        <w:tabs>
          <w:tab w:leader="none" w:pos="59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Agrify Corporation, including but not limited to Forms 3, 4 and 5; and</w:t>
      </w:r>
    </w:p>
    <w:p>
      <w:pPr>
        <w:spacing w:after="0" w:line="1" w:lineRule="exact"/>
        <w:rPr>
          <w:rFonts w:ascii="Times New Roman" w:cs="Times New Roman" w:eastAsia="Times New Roman" w:hAnsi="Times New Roman"/>
          <w:sz w:val="21"/>
          <w:szCs w:val="21"/>
          <w:color w:val="auto"/>
        </w:rPr>
      </w:pPr>
    </w:p>
    <w:p>
      <w:pPr>
        <w:ind w:left="620" w:hanging="304"/>
        <w:spacing w:after="0" w:line="250" w:lineRule="auto"/>
        <w:tabs>
          <w:tab w:leader="none" w:pos="5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2" w:lineRule="exact"/>
        <w:rPr>
          <w:sz w:val="20"/>
          <w:szCs w:val="20"/>
          <w:color w:val="auto"/>
        </w:rPr>
      </w:pPr>
    </w:p>
    <w:p>
      <w:pPr>
        <w:jc w:val="both"/>
        <w:ind w:right="340" w:firstLine="624"/>
        <w:spacing w:after="0" w:line="247" w:lineRule="auto"/>
        <w:rPr>
          <w:sz w:val="20"/>
          <w:szCs w:val="20"/>
          <w:color w:val="auto"/>
        </w:rPr>
      </w:pPr>
      <w:r>
        <w:rPr>
          <w:rFonts w:ascii="Times New Roman" w:cs="Times New Roman" w:eastAsia="Times New Roman" w:hAnsi="Times New Roman"/>
          <w:sz w:val="21"/>
          <w:szCs w:val="21"/>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47" w:lineRule="exact"/>
        <w:rPr>
          <w:sz w:val="20"/>
          <w:szCs w:val="20"/>
          <w:color w:val="auto"/>
        </w:rPr>
      </w:pPr>
    </w:p>
    <w:p>
      <w:pPr>
        <w:ind w:right="40" w:firstLine="624"/>
        <w:spacing w:after="0" w:line="242" w:lineRule="auto"/>
        <w:rPr>
          <w:sz w:val="20"/>
          <w:szCs w:val="20"/>
          <w:color w:val="auto"/>
        </w:rPr>
      </w:pPr>
      <w:r>
        <w:rPr>
          <w:rFonts w:ascii="Times New Roman" w:cs="Times New Roman" w:eastAsia="Times New Roman" w:hAnsi="Times New Roman"/>
          <w:sz w:val="21"/>
          <w:szCs w:val="21"/>
          <w:color w:val="auto"/>
        </w:rPr>
        <w:t>This Power of Attorney shall be effective on the date set forth below and shall continue in full force and effect until the date on which the undersigned shall cease to be subject to Section 16 of the Exchange Act and the rules and regulations thereunder or until such earlier date on which written notification executed by the undersigned is filed with the SEC expressly revoking this Power of Attorney.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13th day of June,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u w:val="single" w:color="auto"/>
          <w:color w:val="auto"/>
        </w:rPr>
        <w:t>_/s/Max Holtzman</w:t>
      </w:r>
      <w:r>
        <w:rPr>
          <w:rFonts w:ascii="Times New Roman" w:cs="Times New Roman" w:eastAsia="Times New Roman" w:hAnsi="Times New Roman"/>
          <w:sz w:val="17"/>
          <w:szCs w:val="17"/>
          <w:color w:val="auto"/>
        </w:rPr>
        <w:t>__________________________</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Max Holtzman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8929"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2025-06-13T16:08:45Z</dcterms:created>
  <dcterms:modified xsi:type="dcterms:W3CDTF">2025-06-13T16:08:45Z</dcterms:modified>
</cp:coreProperties>
</file>