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2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Holtzman Max</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Pr>
          <w:p>
            <w:pPr>
              <w:ind w:left="38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AGRIFY CORPORATION</w:t>
            </w:r>
          </w:p>
        </w:tc>
        <w:tc>
          <w:tcPr>
            <w:tcW w:w="13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2468 INDUSTRIAL DRIVE</w:t>
            </w:r>
          </w:p>
        </w:tc>
        <w:tc>
          <w:tcPr>
            <w:tcW w:w="13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5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4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48084</w:t>
            </w: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460" w:type="dxa"/>
            <w:vAlign w:val="bottom"/>
          </w:tcPr>
          <w:p>
            <w:pPr>
              <w:ind w:left="38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11/28/2023</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52,635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52,635</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52,635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16,448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16,448</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16,448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 The restricted stock units were granted in lieu of cash compensation that would otherwise be owed to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the date when shareholder approval is obtained for an increase in shares available under the Plan sufficient to grant the units and to exempt awards to directors from the minimum vesting condition under the Plan, subject to the reporting person's continuous service through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Plan.</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28, 2024, subject to obtaining shareholder approval for an increase in shares available under the Plan sufficient to grant the units, and subject to the reporting person's continuous service through such vesting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 Savitz, attorney-in-fact 11/30/2023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5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8929"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2023-11-30T15:34:55Z</dcterms:created>
  <dcterms:modified xsi:type="dcterms:W3CDTF">2023-11-30T15:34:55Z</dcterms:modified>
</cp:coreProperties>
</file>