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30,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AGRIFY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in the Current Report on For 8-K filed by Agrify Corporation (the “Company”) on December 6, 2023, on December 1, 2023, the Company received a notice from The Nasdaq Stock Market LLC (“Nasdaq”) stating that because the Company reported stockholders’ equity of $(17.17) million in its Form 10-Q for the quarter ended March 30, 2023, the Company was no longer in compliance with Nasdaq Listing Rule 5550(b)(1) (the “Listing Rule”), which requires that listed companies maintain a minimum of $2.5 million in stockholders’ equity. In response, the Company timely requested a hearing before a Nasdaq Hearings Panel (the “Panel”), which request stayed any further action by the Listing Qualifications Staff. The hearing was held on January 11, 2024. The Company arrived at the hearing having previously cured an additional grounds for delisting as a result of delinquent periodic filings during 2023 that were filed prior to the hearing.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compliance date of April 15, 2024 represents the full extent of the Panel’s discretion to grant continued listing while the Company is non-compliant with Nasdaq Listing Rules.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30, 2024, the Company issued a press release announcing that the Panel had granted the Company’s request for an exception through April 15, 2024 to evidence compliance with the Listing Rule. A copy of this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5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31,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31,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Receives Positive Nasdaq Listing Determination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TROY, Michigan, Jan. 30, 2024 (GLOBE NEWSWIRE) -- Agrify Corporation (Nasdaq: AGFY) (“Agrify” or the “Company”), a leading provider of innovative cultivation and extraction solutions for the cannabis industry, today announced that the Company has received formal notification that the Nasdaq Hearings Panel (the “Panel”) has granted the Company’s request for continued listing on The Nasdaq Capital Market pursuant to an extension through April 15, 2024, to evidence compliance with Nasdaq Listing Rule 5550(b)(1) (the “Rule”), which requires listed companies to have a stockholders’ equity of at least $2.5 million for continued listing on The Nasdaq Capital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earlier received notice from the Listing Qualifications Staff of Nasdaq indicating that the Company no longer satisfied the Rule and was therefore subject to delisting. In response, the Company timely requested a hearing before the Panel, which request stayed any further action by the Staff. The hearing was held on January 11,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by the Company, CP Acquisitions LLC (the “New Lender”), an entity affiliated with and controlled by Raymond Chang, Chief Executive Officer of the Company and a member of its Board of Directors (the “Board”), and I-Tseng Jenny Chan, a member of the Board, purchased from an institutional investor (the “Prior Lender”) the outstanding notes held by such investor, and such debt was consolidated together with the debt previously held by the New Lender into a convertible note and approximately $3.9 million of the outstanding debt has been converted into equity at a conversion price per share equal to $1.46, or 212% of the closing price of the Company’s common stock at the day of conversion. Furthermore, as previously announced, on November 30, 2023, the New Lender forgave $1,000,000 in debt owed by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today’s date, pursuant to notices of exercise received from the Prior Lender, the Company issued an aggregate of 2,685,629 shares of common stock, an increase of 210,000 shares of common stock from the prior January 25, 2024 announcement by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continues to settle and resolve various prior legal and trade payables in order to reduce the outstanding liabilities and improve the equity position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Company’s ability to maintain or regain compliance with The Nasdaq Capital Market listing requirements and to remain listed on Nasdaq and the Company’s improvement of its equity position, ability to reduce its outstanding debt or liabilities.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 2022 that was filed with the SEC on November 28, 2023,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2024-01-31T06:36:54Z</dcterms:created>
  <dcterms:modified xsi:type="dcterms:W3CDTF">2024-01-31T06:36:54Z</dcterms:modified>
</cp:coreProperties>
</file>