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9, 2022</w:t>
      </w:r>
    </w:p>
    <w:p>
      <w:pPr>
        <w:spacing w:after="0" w:line="144" w:lineRule="exact"/>
        <w:rPr>
          <w:sz w:val="24"/>
          <w:szCs w:val="24"/>
          <w:color w:val="auto"/>
        </w:rPr>
      </w:pPr>
    </w:p>
    <w:p>
      <w:pPr>
        <w:ind w:left="9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 A. Segall,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Burns &amp; Levinson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345-3000</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4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38"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766" w:gutter="0" w:footer="0" w:header="0"/>
        </w:sectPr>
      </w:pPr>
    </w:p>
    <w:bookmarkStart w:id="1" w:name="page2"/>
    <w:bookmarkEnd w:id="1"/>
    <w:p>
      <w:pPr>
        <w:jc w:val="both"/>
        <w:spacing w:after="0" w:line="314" w:lineRule="auto"/>
        <w:rPr>
          <w:sz w:val="20"/>
          <w:szCs w:val="20"/>
          <w:color w:val="auto"/>
        </w:rPr>
      </w:pPr>
      <w:r>
        <w:rPr>
          <w:rFonts w:ascii="Arial" w:cs="Arial" w:eastAsia="Arial" w:hAnsi="Arial"/>
          <w:sz w:val="16"/>
          <w:szCs w:val="16"/>
          <w:b w:val="1"/>
          <w:bCs w:val="1"/>
          <w:color w:val="FF0000"/>
        </w:rPr>
        <w:t>The information in this prospectus is not complete and may be changed. The selling shareholders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February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154305</wp:posOffset>
            </wp:positionV>
            <wp:extent cx="105410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1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7,036,739 Shares of Common Stock</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prospectus relates to the possible resale, from time to time, by the selling stockholders identified in this prospectus of up to (i) 2,450,350 shares of our common stock, par value $0.001 per share (the “Common Stock”), initially issued in a private placement on January 28, 2022 (the “Private Placement”),</w:t>
      </w:r>
    </w:p>
    <w:p>
      <w:pPr>
        <w:ind w:right="20" w:firstLine="8"/>
        <w:spacing w:after="0" w:line="260" w:lineRule="auto"/>
        <w:tabs>
          <w:tab w:leader="none" w:pos="288"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1,570,644 shares of Common Stock underlying pre-funded warrants issued in the Private Placement, and (iii) 3,015,745 shares of Common Stock underlying common stock purchase warrants issued in the Private Placement.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selling stockholders may offer the shares from time to time as each selling stockholder may determine through public or private transactions or through other means described in the section entitled “Plan of Distribution” or a supplement to this prospectus. Each selling stockholder may also sell shares under Rule 144 under the Securities Act of 1933, as amended, if available, rather than under this prospectus.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of these shares does not necessarily mean that any holders will sell any of their shares or exercise their warrants. We are not offering for sale any shares of our Common Stock pursuant to this prospectus. We will not receive any proceeds from the sale of these shares. We will, however, receive cash proceeds equal to the total exercise price of warrants that are exercised for cash.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“AGFY.” On February 8, 2022, the closing price for our Common Stock, as reported on The Nasdaq Capital Market, was $6.97 per share.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“Risk Factors” contained in this prospectus beginning on page 5, and under similar headings in the other documents that are incorporated by reference into this prospectus.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960"/>
              <w:spacing w:after="0"/>
              <w:rPr>
                <w:sz w:val="20"/>
                <w:szCs w:val="20"/>
                <w:color w:val="auto"/>
              </w:rPr>
            </w:pPr>
            <w:r>
              <w:rPr>
                <w:rFonts w:ascii="Arial" w:cs="Arial" w:eastAsia="Arial" w:hAnsi="Arial"/>
                <w:sz w:val="18"/>
                <w:szCs w:val="18"/>
                <w:b w:val="1"/>
                <w:bCs w:val="1"/>
                <w:color w:val="auto"/>
                <w:w w:val="98"/>
              </w:rPr>
              <w:t>The date of this Prospectus is</w:t>
            </w:r>
          </w:p>
        </w:tc>
        <w:tc>
          <w:tcPr>
            <w:tcW w:w="4740" w:type="dxa"/>
            <w:vAlign w:val="bottom"/>
          </w:tcPr>
          <w:p>
            <w:pPr>
              <w:jc w:val="right"/>
              <w:ind w:right="3870"/>
              <w:spacing w:after="0"/>
              <w:rPr>
                <w:sz w:val="20"/>
                <w:szCs w:val="20"/>
                <w:color w:val="auto"/>
              </w:rPr>
            </w:pPr>
            <w:r>
              <w:rPr>
                <w:rFonts w:ascii="Arial" w:cs="Arial" w:eastAsia="Arial" w:hAnsi="Arial"/>
                <w:sz w:val="18"/>
                <w:szCs w:val="18"/>
                <w:b w:val="1"/>
                <w:bCs w:val="1"/>
                <w:color w:val="auto"/>
              </w:rPr>
              <w:t>, 2022.</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DETERMINATION OF OFFERING PRICE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INCORPORATION OF CERTAIN DOCUMENTS BY REFERENCE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pursuant to which the selling stockholders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“Where You Can Find More Information” and “Incorporation of Information by Reference” in this prospectus.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we nor the selling stockholders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790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579056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rapidly growing developer of highly advanced proprietary hardware and software cultivation and extraction solutions for the cannabis and hemp industry. We also believe that our data-driven Agrify total turnkey solution (“Agrify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believe the Agrify TTK Solution will enable our customers to consistently cultivate and operate a high-quality cannabis and hemp production business while potentially establishing a long-term revenue generation model for us. The totality of our smart product mix and service capabilities form an integrated ecosystem in what has historically been an extremely fragmented market for the various components needed for indoor agriculture and processing. As a result, we believe we are well situated to create a dominant market position in the cannabis and hemp cultivation and extraction sectors.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 only do we provide our valued customers with the benefit of working with a single provider in what has historically been a decentralized market full of piecemeal solutions that were not necessarily designed and engineered to work harmoniously with one another, we have also elevated the entire indoor growing and processing experience. Moreover, despite the fact that the cannabis and hemp space is rapidly expanding, our grower and processor customers face significant obstacles to their operations that pose a serious threat to their long-term profitability. Through our data-driven grow and extraction solutions, we believe that we give our customers the keys they need to operate their cannabis grow and processing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do not cultivate, come in contact with, distribute, process, or dispense cannabis or any cannabis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cultivation due diligence analysis includes the potential customer’s financial resources, its ability to identify and secure a suitable cultivation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39" w:right="439" w:bottom="1440" w:gutter="0" w:footer="0" w:header="0"/>
        </w:sectPr>
      </w:pPr>
    </w:p>
    <w:bookmarkStart w:id="5" w:name="page6"/>
    <w:bookmarkEnd w:id="5"/>
    <w:p>
      <w:pPr>
        <w:jc w:val="both"/>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653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5653405"/>
                    </a:xfrm>
                    <a:prstGeom prst="rect">
                      <a:avLst/>
                    </a:prstGeom>
                    <a:noFill/>
                  </pic:spPr>
                </pic:pic>
              </a:graphicData>
            </a:graphic>
          </wp:anchor>
        </w:drawing>
        <w:t>We generally target large scale high-value enterprise sales versus high-volume sales, and we believe that we will be able to significantly scale our business in the coming years without needing to significantly increase our headcount. We are consistently updating our capabilities and partnerships around facility design, engineering, design, construction, and have added an extraction division through acquisitions in 2021 and 2022, which we intend to invest heavily in. Ultimately, we are confident that our ability to support our customers with a full range of indoor grow and extraction solutions and services should position us to be the provider of choice in the market.</w:t>
      </w:r>
    </w:p>
    <w:p>
      <w:pPr>
        <w:spacing w:after="0" w:line="18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also believe that the development of stronger business, operational and compliance practices around cannabis and hemp processing and cultivation is inevitable as the sector continues to evolve and mature, making our integrated, Agrify TTK Solution even more attractive to customers. We have witnessed first-hand that indoor agriculture and processing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cultivation and extraction solutions, our customers gain the ability and huge advantage to create consistent high-quality products with repeatability across all of their operations, wherever located, similar to any other premium consumer product company such as branded food or drink product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Our principal executive offices are located at 76 Treble Cove Road, Building 3, Unit 3, Billerica, MA 01862, and our telephone number is (617) 896-5243. Our website address is </w:t>
      </w:r>
      <w:r>
        <w:rPr>
          <w:rFonts w:ascii="Arial" w:cs="Arial" w:eastAsia="Arial" w:hAnsi="Arial"/>
          <w:sz w:val="18"/>
          <w:szCs w:val="18"/>
          <w:i w:val="1"/>
          <w:iCs w:val="1"/>
          <w:color w:val="auto"/>
        </w:rPr>
        <w:t>www.agrify.com.</w:t>
      </w:r>
      <w:r>
        <w:rPr>
          <w:rFonts w:ascii="Arial" w:cs="Arial" w:eastAsia="Arial" w:hAnsi="Arial"/>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highlight w:val="white"/>
        </w:rPr>
        <w:t>We have eight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Agxion, LLC, Cascade Sciences, LLC, Precision Extraction NewCo,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PurePressure Acquisition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31, 2021, we entered into a Membership Interest Purchase Agreement with PurePressure, LLC (“PurePressure”) and each of its members. Concurrently with the execution of the agreement, we consummated the acquisition of all the outstanding equity interests of PurePressure, such that immediately after the consummation of the purchase, PurePressure became our wholly-owned subsidiary of the Company. The aggregate consideration for the PurePressure acquisition consisted of: (a) $4.0 million in cash, subject to certain adjustments for working capital, cash and indebtedness of PurePressure at closing; (b) 329,179 shares of Common Stock, of which 88,878 are being held back for one year to satisfy post-closing adjustments or indemnification claims; and (c) earn-out consideration of up to $3.0 million based on eligible net revenues of the PurePressure business during 2022 and 2023, payable 40% in cash and 60% in shares of Common Stock.</w:t>
      </w: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43"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3596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3596005"/>
                    </a:xfrm>
                    <a:prstGeom prst="rect">
                      <a:avLst/>
                    </a:prstGeom>
                    <a:noFill/>
                  </pic:spPr>
                </pic:pic>
              </a:graphicData>
            </a:graphic>
          </wp:anchor>
        </w:drawing>
        <w:t>Lab Society Acquisition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February 1, 2022, we entered into an Agreement and Plan of Merger with LS Holdings Corp. (“Lab Society”), each of its shareholders and our wholly-owned subsidiary, Lab Society NewCo, LLC (“Merger Sub”). Concurrently with the execution of the agreement, we consummated the acquisition of Lab Society by the merger of Lab Society with and into Merger Sub, </w:t>
      </w:r>
      <w:r>
        <w:rPr>
          <w:rFonts w:ascii="Arial" w:cs="Arial" w:eastAsia="Arial" w:hAnsi="Arial"/>
          <w:sz w:val="17"/>
          <w:szCs w:val="17"/>
          <w:color w:val="auto"/>
          <w:highlight w:val="white"/>
        </w:rPr>
        <w:t>with Merger Sub surviving the merger as our wholly-owned</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subsidiary. </w:t>
      </w:r>
      <w:r>
        <w:rPr>
          <w:rFonts w:ascii="Arial" w:cs="Arial" w:eastAsia="Arial" w:hAnsi="Arial"/>
          <w:sz w:val="17"/>
          <w:szCs w:val="17"/>
          <w:color w:val="auto"/>
        </w:rPr>
        <w:t>The aggregate consideration for the Lab Society acquisition consisted of: (a) $4.0 million in cash, subject to certain adjustments for working</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capital, cash and indebtedness of PurePressure at closing; (b) </w:t>
      </w:r>
      <w:r>
        <w:rPr>
          <w:rFonts w:ascii="Arial" w:cs="Arial" w:eastAsia="Arial" w:hAnsi="Arial"/>
          <w:sz w:val="17"/>
          <w:szCs w:val="17"/>
          <w:color w:val="auto"/>
          <w:highlight w:val="white"/>
        </w:rPr>
        <w:t>425,611</w:t>
      </w:r>
      <w:r>
        <w:rPr>
          <w:rFonts w:ascii="Arial" w:cs="Arial" w:eastAsia="Arial" w:hAnsi="Arial"/>
          <w:sz w:val="17"/>
          <w:szCs w:val="17"/>
          <w:color w:val="auto"/>
        </w:rPr>
        <w:t xml:space="preserve"> shares of Common Stock, of which 127,682 are being held back for one year to satisfy post-closing adjustments or indemnification claims; and (c) earn-out consideration of up to $3.5 million based on eligible net revenues of the Lab Society business during 2022 and 2023, payable 50% in cash and 50% in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January 28, 2022, we completed a private placement of </w:t>
      </w:r>
      <w:r>
        <w:rPr>
          <w:rFonts w:ascii="Arial" w:cs="Arial" w:eastAsia="Arial" w:hAnsi="Arial"/>
          <w:sz w:val="16"/>
          <w:szCs w:val="16"/>
          <w:color w:val="auto"/>
          <w:highlight w:val="white"/>
        </w:rPr>
        <w:t>(i) 2,450,350 shares of our common stock, par value $0.001 per share (the “Common</w:t>
      </w:r>
      <w:r>
        <w:rPr>
          <w:rFonts w:ascii="Arial" w:cs="Arial" w:eastAsia="Arial" w:hAnsi="Arial"/>
          <w:sz w:val="16"/>
          <w:szCs w:val="16"/>
          <w:color w:val="auto"/>
        </w:rPr>
        <w:t xml:space="preserve"> </w:t>
      </w:r>
      <w:r>
        <w:rPr>
          <w:rFonts w:ascii="Arial" w:cs="Arial" w:eastAsia="Arial" w:hAnsi="Arial"/>
          <w:sz w:val="16"/>
          <w:szCs w:val="16"/>
          <w:color w:val="auto"/>
          <w:highlight w:val="white"/>
        </w:rPr>
        <w:t>Stock”), (ii) pre-funded warrants to purchase up to an aggregate of 1,570,644 shares of Common Stock and (iii) common stock purchase warrants to purchase up to an aggregate of 3,015,745 shares of Common Stock (the “Private Placement”)</w:t>
      </w:r>
      <w:r>
        <w:rPr>
          <w:rFonts w:ascii="Arial" w:cs="Arial" w:eastAsia="Arial" w:hAnsi="Arial"/>
          <w:sz w:val="16"/>
          <w:szCs w:val="16"/>
          <w:color w:val="auto"/>
        </w:rPr>
        <w:t>. The total gross proceeds from the Private Placement were</w:t>
      </w:r>
      <w:r>
        <w:rPr>
          <w:rFonts w:ascii="Arial" w:cs="Arial" w:eastAsia="Arial" w:hAnsi="Arial"/>
          <w:sz w:val="16"/>
          <w:szCs w:val="16"/>
          <w:color w:val="auto"/>
          <w:highlight w:val="white"/>
        </w:rPr>
        <w:t xml:space="preserve"> </w:t>
      </w:r>
      <w:r>
        <w:rPr>
          <w:rFonts w:ascii="Arial" w:cs="Arial" w:eastAsia="Arial" w:hAnsi="Arial"/>
          <w:sz w:val="16"/>
          <w:szCs w:val="16"/>
          <w:color w:val="auto"/>
        </w:rPr>
        <w:t>approximately $27.3 million. The warrants have an exercise price of $7.48 per share, subject to adjustments as provided under the terms of the warrants, and will be exercisable on the six month anniversary of their issuance date. The warrants are exercisable for five years from the initial exercise date.</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shares of Common Stock, the warrants and the shares of Common Stock issuable upon the exercise of the warrants issued in the Private Placement, were in each case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 This prospectus relates to the resale of (i) 2,450,350 shares of Common Stock issued in the Private Placement, (ii) </w:t>
      </w:r>
      <w:r>
        <w:rPr>
          <w:rFonts w:ascii="Arial" w:cs="Arial" w:eastAsia="Arial" w:hAnsi="Arial"/>
          <w:sz w:val="17"/>
          <w:szCs w:val="17"/>
          <w:color w:val="auto"/>
          <w:highlight w:val="white"/>
        </w:rPr>
        <w:t>1,570,644</w:t>
      </w:r>
      <w:r>
        <w:rPr>
          <w:rFonts w:ascii="Arial" w:cs="Arial" w:eastAsia="Arial" w:hAnsi="Arial"/>
          <w:sz w:val="17"/>
          <w:szCs w:val="17"/>
          <w:color w:val="auto"/>
        </w:rPr>
        <w:t xml:space="preserve"> shares of Common Stock underlying pre-funded warrants issued in the Private Placement, and (iii) </w:t>
      </w:r>
      <w:r>
        <w:rPr>
          <w:rFonts w:ascii="Arial" w:cs="Arial" w:eastAsia="Arial" w:hAnsi="Arial"/>
          <w:sz w:val="17"/>
          <w:szCs w:val="17"/>
          <w:color w:val="auto"/>
          <w:highlight w:val="white"/>
        </w:rPr>
        <w:t>3,015,745</w:t>
      </w:r>
      <w:r>
        <w:rPr>
          <w:rFonts w:ascii="Arial" w:cs="Arial" w:eastAsia="Arial" w:hAnsi="Arial"/>
          <w:sz w:val="17"/>
          <w:szCs w:val="17"/>
          <w:color w:val="auto"/>
        </w:rPr>
        <w:t xml:space="preserve"> shares of Common Stock underlying the common stock purchase warrants issued in the Private Placement.</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43"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414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144645"/>
                    </a:xfrm>
                    <a:prstGeom prst="rect">
                      <a:avLst/>
                    </a:prstGeom>
                    <a:noFill/>
                  </pic:spPr>
                </pic:pic>
              </a:graphicData>
            </a:graphic>
          </wp:anchor>
        </w:drawing>
        <w:t>THE OFFERING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highlight w:val="white"/>
        </w:rPr>
        <w:t xml:space="preserve">We are registering for resale by </w:t>
      </w:r>
      <w:r>
        <w:rPr>
          <w:rFonts w:ascii="Arial" w:cs="Arial" w:eastAsia="Arial" w:hAnsi="Arial"/>
          <w:sz w:val="17"/>
          <w:szCs w:val="17"/>
          <w:color w:val="auto"/>
        </w:rPr>
        <w:t>the selling stockholders</w:t>
      </w:r>
      <w:r>
        <w:rPr>
          <w:rFonts w:ascii="Arial" w:cs="Arial" w:eastAsia="Arial" w:hAnsi="Arial"/>
          <w:sz w:val="17"/>
          <w:szCs w:val="17"/>
          <w:color w:val="auto"/>
          <w:highlight w:val="white"/>
        </w:rPr>
        <w:t xml:space="preserve"> named herein an aggregate of </w:t>
      </w:r>
      <w:r>
        <w:rPr>
          <w:rFonts w:ascii="Arial" w:cs="Arial" w:eastAsia="Arial" w:hAnsi="Arial"/>
          <w:sz w:val="17"/>
          <w:szCs w:val="17"/>
          <w:color w:val="auto"/>
        </w:rPr>
        <w:t>7,036,739</w:t>
      </w:r>
      <w:r>
        <w:rPr>
          <w:rFonts w:ascii="Arial" w:cs="Arial" w:eastAsia="Arial" w:hAnsi="Arial"/>
          <w:sz w:val="17"/>
          <w:szCs w:val="17"/>
          <w:color w:val="auto"/>
          <w:highlight w:val="white"/>
        </w:rPr>
        <w:t xml:space="preserve"> shares of our Common Stock as described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Securities being offered:</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3"/>
              </w:rPr>
              <w:t>7,036,739 shares of our Common Stock, including (i) 2,450,350 shares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of Common Stock issued to the selling stockholders in the Private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9"/>
              </w:rPr>
              <w:t>Placement, (ii) 1,570,644 shares of Common Stock underlying pre-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funded warrants issued to the selling stockholders in the Private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Placement, and (iii) 3,015,745 shares of Common Stock underlying</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4"/>
              </w:rPr>
              <w:t>common stock purchase warrants issued to the selling stockholders in</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the Private Placement.</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rPr>
              <w:t>We will not receive any of the proceeds from the sale or other</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3"/>
              </w:rPr>
              <w:t xml:space="preserve">disposition of shares of our Common Stock by </w:t>
            </w:r>
            <w:r>
              <w:rPr>
                <w:rFonts w:ascii="Arial" w:cs="Arial" w:eastAsia="Arial" w:hAnsi="Arial"/>
                <w:sz w:val="18"/>
                <w:szCs w:val="18"/>
                <w:color w:val="auto"/>
                <w:w w:val="93"/>
              </w:rPr>
              <w:t>the selling stockholders.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rPr>
              <w:t>We  may  receive  proceeds  upon  any  exercise  for  cash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9"/>
              </w:rPr>
              <w:t xml:space="preserve">outstanding </w:t>
            </w:r>
            <w:r>
              <w:rPr>
                <w:rFonts w:ascii="Arial" w:cs="Arial" w:eastAsia="Arial" w:hAnsi="Arial"/>
                <w:sz w:val="18"/>
                <w:szCs w:val="18"/>
                <w:color w:val="auto"/>
                <w:w w:val="99"/>
              </w:rPr>
              <w:t>warrants,</w:t>
            </w:r>
            <w:r>
              <w:rPr>
                <w:rFonts w:ascii="Arial" w:cs="Arial" w:eastAsia="Arial" w:hAnsi="Arial"/>
                <w:sz w:val="18"/>
                <w:szCs w:val="18"/>
                <w:color w:val="auto"/>
                <w:highlight w:val="white"/>
                <w:w w:val="99"/>
              </w:rPr>
              <w:t xml:space="preserve"> in which case such proceeds will be used for</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9"/>
              </w:rPr>
              <w:t xml:space="preserve">working capital and other general corporate purposes. </w:t>
            </w:r>
            <w:r>
              <w:rPr>
                <w:rFonts w:ascii="Arial" w:cs="Arial" w:eastAsia="Arial" w:hAnsi="Arial"/>
                <w:sz w:val="18"/>
                <w:szCs w:val="18"/>
                <w:color w:val="auto"/>
                <w:w w:val="99"/>
              </w:rPr>
              <w:t>See “Use of</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Proceeds” on page 7.</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Market for common stock:</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5"/>
              </w:rPr>
              <w:t>Our Common Stock is listed on The Nasdaq Capital Market under the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7"/>
              </w:rPr>
              <w:t>symbol “AGFY.” On February 8, 2022, the last reported sale price of</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our Common Stock on The Nasdaq Capital Market was $6.97.</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9"/>
              </w:rPr>
              <w:t>This investment involves a high degree of risk. See the information</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contained  in  or  incorporated  by  reference  under  “Risk  Factors”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beginning  on  page  5  of  this  prospectus  and  in  the  documents</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incorporated by reference into this prospectus.</w:t>
            </w:r>
          </w:p>
        </w:tc>
      </w:tr>
      <w:tr>
        <w:trPr>
          <w:trHeight w:val="328"/>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1039"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most recent annual report on Form 10-K which is on file with the SEC and is incorporated herein by reference and (ii) other documents we file with the SEC that are deemed incorporated by reference into this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integration of complementary businesses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no proceeds from the sale of shares of Common Stock by the selling stockholders.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the shares of Common Stock covered by this prospectus are issuable upon exercise of warrants issued to the selling stockholders. The exercise price of the outstanding warrants is $7.48 per share with respect to the common stock purchase warrants and $0.001 with respect to the pre-funded warrants. The exercise price and number of shares of Common Stock issuable upon exercise of the warrants may be adjusted in certain circumstances, including stock splits or dividends, mergers, or reclassifications or similar events. Upon any exercise of outstanding warrants, the applicable selling stockholders will pay us the exercise price.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extent we receive proceeds from the cash exercise of outstanding warrants, we intend to use the proceeds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“Prospectus Summary—Recent Developments—Private Placement” above. We are registering the shares of common stock in order to permit the selling shareholders to offer the shares for resale from time to time. Except for the ownership of the shares of common stock and the warrants and except as disclosed herein, the selling shareholders have not had any material relationship with us within the past three years.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February 1, 2022, assuming exercise of the warrants held by the selling shareholders on that date, without regard to any limitations on exercises.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“Prospectus Summary—Recent Developments—Private Placement”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Maximum Number of</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shares of</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of Common Stock</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Common Stock Owned</w:t>
            </w: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 be Sold Pursuant to this</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Common Stock Owned After</w:t>
            </w:r>
          </w:p>
        </w:tc>
      </w:t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 Offering</w:t>
            </w:r>
          </w:p>
        </w:tc>
        <w:tc>
          <w:tcPr>
            <w:tcW w:w="2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Prospectus (1)</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Armistice Capital Master Fund Ltd. (1)</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6,433,825</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6,433,825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Li Chen</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205,882</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205,882</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Clean Sweep Acquisition Corp.</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193,014</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193,014</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Full Chance Finance Limited</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77,206</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77,206</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RTC3 2020 Irrevocable Family Trust (2)</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594,247</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63,406</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530,841</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Stuart Wilcox (3)</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81,462</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63,406</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18,056</w:t>
            </w:r>
          </w:p>
        </w:tc>
      </w:tr>
    </w:tbl>
    <w:p>
      <w:pPr>
        <w:spacing w:after="0" w:line="187" w:lineRule="exact"/>
        <w:rPr>
          <w:sz w:val="20"/>
          <w:szCs w:val="20"/>
          <w:color w:val="auto"/>
        </w:rPr>
      </w:pPr>
    </w:p>
    <w:p>
      <w:pPr>
        <w:jc w:val="both"/>
        <w:ind w:left="34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Armistice Capital Master Fund Ltd., a Cayman Islands exempted company (the “Master Fund”) holds (i) 2,105,827 shares of common stock, (ii) pre-funded warrants to purchase 1,570,644 shares of common stock, and (iii) common stock purchase warrants to purchase up to 2,757,354 shares of common stock. The securities held by the Master Fund may be deemed to be indirectly beneficially owned by: (i) Armistice Capital, LLC (“Armistice Capital”), as the investment manager of the Master Fund, and (ii) Steven Boyd, as the Managing Member of Armistice Capital. Armistice Capital and Mr. Boyd disclaim beneficial ownership of the securities except to the extent of their respective pecuniary interests therein. The Master Fund’s address is c/o Armistice Capital, LLC, 510 Madison Avenue, 7th Floor, New York, NY 10022.</w:t>
      </w:r>
    </w:p>
    <w:p>
      <w:pPr>
        <w:spacing w:after="0" w:line="17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503,854 shares of common stock held by RTC3 2020 Irrevocable Family Trust (the “Trust”), and (ii) warrants to purchase 90,393 shares of common stock held by the Trust. Raymond Chang retains the authority to remove the independent trustee, and therefore such securities may be deemed to be beneficially owned by Mr. Chang. Mr. Chang disclaims beneficial ownership of the securities except to the extent of his pecuniary interests therein.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36,232 shares of common stock, and (ii) warrants to purchase 27,174 shares of common stock and (iii) options to purchase 18,056 shares of common stock that are exercisable within 60 days of February 9,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of Directors and Officers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selling stockholders currently serve as officers and/or members of our Board of Directors, including Raymond Chang, our Chairman and Chief Executive Officer, and Stuart Wilcox, a member of our Board of Directors. Mr. Chang has the ability to remove the independent trustee of RTC3 2020 Irrevocable Family Trust, and is therefore deemed to beneficially own the shares and warrants held by such trust.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stockholder (collectively,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prices at which the shares of Common Stock covered by this prospectus may actually be sold will be determined by the prevailing public market price for shares of Common Stock, by negotiations between the selling stockholders and buyers of our Common Stock in private transactions or as otherwise described in “Plan of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articles of incorporation authorizes the issuance of up to 50,000,000 shares of common stock, par value $0.001 per share, and 3,000,000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prospectus, there were 24,797,342 shares of common stock outstanding, warrants to purchase 4,845,589 shares of our common stock and 3,326,110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7"/>
          <w:szCs w:val="17"/>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provisions do not apply to a person after the expiration of four years after the person first became an interested stockholder.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in connection with this offering will be passed upon for us by Sherman &amp; Howard L.L.C., Las Vegas, Nevada.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2020 and 2019 as set forth in their report dated April 2, 2021.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our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prior to the completion or termination of the offering of the securities described in this prospectus:</w:t>
      </w:r>
    </w:p>
    <w:p>
      <w:pPr>
        <w:spacing w:after="0" w:line="17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April 2, 2021;</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fiscal quarter ended March 31, 2021 filed with the SEC on </w:t>
      </w:r>
      <w:hyperlink r:id="rId34">
        <w:r>
          <w:rPr>
            <w:rFonts w:ascii="Arial" w:cs="Arial" w:eastAsia="Arial" w:hAnsi="Arial"/>
            <w:sz w:val="18"/>
            <w:szCs w:val="18"/>
            <w:u w:val="single" w:color="auto"/>
            <w:color w:val="0000EE"/>
          </w:rPr>
          <w:t>May 17, 2021</w:t>
        </w:r>
      </w:hyperlink>
      <w:r>
        <w:rPr>
          <w:rFonts w:ascii="Arial" w:cs="Arial" w:eastAsia="Arial" w:hAnsi="Arial"/>
          <w:sz w:val="18"/>
          <w:szCs w:val="18"/>
          <w:color w:val="auto"/>
        </w:rPr>
        <w:t xml:space="preserve">, for the fiscal quarter ended </w:t>
      </w:r>
      <w:hyperlink r:id="rId35">
        <w:r>
          <w:rPr>
            <w:rFonts w:ascii="Arial" w:cs="Arial" w:eastAsia="Arial" w:hAnsi="Arial"/>
            <w:sz w:val="18"/>
            <w:szCs w:val="18"/>
            <w:color w:val="auto"/>
          </w:rPr>
          <w:t xml:space="preserve">June 30, 2021 filed with the SEC on </w:t>
        </w:r>
        <w:r>
          <w:rPr>
            <w:rFonts w:ascii="Arial" w:cs="Arial" w:eastAsia="Arial" w:hAnsi="Arial"/>
            <w:sz w:val="18"/>
            <w:szCs w:val="18"/>
            <w:u w:val="single" w:color="auto"/>
            <w:color w:val="0000EE"/>
          </w:rPr>
          <w:t>August 13, 2021</w:t>
        </w:r>
        <w:r>
          <w:rPr>
            <w:rFonts w:ascii="Arial" w:cs="Arial" w:eastAsia="Arial" w:hAnsi="Arial"/>
            <w:sz w:val="18"/>
            <w:szCs w:val="18"/>
            <w:color w:val="auto"/>
          </w:rPr>
          <w:t xml:space="preserve">, and for the fiscal quarter ended September 30, 2021 filed with the SEC on </w:t>
        </w:r>
        <w:r>
          <w:rPr>
            <w:rFonts w:ascii="Arial" w:cs="Arial" w:eastAsia="Arial" w:hAnsi="Arial"/>
            <w:sz w:val="18"/>
            <w:szCs w:val="18"/>
            <w:u w:val="single" w:color="auto"/>
            <w:color w:val="0000EE"/>
          </w:rPr>
          <w:t>November 12,</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183" w:lineRule="exact"/>
        <w:rPr>
          <w:rFonts w:ascii="Arial" w:cs="Arial" w:eastAsia="Arial" w:hAnsi="Arial"/>
          <w:sz w:val="18"/>
          <w:szCs w:val="18"/>
          <w:color w:val="0000EE"/>
        </w:rPr>
      </w:pPr>
    </w:p>
    <w:p>
      <w:pPr>
        <w:jc w:val="both"/>
        <w:ind w:left="660" w:right="20" w:hanging="328"/>
        <w:spacing w:after="0" w:line="286" w:lineRule="auto"/>
        <w:tabs>
          <w:tab w:leader="none" w:pos="660" w:val="left"/>
        </w:tabs>
        <w:numPr>
          <w:ilvl w:val="0"/>
          <w:numId w:val="5"/>
        </w:numPr>
        <w:rPr>
          <w:rFonts w:ascii="Arial" w:cs="Arial" w:eastAsia="Arial" w:hAnsi="Arial"/>
          <w:sz w:val="17"/>
          <w:szCs w:val="17"/>
          <w:color w:val="0000EE"/>
        </w:rPr>
      </w:pPr>
      <w:hyperlink r:id="rId36">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February 2,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4,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19,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22,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22,</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
        <w:r>
          <w:rPr>
            <w:rFonts w:ascii="Arial" w:cs="Arial" w:eastAsia="Arial" w:hAnsi="Arial"/>
            <w:sz w:val="17"/>
            <w:szCs w:val="17"/>
            <w:u w:val="single" w:color="auto"/>
            <w:color w:val="0000EE"/>
          </w:rPr>
          <w:t>September 20, 2021</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8">
        <w:r>
          <w:rPr>
            <w:rFonts w:ascii="Arial" w:cs="Arial" w:eastAsia="Arial" w:hAnsi="Arial"/>
            <w:sz w:val="17"/>
            <w:szCs w:val="17"/>
            <w:u w:val="single" w:color="auto"/>
            <w:color w:val="0000EE"/>
          </w:rPr>
          <w:t xml:space="preserve">October 5, 2021 </w:t>
        </w:r>
      </w:hyperlink>
      <w:hyperlink r:id="rId36">
        <w:r>
          <w:rPr>
            <w:rFonts w:ascii="Arial" w:cs="Arial" w:eastAsia="Arial" w:hAnsi="Arial"/>
            <w:sz w:val="17"/>
            <w:szCs w:val="17"/>
            <w:color w:val="000000"/>
          </w:rPr>
          <w:t>(and the amendment thereto filed with the SEC on</w:t>
        </w:r>
        <w:r>
          <w:rPr>
            <w:rFonts w:ascii="Arial" w:cs="Arial" w:eastAsia="Arial" w:hAnsi="Arial"/>
            <w:sz w:val="17"/>
            <w:szCs w:val="17"/>
            <w:color w:val="0000EE"/>
          </w:rPr>
          <w:t xml:space="preserve"> </w:t>
        </w:r>
      </w:hyperlink>
      <w:hyperlink r:id="rId39">
        <w:r>
          <w:rPr>
            <w:rFonts w:ascii="Arial" w:cs="Arial" w:eastAsia="Arial" w:hAnsi="Arial"/>
            <w:sz w:val="17"/>
            <w:szCs w:val="17"/>
            <w:u w:val="single" w:color="auto"/>
            <w:color w:val="0000EE"/>
          </w:rPr>
          <w:t>December 17, 2021</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0">
        <w:r>
          <w:rPr>
            <w:rFonts w:ascii="Arial" w:cs="Arial" w:eastAsia="Arial" w:hAnsi="Arial"/>
            <w:sz w:val="17"/>
            <w:szCs w:val="17"/>
            <w:u w:val="single" w:color="auto"/>
            <w:color w:val="0000EE"/>
          </w:rPr>
          <w:t>November 15, 2021</w:t>
        </w:r>
      </w:hyperlink>
      <w:hyperlink r:id="rId36">
        <w:r>
          <w:rPr>
            <w:rFonts w:ascii="Arial" w:cs="Arial" w:eastAsia="Arial" w:hAnsi="Arial"/>
            <w:sz w:val="17"/>
            <w:szCs w:val="17"/>
            <w:color w:val="000000"/>
          </w:rPr>
          <w:t>,</w:t>
        </w:r>
      </w:hyperlink>
      <w:r>
        <w:rPr>
          <w:rFonts w:ascii="Arial" w:cs="Arial" w:eastAsia="Arial" w:hAnsi="Arial"/>
          <w:sz w:val="17"/>
          <w:szCs w:val="17"/>
          <w:color w:val="0000EE"/>
        </w:rPr>
        <w:t xml:space="preserve"> </w:t>
      </w:r>
      <w:hyperlink r:id="rId41">
        <w:r>
          <w:rPr>
            <w:rFonts w:ascii="Arial" w:cs="Arial" w:eastAsia="Arial" w:hAnsi="Arial"/>
            <w:sz w:val="17"/>
            <w:szCs w:val="17"/>
            <w:u w:val="single" w:color="auto"/>
            <w:color w:val="0000EE"/>
          </w:rPr>
          <w:t>December 8,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2">
        <w:r>
          <w:rPr>
            <w:rFonts w:ascii="Arial" w:cs="Arial" w:eastAsia="Arial" w:hAnsi="Arial"/>
            <w:sz w:val="17"/>
            <w:szCs w:val="17"/>
            <w:u w:val="single" w:color="auto"/>
            <w:color w:val="0000EE"/>
          </w:rPr>
          <w:t>December 14,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3">
        <w:r>
          <w:rPr>
            <w:rFonts w:ascii="Arial" w:cs="Arial" w:eastAsia="Arial" w:hAnsi="Arial"/>
            <w:sz w:val="17"/>
            <w:szCs w:val="17"/>
            <w:u w:val="single" w:color="auto"/>
            <w:color w:val="0000EE"/>
          </w:rPr>
          <w:t>December 27,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4">
        <w:r>
          <w:rPr>
            <w:rFonts w:ascii="Arial" w:cs="Arial" w:eastAsia="Arial" w:hAnsi="Arial"/>
            <w:sz w:val="17"/>
            <w:szCs w:val="17"/>
            <w:u w:val="single" w:color="auto"/>
            <w:color w:val="0000EE"/>
          </w:rPr>
          <w:t>January 5,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5">
        <w:r>
          <w:rPr>
            <w:rFonts w:ascii="Arial" w:cs="Arial" w:eastAsia="Arial" w:hAnsi="Arial"/>
            <w:sz w:val="17"/>
            <w:szCs w:val="17"/>
            <w:u w:val="single" w:color="auto"/>
            <w:color w:val="0000EE"/>
          </w:rPr>
          <w:t xml:space="preserve">January 26, 2022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46">
        <w:r>
          <w:rPr>
            <w:rFonts w:ascii="Arial" w:cs="Arial" w:eastAsia="Arial" w:hAnsi="Arial"/>
            <w:sz w:val="17"/>
            <w:szCs w:val="17"/>
            <w:u w:val="single" w:color="auto"/>
            <w:color w:val="0000EE"/>
          </w:rPr>
          <w:t>February 2, 2022</w:t>
        </w:r>
      </w:hyperlink>
      <w:r>
        <w:rPr>
          <w:rFonts w:ascii="Arial" w:cs="Arial" w:eastAsia="Arial" w:hAnsi="Arial"/>
          <w:sz w:val="17"/>
          <w:szCs w:val="17"/>
          <w:color w:val="000000"/>
        </w:rPr>
        <w:t>.</w:t>
      </w:r>
    </w:p>
    <w:p>
      <w:pPr>
        <w:spacing w:after="0" w:line="165" w:lineRule="exact"/>
        <w:rPr>
          <w:rFonts w:ascii="Arial" w:cs="Arial" w:eastAsia="Arial" w:hAnsi="Arial"/>
          <w:sz w:val="17"/>
          <w:szCs w:val="17"/>
          <w:color w:val="0000EE"/>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7">
        <w:r>
          <w:rPr>
            <w:rFonts w:ascii="Arial" w:cs="Arial" w:eastAsia="Arial" w:hAnsi="Arial"/>
            <w:sz w:val="17"/>
            <w:szCs w:val="17"/>
            <w:u w:val="single" w:color="auto"/>
            <w:color w:val="0000EE"/>
          </w:rPr>
          <w:t>Form 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January 26, 2021.</w:t>
      </w:r>
    </w:p>
    <w:p>
      <w:pPr>
        <w:spacing w:after="0" w:line="237" w:lineRule="exact"/>
        <w:rPr>
          <w:rFonts w:ascii="Arial" w:cs="Arial" w:eastAsia="Arial" w:hAnsi="Arial"/>
          <w:sz w:val="17"/>
          <w:szCs w:val="17"/>
          <w:color w:val="0000EE"/>
        </w:rPr>
      </w:pPr>
    </w:p>
    <w:p>
      <w:pPr>
        <w:jc w:val="both"/>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84" w:lineRule="exact"/>
        <w:rPr>
          <w:rFonts w:ascii="Arial" w:cs="Arial" w:eastAsia="Arial" w:hAnsi="Arial"/>
          <w:sz w:val="17"/>
          <w:szCs w:val="17"/>
          <w:color w:val="0000EE"/>
        </w:rPr>
      </w:pPr>
    </w:p>
    <w:p>
      <w:pPr>
        <w:jc w:val="both"/>
        <w:spacing w:after="0" w:line="263"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4"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Agrify Corporation</w:t>
      </w:r>
    </w:p>
    <w:p>
      <w:pPr>
        <w:spacing w:after="0" w:line="23"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76 Treble Cove Road, Building 3</w:t>
      </w:r>
    </w:p>
    <w:p>
      <w:pPr>
        <w:spacing w:after="0" w:line="9"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Billerica, MA 01862</w:t>
      </w:r>
    </w:p>
    <w:p>
      <w:pPr>
        <w:spacing w:after="0" w:line="9"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Telephone: (617) 896-5243</w:t>
      </w:r>
    </w:p>
    <w:p>
      <w:pPr>
        <w:spacing w:after="0" w:line="211" w:lineRule="exact"/>
        <w:rPr>
          <w:rFonts w:ascii="Arial" w:cs="Arial" w:eastAsia="Arial" w:hAnsi="Arial"/>
          <w:sz w:val="17"/>
          <w:szCs w:val="17"/>
          <w:color w:val="0000EE"/>
        </w:rPr>
      </w:pPr>
    </w:p>
    <w:p>
      <w:pPr>
        <w:jc w:val="both"/>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7"/>
          <w:szCs w:val="17"/>
          <w:color w:val="0000EE"/>
        </w:rPr>
      </w:pPr>
    </w:p>
    <w:p>
      <w:pPr>
        <w:jc w:val="both"/>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7"/>
          <w:szCs w:val="17"/>
          <w:color w:val="0000EE"/>
        </w:rPr>
      </w:pPr>
    </w:p>
    <w:p>
      <w:pPr>
        <w:spacing w:after="0" w:line="203"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860425</wp:posOffset>
            </wp:positionV>
            <wp:extent cx="1054100" cy="779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7,036,739 Shares of Common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ind w:left="31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paying all expenses of the offering. No portion of these expenses will be borne by the selling security holder. The selling security holder, however, will pay any other expenses incurred in selling its Common Stock, including any brokerage commissions or costs of sale. Following is an itemized statement of all expenses in connection with the issuance and distribution of the securities to be registered. All of the amounts shown are estimates, except for the SEC Registration Fees.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37"/>
        </w:trPr>
        <w:tc>
          <w:tcPr>
            <w:tcW w:w="10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a Nevada corporation and generally governed by the Nevada Private Corporations Code, Title 78 of the Nevada Revised Statutes, or NRS.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6"/>
          <w:szCs w:val="16"/>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00" w:hanging="54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000" w:hanging="547"/>
        <w:spacing w:after="0" w:line="25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1000" w:hanging="54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460" w:hanging="452"/>
        <w:spacing w:after="0" w:line="26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00" w:hanging="54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1000" w:hanging="547"/>
        <w:spacing w:after="0" w:line="287"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1" w:lineRule="exact"/>
        <w:rPr>
          <w:rFonts w:ascii="Arial" w:cs="Arial" w:eastAsia="Arial" w:hAnsi="Arial"/>
          <w:sz w:val="16"/>
          <w:szCs w:val="16"/>
          <w:color w:val="auto"/>
        </w:rPr>
      </w:pPr>
    </w:p>
    <w:p>
      <w:pPr>
        <w:jc w:val="both"/>
        <w:ind w:left="46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460" w:hanging="452"/>
        <w:spacing w:after="0" w:line="271"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Billerica, Commonwealth of Massachusetts, on February 9, 2022.</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KNOW ALL BE THESE PRESENTS, that each person whose signature appears below hereby constitutes and appoints each of Raymond Chang and Timothy R. Oakes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460" w:type="dxa"/>
            <w:vAlign w:val="bottom"/>
          </w:tcPr>
          <w:p>
            <w:pPr>
              <w:spacing w:after="0"/>
              <w:rPr>
                <w:sz w:val="20"/>
                <w:szCs w:val="20"/>
                <w:color w:val="auto"/>
              </w:rPr>
            </w:pPr>
          </w:p>
        </w:tc>
        <w:tc>
          <w:tcPr>
            <w:tcW w:w="482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c>
          <w:tcPr>
            <w:tcW w:w="46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c>
          <w:tcPr>
            <w:tcW w:w="4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6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Raymond Chang</w:t>
            </w:r>
          </w:p>
        </w:tc>
        <w:tc>
          <w:tcPr>
            <w:tcW w:w="460" w:type="dxa"/>
            <w:vAlign w:val="bottom"/>
          </w:tcPr>
          <w:p>
            <w:pPr>
              <w:spacing w:after="0"/>
              <w:rPr>
                <w:sz w:val="20"/>
                <w:szCs w:val="20"/>
                <w:color w:val="auto"/>
              </w:rPr>
            </w:pPr>
          </w:p>
        </w:tc>
        <w:tc>
          <w:tcPr>
            <w:tcW w:w="48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Chief Financial Officer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Timothy R. Oakes</w:t>
            </w:r>
          </w:p>
        </w:tc>
        <w:tc>
          <w:tcPr>
            <w:tcW w:w="460" w:type="dxa"/>
            <w:vAlign w:val="bottom"/>
          </w:tcPr>
          <w:p>
            <w:pPr>
              <w:spacing w:after="0"/>
              <w:rPr>
                <w:sz w:val="20"/>
                <w:szCs w:val="20"/>
                <w:color w:val="auto"/>
              </w:rPr>
            </w:pPr>
          </w:p>
        </w:tc>
        <w:tc>
          <w:tcPr>
            <w:tcW w:w="482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Guichao Hua</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Guichao Hua</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Mahoney</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Timothy Mahoney</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Massie</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President, COO and 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Thomas Massie</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J. Sokolow</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Leonard J. Sokolow</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Krishnan Varier</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Krishnan Varier</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Wilcox</w:t>
            </w:r>
          </w:p>
        </w:tc>
        <w:tc>
          <w:tcPr>
            <w:tcW w:w="528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February 9, 2022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Stuart Wilcox</w:t>
            </w: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41"/>
        </w:trPr>
        <w:tc>
          <w:tcPr>
            <w:tcW w:w="2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II-4</w:t>
            </w:r>
          </w:p>
        </w:tc>
        <w:tc>
          <w:tcPr>
            <w:tcW w:w="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20" w:type="dxa"/>
            <w:vAlign w:val="bottom"/>
            <w:gridSpan w:val="16"/>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80" w:type="dxa"/>
            <w:vAlign w:val="bottom"/>
            <w:gridSpan w:val="15"/>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Agreement and Plan of Merger dated January 22, 2020 between the Company and TriGrow Systems, Inc.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9"/>
            <w:shd w:val="clear" w:color="auto" w:fill="CCEEFF"/>
          </w:tcPr>
          <w:p>
            <w:pPr>
              <w:ind w:left="20"/>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Exhibit 2.1 to the Registrant’s Registration Statement on Form S-1 filed with the Securities and Exchange Commission on December 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2020)</w:t>
              </w:r>
              <w:r>
                <w:rPr>
                  <w:rFonts w:ascii="Arial" w:cs="Arial" w:eastAsia="Arial" w:hAnsi="Arial"/>
                  <w:sz w:val="18"/>
                  <w:szCs w:val="18"/>
                  <w:u w:val="single" w:color="auto"/>
                  <w:color w:val="0000EE"/>
                </w:rPr>
                <w:t>**</w:t>
              </w:r>
            </w:hyperlink>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10000" w:type="dxa"/>
            <w:vAlign w:val="bottom"/>
            <w:gridSpan w:val="19"/>
          </w:tcPr>
          <w:p>
            <w:pPr>
              <w:ind w:left="20"/>
              <w:spacing w:after="0" w:line="176" w:lineRule="exact"/>
              <w:rPr>
                <w:rFonts w:ascii="Arial" w:cs="Arial" w:eastAsia="Arial" w:hAnsi="Arial"/>
                <w:sz w:val="18"/>
                <w:szCs w:val="18"/>
                <w:color w:val="0000EE"/>
                <w:w w:val="97"/>
              </w:rPr>
            </w:pPr>
            <w:hyperlink r:id="rId56">
              <w:r>
                <w:rPr>
                  <w:rFonts w:ascii="Arial" w:cs="Arial" w:eastAsia="Arial" w:hAnsi="Arial"/>
                  <w:sz w:val="18"/>
                  <w:szCs w:val="18"/>
                  <w:color w:val="0000EE"/>
                  <w:w w:val="97"/>
                </w:rPr>
                <w:t>Plan of Merger and Equity Purchase Agreement, dated as of September 29, 2021, among the Company, Sinclair Scientific,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5"/>
              </w:rPr>
            </w:pPr>
            <w:hyperlink r:id="rId56">
              <w:r>
                <w:rPr>
                  <w:rFonts w:ascii="Arial" w:cs="Arial" w:eastAsia="Arial" w:hAnsi="Arial"/>
                  <w:sz w:val="18"/>
                  <w:szCs w:val="18"/>
                  <w:color w:val="0000EE"/>
                  <w:w w:val="95"/>
                </w:rPr>
                <w:t>Mass2Media, LLC dba PX2 Holdings, LLC, and each of the equity holders of Sinclair Scientific, LLC named therein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0"/>
          </w:tcPr>
          <w:p>
            <w:pPr>
              <w:ind w:left="20"/>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reference to Exhibit 2.1 to the Registrant’s Current Report on Form 8-K filed with the Securities and Exchange Commission on October 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2021.**</w:t>
              </w:r>
            </w:hyperlink>
          </w:p>
        </w:tc>
        <w:tc>
          <w:tcPr>
            <w:tcW w:w="2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Membership Interest Purchase Agreement, dated as of December 31, 2021, among the Company, PurePressure, LLC, Benjamin Britton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9"/>
            <w:shd w:val="clear" w:color="auto" w:fill="CCEEFF"/>
          </w:tcPr>
          <w:p>
            <w:pPr>
              <w:ind w:left="20"/>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Member Representative, and each of the equity holders of PurePressure, LLC named therein (incorporated by reference to Exhibit 2.1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72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the Registrant’s Current Report on Form 8-K filed with the Securities and Exchange Commission on January 5, 2022).**</w:t>
              </w:r>
            </w:hyperlink>
          </w:p>
        </w:tc>
        <w:tc>
          <w:tcPr>
            <w:tcW w:w="128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9"/>
          </w:tcPr>
          <w:p>
            <w:pPr>
              <w:ind w:left="20"/>
              <w:spacing w:after="0" w:line="17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Merger Agreement, dated as of February 1, 2022, among the registrant, LS Holdings Corp., Lab Society NewCo, LLC, Michael 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Maibach Jr. as Owner Representative, and each of the Owners named therein (incorporated by reference to Exhibit 2.1 to the Registrant’s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0"/>
          </w:tcPr>
          <w:p>
            <w:pPr>
              <w:ind w:left="20"/>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Current Report on Form 8-K filed with the Securities and Exchange Commission on February 2, 2022). **</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Articles of Incorporation of the Registrant, as amended (incorporated by reference to Exhibit 3.1 to the Registrant’s Amendment No. 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ind w:left="20"/>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Registration Statement on Form S-1 filed with the Securities and Exchange Commission on January 13,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9"/>
          </w:tcPr>
          <w:p>
            <w:pPr>
              <w:ind w:left="20"/>
              <w:spacing w:after="0" w:line="17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Third Amended and Restated Certificate of Designations of the Series A Convertible Preferred Stock of the Registrant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7"/>
              </w:rPr>
            </w:pPr>
            <w:hyperlink r:id="rId60">
              <w:r>
                <w:rPr>
                  <w:rFonts w:ascii="Arial" w:cs="Arial" w:eastAsia="Arial" w:hAnsi="Arial"/>
                  <w:sz w:val="18"/>
                  <w:szCs w:val="18"/>
                  <w:color w:val="0000EE"/>
                  <w:w w:val="97"/>
                </w:rPr>
                <w:t>reference to Exhibit 3.2 to the Registrant’s Amendment No. 1 to Registration Statement on Form S-1 filed with the Securities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0"/>
          </w:tcPr>
          <w:p>
            <w:pPr>
              <w:ind w:left="20"/>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Exchange Commission on January 13, 2021)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ind w:left="20"/>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Registration Statement on Form S-1 filed with the Securities and Exchange Commission on January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0000" w:type="dxa"/>
            <w:vAlign w:val="bottom"/>
            <w:gridSpan w:val="19"/>
          </w:tcPr>
          <w:p>
            <w:pPr>
              <w:ind w:left="20"/>
              <w:spacing w:after="0" w:line="17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Form of Common Stock Certificate (incorporated by reference to Exhibit 4.1 to the Registrant’s Amendment No. 2 to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Statement on Form S-1 filed with the 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Form of Representative’s Warrant dated February 19, 2021 (incorporated by reference to Exhibit 4.2 to the Registrant’s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ind w:left="20"/>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Statement on Form S-1 filed with the Securities and Exchange Commission on February 11,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0000" w:type="dxa"/>
            <w:vAlign w:val="bottom"/>
            <w:gridSpan w:val="19"/>
          </w:tcPr>
          <w:p>
            <w:pPr>
              <w:ind w:left="20"/>
              <w:spacing w:after="0" w:line="17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Form of Representative’s Warrant dated January 27, 2021 (incorporated by reference to Exhibit 4.2 to the Registrant’s Amendment No. 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to Registration Statement on Form S-1 filed with the 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Form of Warrant issued to Noteholders (incorporated by reference to Exhibit 4.3 to the Registrant’s Registration Statement on Form S-1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8"/>
            <w:shd w:val="clear" w:color="auto" w:fill="CCEEFF"/>
          </w:tcPr>
          <w:p>
            <w:pPr>
              <w:ind w:left="20"/>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filed with the Securities and Exchange Commission on December 22,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9"/>
          </w:tcPr>
          <w:p>
            <w:pPr>
              <w:ind w:left="20"/>
              <w:spacing w:after="0" w:line="17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Description of Registrant’s Securities (incorporated by reference to Exhibit 4.5 to the Registrant’s Annual Report on Form 10-K filed with</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0"/>
          </w:tcPr>
          <w:p>
            <w:pPr>
              <w:ind w:left="20"/>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the Securities and Exchange Commission on April 2,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Form of Pre-Funded Warrant dated January 28, 2022 (incorporated by reference to Exhibit 4.1 to the Registrant’s Current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0000EE"/>
            </w:tcBorders>
            <w:gridSpan w:val="9"/>
            <w:shd w:val="clear" w:color="auto" w:fill="CCEEFF"/>
          </w:tcPr>
          <w:p>
            <w:pPr>
              <w:ind w:left="20"/>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8-K filed with the Securities and Exchange Commission on January 26, 2022).</w:t>
              </w:r>
            </w:hyperlink>
          </w:p>
        </w:tc>
        <w:tc>
          <w:tcPr>
            <w:tcW w:w="4320" w:type="dxa"/>
            <w:vAlign w:val="bottom"/>
            <w:tcBorders>
              <w:bottom w:val="single" w:sz="8" w:color="CCEEFF"/>
            </w:tcBorders>
            <w:gridSpan w:val="10"/>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9"/>
          </w:tcPr>
          <w:p>
            <w:pPr>
              <w:ind w:left="20"/>
              <w:spacing w:after="0" w:line="17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Form of Common Stock Purchase Warrant dated January 28, 2022 (incorporated by reference to Exhibit 4.1 to the Registrant’s Current</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0"/>
          </w:tcPr>
          <w:p>
            <w:pPr>
              <w:ind w:left="20"/>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Opinion of Sherman &amp; Howard L.L.C.*</w:t>
              </w:r>
            </w:hyperlink>
          </w:p>
        </w:tc>
        <w:tc>
          <w:tcPr>
            <w:tcW w:w="7100" w:type="dxa"/>
            <w:vAlign w:val="bottom"/>
            <w:tcBorders>
              <w:bottom w:val="single" w:sz="8" w:color="CCEEFF"/>
            </w:tcBorders>
            <w:gridSpan w:val="1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10000" w:type="dxa"/>
            <w:vAlign w:val="bottom"/>
            <w:gridSpan w:val="19"/>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Consent of Marcum LLP, Independent Registered Public Accounting Firm*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Consent of Baker Tilly US LLP, Independent Registered Public Accounting Firm*</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tcPr>
          <w:p>
            <w:pPr>
              <w:spacing w:after="0"/>
              <w:rPr>
                <w:sz w:val="15"/>
                <w:szCs w:val="15"/>
                <w:color w:val="auto"/>
              </w:rPr>
            </w:pPr>
          </w:p>
        </w:tc>
        <w:tc>
          <w:tcPr>
            <w:tcW w:w="5940" w:type="dxa"/>
            <w:vAlign w:val="bottom"/>
            <w:tcBorders>
              <w:top w:val="single" w:sz="8" w:color="0000EE"/>
            </w:tcBorders>
            <w:gridSpan w:val="10"/>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Consent of Sherman &amp; Howard L.L.C. (included in Exhibit 5.1)*</w:t>
              </w:r>
            </w:hyperlink>
          </w:p>
        </w:tc>
        <w:tc>
          <w:tcPr>
            <w:tcW w:w="4060" w:type="dxa"/>
            <w:vAlign w:val="bottom"/>
            <w:tcBorders>
              <w:top w:val="single" w:sz="8" w:color="CCEE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Power of Attorney (included in signature page)*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60" w:hanging="1252"/>
        <w:spacing w:after="0"/>
        <w:tabs>
          <w:tab w:leader="none" w:pos="1260" w:val="left"/>
        </w:tabs>
        <w:numPr>
          <w:ilvl w:val="0"/>
          <w:numId w:val="8"/>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Calculation of Filing Fee Tables.*</w:t>
        </w:r>
      </w:hyperlink>
    </w:p>
    <w:p>
      <w:pPr>
        <w:spacing w:after="0" w:line="211" w:lineRule="exact"/>
        <w:rPr>
          <w:sz w:val="20"/>
          <w:szCs w:val="20"/>
          <w:color w:val="auto"/>
        </w:rPr>
      </w:pPr>
    </w:p>
    <w:p>
      <w:pPr>
        <w:ind w:right="5080" w:firstLine="8"/>
        <w:spacing w:after="0" w:line="258" w:lineRule="auto"/>
        <w:tabs>
          <w:tab w:leader="none" w:pos="3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 Filed herewith.</w:t>
      </w:r>
    </w:p>
    <w:p>
      <w:pPr>
        <w:spacing w:after="0" w:line="1" w:lineRule="exact"/>
        <w:rPr>
          <w:rFonts w:ascii="Arial" w:cs="Arial" w:eastAsia="Arial" w:hAnsi="Arial"/>
          <w:sz w:val="18"/>
          <w:szCs w:val="18"/>
          <w:color w:val="auto"/>
        </w:rPr>
      </w:pPr>
    </w:p>
    <w:p>
      <w:pPr>
        <w:ind w:left="340" w:hanging="337"/>
        <w:spacing w:after="0" w:line="260" w:lineRule="auto"/>
        <w:rPr>
          <w:rFonts w:ascii="Arial" w:cs="Arial" w:eastAsia="Arial" w:hAnsi="Arial"/>
          <w:sz w:val="18"/>
          <w:szCs w:val="18"/>
          <w:color w:val="auto"/>
        </w:rPr>
      </w:pPr>
      <w:r>
        <w:rPr>
          <w:rFonts w:ascii="Arial" w:cs="Arial" w:eastAsia="Arial" w:hAnsi="Arial"/>
          <w:sz w:val="18"/>
          <w:szCs w:val="18"/>
          <w:color w:val="auto"/>
        </w:rPr>
        <w:t>** Schedules and exhibits have been omitted pursuant to Item 601(a)(5) of Regulation S-K. The registrant hereby undertakes to furnish copies of any of the omitted schedules and exhibits upon request by the U.S. Securities and Exchange Commission.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168910</wp:posOffset>
            </wp:positionV>
            <wp:extent cx="3557270"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3557270" cy="497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300"/>
        <w:spacing w:after="0" w:line="282" w:lineRule="auto"/>
        <w:rPr>
          <w:sz w:val="20"/>
          <w:szCs w:val="20"/>
          <w:color w:val="auto"/>
        </w:rPr>
      </w:pPr>
      <w:r>
        <w:rPr>
          <w:rFonts w:ascii="Arial" w:cs="Arial" w:eastAsia="Arial" w:hAnsi="Arial"/>
          <w:sz w:val="18"/>
          <w:szCs w:val="18"/>
          <w:b w:val="1"/>
          <w:bCs w:val="1"/>
          <w:color w:val="auto"/>
        </w:rPr>
        <w:t>50 West Liberty Street, Suite 1000, Reno, Nevada 89501-1950 Telephone: 775.323.1980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60"/>
        <w:spacing w:after="0" w:line="282" w:lineRule="auto"/>
        <w:rPr>
          <w:sz w:val="20"/>
          <w:szCs w:val="20"/>
          <w:color w:val="auto"/>
        </w:rPr>
      </w:pPr>
      <w:r>
        <w:rPr>
          <w:rFonts w:ascii="Arial" w:cs="Arial" w:eastAsia="Arial" w:hAnsi="Arial"/>
          <w:sz w:val="18"/>
          <w:szCs w:val="18"/>
          <w:b w:val="1"/>
          <w:bCs w:val="1"/>
          <w:color w:val="auto"/>
        </w:rPr>
        <w:t>3960 Howard Hughes Parkway, Suite 500, Las Vegas, Nevada 89169 Telephone: 702.387.6073</w:t>
      </w:r>
    </w:p>
    <w:p>
      <w:pPr>
        <w:spacing w:after="0" w:line="166" w:lineRule="exact"/>
        <w:rPr>
          <w:sz w:val="20"/>
          <w:szCs w:val="20"/>
          <w:color w:val="auto"/>
        </w:rPr>
      </w:pPr>
    </w:p>
    <w:p>
      <w:pPr>
        <w:sectPr>
          <w:pgSz w:w="11900" w:h="16838" w:orient="portrait"/>
          <w:cols w:equalWidth="0" w:num="2">
            <w:col w:w="5000" w:space="660"/>
            <w:col w:w="5580"/>
          </w:cols>
          <w:pgMar w:left="320" w:top="121"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February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 Treble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 Unit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Billerica, Massachusetts 01862</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Agrify Corporation/Registration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special Nevada counsel to Agrify Corporation, a Nevada corporation (the “Company”), in connection with the registration by the Company of 7,036,739 shares (the “Shares”) of common stock, par value $0.001 par value per share (the “Common Stock”) to be sold by selling stockholders of the Company under a Registration Statement on Form S-3 (the “Registration Statement”) under the Securities Act of 1933, as amended (the “Securities Act”), as filed with the Securities and Exchange Commission (the “Commission”).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Of the 7,036,739 Shares to be registered: (a) 2,450,350 Shares are issued and outstanding (the “Outstanding Shares”); (b) 1,570,644 Shares of (the “Pre-Funded Warrant Shares”) are issuable upon exercise of certain pre-funded warrants (the “Pre-Funded Warrants”); and (c) 3,015,745 Shares (the “Common Warrant Shares”) are issuable upon exercise of certain warrants (the “Common Warrants”).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these opinions, we have examined the Registration Statement and originals or copies, certified or otherwise identified to our satisfaction, of corporate records of the Company, certificates, forms of agreements, resolutions of the Board of Directors of the Company, and such other matters as relevant related to the issuance and the registration of the Shares under the Securities Act as we have deemed necessary or appropriate as a basis for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February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legal capacity of all natural persons executing the documents;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genuineness of all signatures on the documents;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authenticity of all documents submitted to us as originals, and the conformity to original documents of all documents submitted to us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copies;</w:t>
      </w:r>
    </w:p>
    <w:p>
      <w:pPr>
        <w:spacing w:after="0" w:line="211" w:lineRule="exact"/>
        <w:rPr>
          <w:sz w:val="20"/>
          <w:szCs w:val="20"/>
          <w:color w:val="auto"/>
        </w:rPr>
      </w:pPr>
    </w:p>
    <w:p>
      <w:pPr>
        <w:ind w:firstLine="656"/>
        <w:spacing w:after="0" w:line="277" w:lineRule="auto"/>
        <w:tabs>
          <w:tab w:leader="none" w:pos="9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the parties to such documents, other than the Company, had the power, corporate or other, to enter into and perform all obligations thereunder; and</w:t>
      </w:r>
    </w:p>
    <w:p>
      <w:pPr>
        <w:spacing w:after="0" w:line="170" w:lineRule="exact"/>
        <w:rPr>
          <w:rFonts w:ascii="Arial" w:cs="Arial" w:eastAsia="Arial" w:hAnsi="Arial"/>
          <w:sz w:val="18"/>
          <w:szCs w:val="18"/>
          <w:color w:val="auto"/>
        </w:rPr>
      </w:pPr>
    </w:p>
    <w:p>
      <w:pPr>
        <w:ind w:firstLine="656"/>
        <w:spacing w:after="0" w:line="277" w:lineRule="auto"/>
        <w:tabs>
          <w:tab w:leader="none" w:pos="9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with respect to the Company, the due authorization by all requisite action, corporate or other, the execution and delivery by all parties of the documents, and the validity and binding effect thereof on such parties.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limitations, and qualifications set forth herein, we are of the opinion that:</w:t>
      </w:r>
    </w:p>
    <w:p>
      <w:pPr>
        <w:spacing w:after="0" w:line="170"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have been duly authorized, and are validly issued, fully paid, and nonassessable;</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Pre-Funded Warrant Shares are duly authorized and, upon issuance in accordance with the terms of the Pre-Funded Warrants will be validly issued, fully paid, and nonassessable;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Common Warrant Shares are duly authorized and, upon issuance in accordance with the terms of the Common Warrants will be validly issued, fully paid, and nonassessable.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(excluding securities laws). We express no opinion regarding the effect of the laws of any other jurisdiction or state, including any federal securities laws related to the issuance and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February 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use of this opinion letter as Exhibit 5.1 to the Registration Statement and to the use of our name under the caption “Legal Matters” in the Registration Statement and in the Prospectus forming a part thereof and any supplement thereto. In giving the foregoing consent, we do not hereby admit that we are in the category of persons whose consent is required under Section 7 of the Securities Act or the rules and regulations of the Commission thereunder.</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Sherman &amp; Howard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Agrify Corporation of our report dated April 2, 2021 with respect to our audits of the consolidated financial statements of Agrify Corporation and Subsidiaries as of December 31, 2020 and 2019 and for the two years in the period ended December 31, 2020, which report appears in the Annual Report on Form 10-K of Agrify Corporation for the fiscal year ended December 31,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8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hereby consent to the inclusion in this Registration Statement on Form S-3 of our report dated December 8, 2021, relating to the consolidated financial statements of Mass2Media, LLC dba PX2 Holdings, LLC and Affiliate as of December 31, 2020.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8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inclusion in this Registration Statement on Form S-3 of our report dated December 8, 2021, relating to the financial statements of Cascade Sciences, LLC as of December 31, 2020.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31" w:name="page32"/>
    <w:bookmarkEnd w:id="31"/>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500" w:type="dxa"/>
            <w:vAlign w:val="bottom"/>
            <w:tcBorders>
              <w:top w:val="single" w:sz="8" w:color="auto"/>
              <w:left w:val="single" w:sz="8" w:color="auto"/>
              <w:right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Filing Fee</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Previously</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Fee</w:t>
            </w: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9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Carry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Paid In</w:t>
            </w: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ind w:right="12"/>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Amount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Carry</w:t>
            </w:r>
          </w:p>
        </w:tc>
        <w:tc>
          <w:tcPr>
            <w:tcW w:w="720" w:type="dxa"/>
            <w:vAlign w:val="bottom"/>
            <w:tcBorders>
              <w:right w:val="single" w:sz="8" w:color="auto"/>
            </w:tcBorders>
            <w:vMerge w:val="restart"/>
          </w:tcPr>
          <w:p>
            <w:pPr>
              <w:jc w:val="center"/>
              <w:ind w:right="13"/>
              <w:spacing w:after="0"/>
              <w:rPr>
                <w:sz w:val="20"/>
                <w:szCs w:val="20"/>
                <w:color w:val="auto"/>
              </w:rPr>
            </w:pPr>
            <w:r>
              <w:rPr>
                <w:rFonts w:ascii="Arial" w:cs="Arial" w:eastAsia="Arial" w:hAnsi="Arial"/>
                <w:sz w:val="18"/>
                <w:szCs w:val="18"/>
                <w:b w:val="1"/>
                <w:bCs w:val="1"/>
                <w:color w:val="auto"/>
                <w:w w:val="97"/>
              </w:rPr>
              <w:t>Carry</w:t>
            </w:r>
          </w:p>
        </w:tc>
        <w:tc>
          <w:tcPr>
            <w:tcW w:w="6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Connection</w:t>
            </w:r>
          </w:p>
        </w:tc>
        <w:tc>
          <w:tcPr>
            <w:tcW w:w="0" w:type="dxa"/>
            <w:vAlign w:val="bottom"/>
          </w:tcPr>
          <w:p>
            <w:pPr>
              <w:spacing w:after="0"/>
              <w:rPr>
                <w:sz w:val="1"/>
                <w:szCs w:val="1"/>
                <w:color w:val="auto"/>
              </w:rPr>
            </w:pPr>
          </w:p>
        </w:tc>
      </w:tr>
      <w:tr>
        <w:trPr>
          <w:trHeight w:val="180"/>
        </w:trPr>
        <w:tc>
          <w:tcPr>
            <w:tcW w:w="150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4"/>
              </w:rPr>
              <w:t>Security</w:t>
            </w:r>
          </w:p>
        </w:tc>
        <w:tc>
          <w:tcPr>
            <w:tcW w:w="8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0"/>
              </w:rPr>
              <w:t>Security</w:t>
            </w:r>
          </w:p>
        </w:tc>
        <w:tc>
          <w:tcPr>
            <w:tcW w:w="9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0"/>
              </w:rPr>
              <w:t>Calculation</w:t>
            </w:r>
          </w:p>
        </w:tc>
        <w:tc>
          <w:tcPr>
            <w:tcW w:w="8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3"/>
              </w:rPr>
              <w:t>Maximum</w:t>
            </w:r>
          </w:p>
        </w:tc>
        <w:tc>
          <w:tcPr>
            <w:tcW w:w="94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Fee</w:t>
            </w:r>
          </w:p>
        </w:tc>
        <w:tc>
          <w:tcPr>
            <w:tcW w:w="98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2"/>
              </w:rPr>
              <w:t>Forward</w:t>
            </w:r>
          </w:p>
        </w:tc>
        <w:tc>
          <w:tcPr>
            <w:tcW w:w="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Class</w:t>
            </w:r>
          </w:p>
        </w:tc>
        <w:tc>
          <w:tcPr>
            <w:tcW w:w="9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97"/>
              </w:rPr>
              <w:t>or Carry</w:t>
            </w:r>
          </w:p>
        </w:tc>
        <w:tc>
          <w:tcPr>
            <w:tcW w:w="8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94"/>
              </w:rPr>
              <w:t>Offering</w:t>
            </w:r>
          </w:p>
        </w:tc>
        <w:tc>
          <w:tcPr>
            <w:tcW w:w="9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w w:val="98"/>
              </w:rPr>
              <w:t>Aggregate</w:t>
            </w:r>
          </w:p>
        </w:tc>
        <w:tc>
          <w:tcPr>
            <w:tcW w:w="14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w w:val="92"/>
              </w:rPr>
              <w:t>of</w:t>
            </w:r>
          </w:p>
        </w:tc>
        <w:tc>
          <w:tcPr>
            <w:tcW w:w="7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rPr>
              <w:t>Forward</w:t>
            </w:r>
          </w:p>
        </w:tc>
        <w:tc>
          <w:tcPr>
            <w:tcW w:w="72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b w:val="1"/>
                <w:bCs w:val="1"/>
                <w:color w:val="auto"/>
              </w:rPr>
              <w:t>Forward</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Initial</w:t>
            </w:r>
          </w:p>
        </w:tc>
        <w:tc>
          <w:tcPr>
            <w:tcW w:w="9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0"/>
        </w:trPr>
        <w:tc>
          <w:tcPr>
            <w:tcW w:w="1500" w:type="dxa"/>
            <w:vAlign w:val="bottom"/>
            <w:tcBorders>
              <w:left w:val="single" w:sz="8" w:color="auto"/>
              <w:right w:val="single" w:sz="8" w:color="auto"/>
            </w:tcBorders>
          </w:tcPr>
          <w:p>
            <w:pPr>
              <w:spacing w:after="0"/>
              <w:rPr>
                <w:sz w:val="15"/>
                <w:szCs w:val="15"/>
                <w:color w:val="auto"/>
              </w:rPr>
            </w:pPr>
          </w:p>
        </w:tc>
        <w:tc>
          <w:tcPr>
            <w:tcW w:w="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Type</w:t>
            </w:r>
          </w:p>
        </w:tc>
        <w:tc>
          <w:tcPr>
            <w:tcW w:w="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8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8"/>
              </w:rPr>
              <w:t>Registered</w:t>
            </w:r>
          </w:p>
        </w:tc>
        <w:tc>
          <w:tcPr>
            <w:tcW w:w="800" w:type="dxa"/>
            <w:vAlign w:val="bottom"/>
            <w:tcBorders>
              <w:right w:val="single" w:sz="8" w:color="auto"/>
            </w:tcBorders>
            <w:vMerge w:val="continue"/>
          </w:tcPr>
          <w:p>
            <w:pPr>
              <w:spacing w:after="0"/>
              <w:rPr>
                <w:sz w:val="15"/>
                <w:szCs w:val="15"/>
                <w:color w:val="auto"/>
              </w:rPr>
            </w:pPr>
          </w:p>
        </w:tc>
        <w:tc>
          <w:tcPr>
            <w:tcW w:w="9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15"/>
                <w:szCs w:val="15"/>
                <w:color w:val="auto"/>
              </w:rPr>
            </w:pPr>
          </w:p>
        </w:tc>
        <w:tc>
          <w:tcPr>
            <w:tcW w:w="62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rPr>
              <w:t>Rate</w:t>
            </w:r>
          </w:p>
        </w:tc>
        <w:tc>
          <w:tcPr>
            <w:tcW w:w="9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1"/>
              </w:rPr>
              <w:t>Registration</w:t>
            </w:r>
          </w:p>
        </w:tc>
        <w:tc>
          <w:tcPr>
            <w:tcW w:w="7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3"/>
              </w:rPr>
              <w:t>Form</w:t>
            </w:r>
          </w:p>
        </w:tc>
        <w:tc>
          <w:tcPr>
            <w:tcW w:w="720" w:type="dxa"/>
            <w:vAlign w:val="bottom"/>
            <w:tcBorders>
              <w:right w:val="single" w:sz="8" w:color="auto"/>
            </w:tcBorders>
          </w:tcPr>
          <w:p>
            <w:pPr>
              <w:jc w:val="center"/>
              <w:ind w:right="13"/>
              <w:spacing w:after="0" w:line="181" w:lineRule="exact"/>
              <w:rPr>
                <w:sz w:val="20"/>
                <w:szCs w:val="20"/>
                <w:color w:val="auto"/>
              </w:rPr>
            </w:pPr>
            <w:r>
              <w:rPr>
                <w:rFonts w:ascii="Arial" w:cs="Arial" w:eastAsia="Arial" w:hAnsi="Arial"/>
                <w:sz w:val="18"/>
                <w:szCs w:val="18"/>
                <w:b w:val="1"/>
                <w:bCs w:val="1"/>
                <w:color w:val="auto"/>
                <w:w w:val="96"/>
              </w:rPr>
              <w:t>File</w:t>
            </w:r>
          </w:p>
        </w:tc>
        <w:tc>
          <w:tcPr>
            <w:tcW w:w="68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8"/>
              </w:rPr>
              <w:t>Unsold</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9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Forward</w:t>
            </w: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effective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p>
        </w:tc>
        <w:tc>
          <w:tcPr>
            <w:tcW w:w="9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to be</w:t>
            </w:r>
          </w:p>
        </w:tc>
        <w:tc>
          <w:tcPr>
            <w:tcW w:w="0" w:type="dxa"/>
            <w:vAlign w:val="bottom"/>
          </w:tcPr>
          <w:p>
            <w:pPr>
              <w:spacing w:after="0"/>
              <w:rPr>
                <w:sz w:val="1"/>
                <w:szCs w:val="1"/>
                <w:color w:val="auto"/>
              </w:rPr>
            </w:pPr>
          </w:p>
        </w:tc>
      </w:tr>
      <w:tr>
        <w:trPr>
          <w:trHeight w:val="36"/>
        </w:trPr>
        <w:tc>
          <w:tcPr>
            <w:tcW w:w="15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Carried</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b w:val="1"/>
                <w:bCs w:val="1"/>
                <w:color w:val="auto"/>
                <w:w w:val="88"/>
              </w:rPr>
              <w:t>Newly Registered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Fees to Be Paid</w:t>
            </w: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457(c)</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4"/>
              </w:rPr>
              <w:t>7,036,739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$6.38 (2)</w:t>
            </w:r>
          </w:p>
        </w:tc>
        <w:tc>
          <w:tcPr>
            <w:tcW w:w="1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$44,894,3950.0000927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$4,162</w:t>
            </w:r>
          </w:p>
        </w:tc>
        <w:tc>
          <w:tcPr>
            <w:tcW w:w="7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88"/>
              </w:rPr>
              <w:t>Stock</w:t>
            </w: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70"/>
              <w:spacing w:after="0" w:line="162" w:lineRule="exact"/>
              <w:rPr>
                <w:sz w:val="20"/>
                <w:szCs w:val="20"/>
                <w:color w:val="auto"/>
              </w:rPr>
            </w:pPr>
            <w:r>
              <w:rPr>
                <w:rFonts w:ascii="Arial" w:cs="Arial" w:eastAsia="Arial" w:hAnsi="Arial"/>
                <w:sz w:val="18"/>
                <w:szCs w:val="18"/>
                <w:color w:val="auto"/>
              </w:rPr>
              <w:t>(1)</w:t>
            </w:r>
          </w:p>
        </w:tc>
        <w:tc>
          <w:tcPr>
            <w:tcW w:w="8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Fees Previously</w:t>
            </w:r>
          </w:p>
        </w:tc>
        <w:tc>
          <w:tcPr>
            <w:tcW w:w="5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Paid</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Carry Forward Securities</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Carry Forward</w:t>
            </w:r>
          </w:p>
        </w:tc>
        <w:tc>
          <w:tcPr>
            <w:tcW w:w="5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3"/>
          </w:tcPr>
          <w:p>
            <w:pPr>
              <w:jc w:val="center"/>
              <w:ind w:right="610"/>
              <w:spacing w:after="0"/>
              <w:rPr>
                <w:sz w:val="20"/>
                <w:szCs w:val="20"/>
                <w:color w:val="auto"/>
              </w:rPr>
            </w:pPr>
            <w:r>
              <w:rPr>
                <w:rFonts w:ascii="Arial" w:cs="Arial" w:eastAsia="Arial" w:hAnsi="Arial"/>
                <w:sz w:val="18"/>
                <w:szCs w:val="18"/>
                <w:b w:val="1"/>
                <w:bCs w:val="1"/>
                <w:color w:val="auto"/>
                <w:w w:val="91"/>
              </w:rPr>
              <w:t>Total Offering Amounts</w:t>
            </w:r>
          </w:p>
        </w:tc>
        <w:tc>
          <w:tcPr>
            <w:tcW w:w="8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89"/>
              </w:rPr>
              <w:t>$44,894,395</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$4,162</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4"/>
          </w:tcPr>
          <w:p>
            <w:pPr>
              <w:jc w:val="center"/>
              <w:ind w:right="550"/>
              <w:spacing w:after="0"/>
              <w:rPr>
                <w:sz w:val="20"/>
                <w:szCs w:val="20"/>
                <w:color w:val="auto"/>
              </w:rPr>
            </w:pPr>
            <w:r>
              <w:rPr>
                <w:rFonts w:ascii="Arial" w:cs="Arial" w:eastAsia="Arial" w:hAnsi="Arial"/>
                <w:sz w:val="18"/>
                <w:szCs w:val="18"/>
                <w:b w:val="1"/>
                <w:bCs w:val="1"/>
                <w:color w:val="auto"/>
                <w:w w:val="88"/>
              </w:rPr>
              <w:t>Total Fees Previously Paid</w:t>
            </w:r>
          </w:p>
        </w:tc>
        <w:tc>
          <w:tcPr>
            <w:tcW w:w="8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8"/>
              </w:rPr>
              <w:t>Total Fee Offsets</w:t>
            </w:r>
          </w:p>
        </w:tc>
        <w:tc>
          <w:tcPr>
            <w:tcW w:w="8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0"/>
              </w:rPr>
              <w:t>Net Fee Due</w:t>
            </w:r>
          </w:p>
        </w:tc>
        <w:tc>
          <w:tcPr>
            <w:tcW w:w="8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$4,162</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-1585595</wp:posOffset>
            </wp:positionV>
            <wp:extent cx="8890" cy="574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8890" cy="574675"/>
                    </a:xfrm>
                    <a:prstGeom prst="rect">
                      <a:avLst/>
                    </a:prstGeom>
                    <a:noFill/>
                  </pic:spPr>
                </pic:pic>
              </a:graphicData>
            </a:graphic>
          </wp:anchor>
        </w:drawing>
      </w:r>
    </w:p>
    <w:p>
      <w:pPr>
        <w:spacing w:after="0" w:line="114" w:lineRule="exact"/>
        <w:rPr>
          <w:sz w:val="20"/>
          <w:szCs w:val="20"/>
          <w:color w:val="auto"/>
        </w:rPr>
      </w:pPr>
    </w:p>
    <w:p>
      <w:pPr>
        <w:jc w:val="both"/>
        <w:ind w:left="360" w:hanging="292"/>
        <w:spacing w:after="0" w:line="25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(a) 2,450,350 outstanding shares of the registrant’s common stock, (b) 1,570,644 shares of the registrant’s common stock issuable upon exercise of pre-funded warrants, and (c) 3,015,745 shares of the registrant’s common stock issuable upon exercise of common stock purchase warrants. Pursuant to Rule 416 of the Securities Act of 1933, as amended (the “Securities Act”), the registration statement also covers such additional shares as may hereafter be offered or issued to prevent dilution resulting from stock splits, stock dividends, recapitalizations or certain other capital adjustments.</w:t>
      </w:r>
    </w:p>
    <w:p>
      <w:pPr>
        <w:spacing w:after="0" w:line="79" w:lineRule="exact"/>
        <w:rPr>
          <w:rFonts w:ascii="Arial" w:cs="Arial" w:eastAsia="Arial" w:hAnsi="Arial"/>
          <w:sz w:val="18"/>
          <w:szCs w:val="18"/>
          <w:color w:val="auto"/>
        </w:rPr>
      </w:pPr>
    </w:p>
    <w:p>
      <w:pPr>
        <w:jc w:val="both"/>
        <w:ind w:left="360" w:right="20" w:hanging="292"/>
        <w:spacing w:after="0" w:line="263"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Rule 457(c) under the Securities Act, the aggregate offering price of the Common Stock is estimated solely for the calculation of the registration fees due for this filing. This estimate was based on the average of the high and low sales price of our stock reported by The Nasdaq Capital Market on February 2, 2022, which date is within five (5) business days of the filing hereof.</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2"/>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2"/>
    </w:lvl>
    <w:lvl w:ilvl="1">
      <w:lvlJc w:val="left"/>
      <w:lvlText w:val="(%2)"/>
      <w:numFmt w:val="lowerLetter"/>
      <w:start w:val="1"/>
    </w:lvl>
  </w:abstractNum>
  <w:abstractNum w:abstractNumId="7">
    <w:nsid w:val="216231B"/>
    <w:multiLevelType w:val="hybridMultilevel"/>
    <w:lvl w:ilvl="0">
      <w:lvlJc w:val="left"/>
      <w:lvlText w:val="%1"/>
      <w:numFmt w:val="decimal"/>
      <w:start w:val="107"/>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jpe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69" Type="http://schemas.openxmlformats.org/officeDocument/2006/relationships/image" Target="media/image33.png"/><Relationship Id="rId70" Type="http://schemas.openxmlformats.org/officeDocument/2006/relationships/image" Target="media/image34.jpeg"/><Relationship Id="rId71" Type="http://schemas.openxmlformats.org/officeDocument/2006/relationships/image" Target="media/image35.png"/><Relationship Id="rId72" Type="http://schemas.openxmlformats.org/officeDocument/2006/relationships/image" Target="media/image36.png"/><Relationship Id="rId73" Type="http://schemas.openxmlformats.org/officeDocument/2006/relationships/image" Target="media/image37.pn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33" Type="http://schemas.openxmlformats.org/officeDocument/2006/relationships/hyperlink" Target="http://www.sec.gov/Archives/edgar/data/1800637/000121390021019992/f10k2020_agrifycorporation.htm" TargetMode="External"/><Relationship Id="rId34" Type="http://schemas.openxmlformats.org/officeDocument/2006/relationships/hyperlink" Target="http://www.sec.gov/Archives/edgar/data/1800637/000121390021027153/f10q0321_agrifycorporation.htm" TargetMode="External"/><Relationship Id="rId35" Type="http://schemas.openxmlformats.org/officeDocument/2006/relationships/hyperlink" Target="http://www.sec.gov/ix?doc=/Archives/edgar/data/1800637/000121390021058223/f10q0921_agrifycorp.htm" TargetMode="External"/><Relationship Id="rId36" Type="http://schemas.openxmlformats.org/officeDocument/2006/relationships/hyperlink" Target="http://www.sec.gov/Archives/edgar/data/1800637/000121390021016960/ea138197_8k-agrify.htm" TargetMode="External"/><Relationship Id="rId37" Type="http://schemas.openxmlformats.org/officeDocument/2006/relationships/hyperlink" Target="http://www.sec.gov/ix?doc=/Archives/edgar/data/1800637/000121390021048850/ea147578-8k_agrifycorp.htm" TargetMode="External"/><Relationship Id="rId38" Type="http://schemas.openxmlformats.org/officeDocument/2006/relationships/hyperlink" Target="http://www.sec.gov/ix?doc=/Archives/edgar/data/1800637/000101376221000191/ea148348-8k_agrifycorp.htm" TargetMode="External"/><Relationship Id="rId39" Type="http://schemas.openxmlformats.org/officeDocument/2006/relationships/hyperlink" Target="http://www.sec.gov/ix?doc=/Archives/edgar/data/1800637/000162828021025312/agfy-20210929.htm" TargetMode="External"/><Relationship Id="rId40" Type="http://schemas.openxmlformats.org/officeDocument/2006/relationships/hyperlink" Target="http://www.sec.gov/ix?doc=/Archives/edgar/data/1800637/000121390021059567/ea150577-8k_agrifycorp.htm" TargetMode="External"/><Relationship Id="rId41" Type="http://schemas.openxmlformats.org/officeDocument/2006/relationships/hyperlink" Target="http://www.sec.gov/ix?doc=/Archives/edgar/data/1800637/000121390021064077/ea151827-8k_agrifycorp.htm" TargetMode="External"/><Relationship Id="rId42" Type="http://schemas.openxmlformats.org/officeDocument/2006/relationships/hyperlink" Target="http://www.sec.gov/ix?doc=/Archives/edgar/data/1800637/000121390021065083/ea152256-8k_agrifycorp.htm" TargetMode="External"/><Relationship Id="rId43" Type="http://schemas.openxmlformats.org/officeDocument/2006/relationships/hyperlink" Target="http://www.sec.gov/ix?doc=/Archives/edgar/data/1800637/000121390021067576/ea153040-8k_agrifycorp.htm" TargetMode="External"/><Relationship Id="rId44" Type="http://schemas.openxmlformats.org/officeDocument/2006/relationships/hyperlink" Target="http://www.sec.gov/ix?doc=/Archives/edgar/data/1800637/000121390022000601/ea153490-8k_agrifycorp.htm" TargetMode="External"/><Relationship Id="rId45" Type="http://schemas.openxmlformats.org/officeDocument/2006/relationships/hyperlink" Target="http://www.sec.gov/ix?doc=/Archives/edgar/data/1800637/000121390022003773/ea154520-8k_agrifycorp.htm" TargetMode="External"/><Relationship Id="rId46" Type="http://schemas.openxmlformats.org/officeDocument/2006/relationships/hyperlink" Target="http://www.sec.gov/ix?doc=/Archives/edgar/data/1800637/000121390022004925/ea154783-8k_agrifycorp.htm" TargetMode="External"/><Relationship Id="rId47" Type="http://schemas.openxmlformats.org/officeDocument/2006/relationships/hyperlink" Target="http://www.sec.gov/Archives/edgar/data/1800637/000121390021004285/ea133941-8a12b_agrifycorp.htm" TargetMode="External"/><Relationship Id="rId55" Type="http://schemas.openxmlformats.org/officeDocument/2006/relationships/hyperlink" Target="http://www.sec.gov/Archives/edgar/data/1800637/000121390020044121/fs12020ex2-1_agrifycorp.htm" TargetMode="External"/><Relationship Id="rId56" Type="http://schemas.openxmlformats.org/officeDocument/2006/relationships/hyperlink" Target="http://www.sec.gov/Archives/edgar/data/0001800637/000101376221000191/ea148348ex2-1_agrifycorp.htm" TargetMode="External"/><Relationship Id="rId57" Type="http://schemas.openxmlformats.org/officeDocument/2006/relationships/hyperlink" Target="http://www.sec.gov/Archives/edgar/data/0001800637/000121390022000601/ea153490ex2-1_agrifycorp.htm" TargetMode="External"/><Relationship Id="rId58" Type="http://schemas.openxmlformats.org/officeDocument/2006/relationships/hyperlink" Target="http://www.sec.gov/Archives/edgar/data/0001800637/000121390022004925/ea154783ex2-1_agrifycorp.htm" TargetMode="External"/><Relationship Id="rId59" Type="http://schemas.openxmlformats.org/officeDocument/2006/relationships/hyperlink" Target="https://www.sec.gov/Archives/edgar/data/1800637/000121390021001799/fs12020a1ex3-1_agrify.htm" TargetMode="External"/><Relationship Id="rId60" Type="http://schemas.openxmlformats.org/officeDocument/2006/relationships/hyperlink" Target="http://www.sec.gov/Archives/edgar/data/1800637/000121390021001799/fs12020a1ex3-2_agrify.htm" TargetMode="External"/><Relationship Id="rId61" Type="http://schemas.openxmlformats.org/officeDocument/2006/relationships/hyperlink" Target="http://www.sec.gov/Archives/edgar/data/1800637/000121390021004220/fs12021a2ex3-3_agrifycorp.htm" TargetMode="External"/><Relationship Id="rId62" Type="http://schemas.openxmlformats.org/officeDocument/2006/relationships/hyperlink" Target="http://www.sec.gov/Archives/edgar/data/1800637/000121390021004220/fs12021a2ex4-1_agrifycorp.htm" TargetMode="External"/><Relationship Id="rId63" Type="http://schemas.openxmlformats.org/officeDocument/2006/relationships/hyperlink" Target="http://www.sec.gov/Archives/edgar/data/1800637/000121390021008530/fs12021ex4-2_agrifycorp.htm" TargetMode="External"/><Relationship Id="rId64" Type="http://schemas.openxmlformats.org/officeDocument/2006/relationships/hyperlink" Target="http://www.sec.gov/Archives/edgar/data/1800637/000121390021004220/fs12021a2ex4-2_agrifycorp.htm" TargetMode="External"/><Relationship Id="rId65" Type="http://schemas.openxmlformats.org/officeDocument/2006/relationships/hyperlink" Target="http://www.sec.gov/Archives/edgar/data/1800637/000121390020044121/fs12020ex4-3_agrifycorp.htm" TargetMode="External"/><Relationship Id="rId66" Type="http://schemas.openxmlformats.org/officeDocument/2006/relationships/hyperlink" Target="https://www.sec.gov/Archives/edgar/data/0001800637/000121390021019992/f10k2020ex4-5_agrifycorp.htm" TargetMode="External"/><Relationship Id="rId67" Type="http://schemas.openxmlformats.org/officeDocument/2006/relationships/hyperlink" Target="https://www.sec.gov/Archives/edgar/data/0001800637/000121390022003773/ea154520ex4-1_agrify.htm" TargetMode="External"/><Relationship Id="rId68" Type="http://schemas.openxmlformats.org/officeDocument/2006/relationships/hyperlink" Target="https://www.sec.gov/Archives/edgar/data/0001800637/000121390022003773/ea154520ex4-2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2022-02-09T15:41:58Z</dcterms:created>
  <dcterms:modified xsi:type="dcterms:W3CDTF">2022-02-09T15:41:58Z</dcterms:modified>
</cp:coreProperties>
</file>