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21,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Ms. Abby Adams</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Agrify 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December 22, 2020</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333-251616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Adams:</w:t>
      </w:r>
    </w:p>
    <w:p>
      <w:pPr>
        <w:spacing w:after="0" w:line="221"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8"/>
          <w:szCs w:val="18"/>
          <w:color w:val="auto"/>
        </w:rPr>
        <w:t>Agrify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 hereby transmits our response to Comment 36 in the comment letter dated September 8, 2020 (the “</w:t>
      </w:r>
      <w:r>
        <w:rPr>
          <w:rFonts w:ascii="Arial" w:cs="Arial" w:eastAsia="Arial" w:hAnsi="Arial"/>
          <w:sz w:val="18"/>
          <w:szCs w:val="18"/>
          <w:b w:val="1"/>
          <w:bCs w:val="1"/>
          <w:color w:val="auto"/>
        </w:rPr>
        <w:t>Letter</w:t>
      </w:r>
      <w:r>
        <w:rPr>
          <w:rFonts w:ascii="Arial" w:cs="Arial" w:eastAsia="Arial" w:hAnsi="Arial"/>
          <w:sz w:val="18"/>
          <w:szCs w:val="18"/>
          <w:color w:val="auto"/>
        </w:rPr>
        <w:t>”) received by us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regarding the Company’s Draft Registration Statement on Form S-1 previously filed with the Commission on August 12, 2020. The Company subsequently filed its Registration Statement on Form S-1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on December 22, 2020.</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 the Staff’s convenience, we have repeated below the Staff’s comment in bold, and have followed the comment with the Company’s response.</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15 - Subsequent Events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Issuance of Stock Options, page F-35</w:t>
      </w:r>
    </w:p>
    <w:p>
      <w:pPr>
        <w:spacing w:after="0" w:line="234" w:lineRule="exact"/>
        <w:rPr>
          <w:sz w:val="24"/>
          <w:szCs w:val="24"/>
          <w:color w:val="auto"/>
        </w:rPr>
      </w:pPr>
    </w:p>
    <w:p>
      <w:pPr>
        <w:jc w:val="both"/>
        <w:ind w:left="66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Please discuss with the staff how to submit your response.</w:t>
      </w:r>
    </w:p>
    <w:p>
      <w:pPr>
        <w:spacing w:after="0" w:line="183"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RESPONSE: We acknowledge the Staff’s comment and advise the Staff that the Company’s stock options were priced utilizing the 409A valuation dated as of March 20, 2020 referred to in our response to Comment 35 of the Letter and a subsequent 409A valuation dated as of October 8, 2020. Both 409A valuations were prepared taking into account our efforts to complete our proposed initial public offering, the progress we made in the public offering process and the probability of successfully completing the initial public offering within a reasonable period of time from the dates of the valuations. We relied upon the valuation of our common stock as determined by the first 409A valuation for all of the stock options granted from March 20, 2020 (the date of the first 409A valuation) through August 2020. We decided to prepare the second 409A valuation as a result of our issuance of convertible promissory notes and warrants in a private placement we commenced in August 2020. We relied upon this second 409A valuation to determine the value of our common stock for all stock options granted during October 2020. We believe that the 409A valuations reflected the fair value of our common stock as of their respective dates and through October 2020. We will use the offering price per share in the initial public offering to determine the fair value of our common stock for all stock option grants during and after December 2020. Further, we will account for any difference between such offering price per share and the exercise price of such stock options as stock option compensation in our financial statements.</w:t>
      </w:r>
    </w:p>
    <w:p>
      <w:pPr>
        <w:spacing w:after="0" w:line="179"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We thank the Staff in advance for its review of the foregoing. If you have further comments, we ask that you forward them by electronic mail to our counsel, David J. Levine, Esq., at dlevine@loeb.com or by telephone at (212) 407-4923.</w:t>
      </w:r>
    </w:p>
    <w:p>
      <w:pPr>
        <w:spacing w:after="0" w:line="170"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/s/ Niv Krikov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16"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Niv Krikov</w:t>
      </w:r>
    </w:p>
    <w:p>
      <w:pPr>
        <w:spacing w:after="0" w:line="23"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2021-02-25T23:07:38Z</dcterms:created>
  <dcterms:modified xsi:type="dcterms:W3CDTF">2021-02-25T23:07:38Z</dcterms:modified>
</cp:coreProperties>
</file>