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a177378-8k_agrify.htm"/>
      <w:bookmarkStart w:id="1" w:name="ksea1773788k_agrify"/>
      <w:bookmarkEnd w:id="0"/>
      <w:bookmarkEnd w:id="1"/>
      <w:r>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30419__20"/>
      <w:bookmarkEnd w:id="2"/>
      <w:r>
        <w:rPr>
          <w:rFonts w:ascii="Times New Roman;Times;Serif" w:hAnsi="Times New Roman;Times;Serif"/>
          <w:b/>
          <w:i w:val="false"/>
          <w:caps w:val="false"/>
          <w:smallCaps w:val="false"/>
          <w:sz w:val="36"/>
        </w:rPr>
        <w:t>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April 19, 2023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4" w:name="xdx_904_edei--EntityRegistrantName_c2023"/>
      <w:bookmarkEnd w:id="4"/>
      <w:r>
        <w:rPr>
          <w:rFonts w:ascii="Times New Roman;Times;Serif" w:hAnsi="Times New Roman;Times;Serif"/>
          <w:b/>
          <w:i w:val="false"/>
          <w:caps w:val="false"/>
          <w:smallCaps w:val="false"/>
          <w:sz w:val="20"/>
        </w:rPr>
        <w:t>AGRIFY CORPORATION</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jc w:val="center"/>
        <w:rPr>
          <w:caps w:val="false"/>
          <w:smallCaps w:val="false"/>
        </w:rPr>
      </w:pPr>
      <w:r>
        <w:rPr>
          <w:caps w:val="false"/>
          <w:smallCaps w:val="false"/>
        </w:rPr>
        <w:t> </w:t>
      </w:r>
    </w:p>
    <w:tbl>
      <w:tblPr>
        <w:tblW w:w="6055" w:type="dxa"/>
        <w:jc w:val="left"/>
        <w:tblInd w:w="0" w:type="dxa"/>
        <w:tblCellMar>
          <w:top w:w="0" w:type="dxa"/>
          <w:left w:w="0" w:type="dxa"/>
          <w:bottom w:w="0" w:type="dxa"/>
          <w:right w:w="0" w:type="dxa"/>
        </w:tblCellMar>
      </w:tblPr>
      <w:tblGrid>
        <w:gridCol w:w="3215"/>
        <w:gridCol w:w="60"/>
        <w:gridCol w:w="2780"/>
      </w:tblGrid>
      <w:tr>
        <w:trPr/>
        <w:tc>
          <w:tcPr>
            <w:tcW w:w="3215" w:type="dxa"/>
            <w:tcBorders/>
            <w:shd w:fill="auto" w:val="clear"/>
            <w:vAlign w:val="center"/>
          </w:tcPr>
          <w:p>
            <w:pPr>
              <w:pStyle w:val="TableContents"/>
              <w:spacing w:before="0" w:after="283"/>
              <w:jc w:val="center"/>
              <w:rPr>
                <w:b/>
                <w:sz w:val="20"/>
              </w:rPr>
            </w:pPr>
            <w:bookmarkStart w:id="6" w:name="xdx_90A_edei--EntityFileNumber_c20230419"/>
            <w:bookmarkEnd w:id="6"/>
            <w:r>
              <w:rPr>
                <w:b/>
                <w:sz w:val="20"/>
              </w:rPr>
              <w:t>001-39946</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b/>
                <w:sz w:val="20"/>
              </w:rPr>
            </w:pPr>
            <w:bookmarkStart w:id="7" w:name="xdx_908_edei--EntityTaxIdentificationNum"/>
            <w:bookmarkEnd w:id="7"/>
            <w:r>
              <w:rPr>
                <w:b/>
                <w:sz w:val="20"/>
              </w:rPr>
              <w:t>30-0943453</w:t>
            </w:r>
          </w:p>
        </w:tc>
      </w:tr>
      <w:tr>
        <w:trPr/>
        <w:tc>
          <w:tcPr>
            <w:tcW w:w="3215"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r>
        <w:trPr/>
        <w:tc>
          <w:tcPr>
            <w:tcW w:w="32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pPr>
            <w:r>
              <w:rPr/>
              <w:t> </w:t>
            </w:r>
          </w:p>
        </w:tc>
      </w:tr>
      <w:tr>
        <w:trPr/>
        <w:tc>
          <w:tcPr>
            <w:tcW w:w="3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pPr>
            <w:r>
              <w:rPr/>
              <w:t> </w:t>
            </w:r>
          </w:p>
        </w:tc>
      </w:tr>
      <w:tr>
        <w:trPr/>
        <w:tc>
          <w:tcPr>
            <w:tcW w:w="3215" w:type="dxa"/>
            <w:tcBorders/>
            <w:shd w:fill="auto" w:val="clear"/>
            <w:vAlign w:val="center"/>
          </w:tcPr>
          <w:p>
            <w:pPr>
              <w:pStyle w:val="TableContents"/>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76 Treble Cove Rd.</w:t>
            </w:r>
          </w:p>
          <w:p>
            <w:pPr>
              <w:pStyle w:val="TableContents"/>
              <w:jc w:val="center"/>
              <w:rPr>
                <w:rFonts w:ascii="Times New Roman;Times;Serif" w:hAnsi="Times New Roman;Times;Serif"/>
                <w:b/>
                <w:i w:val="false"/>
                <w:caps w:val="false"/>
                <w:smallCaps w:val="false"/>
                <w:sz w:val="20"/>
              </w:rPr>
            </w:pPr>
            <w:bookmarkStart w:id="9" w:name="xdx_90B_edei--EntityAddressAddressLine2_"/>
            <w:bookmarkEnd w:id="9"/>
            <w:r>
              <w:rPr>
                <w:rFonts w:ascii="Times New Roman;Times;Serif" w:hAnsi="Times New Roman;Times;Serif"/>
                <w:b/>
                <w:i w:val="false"/>
                <w:caps w:val="false"/>
                <w:smallCaps w:val="false"/>
                <w:sz w:val="20"/>
              </w:rPr>
              <w:t>Building 3</w:t>
            </w:r>
          </w:p>
          <w:p>
            <w:pPr>
              <w:pStyle w:val="TableContents"/>
              <w:spacing w:before="0" w:after="283"/>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Billerica, </w:t>
            </w:r>
            <w:bookmarkStart w:id="11" w:name="xdx_900_edei--EntityAddressStateOrProvin"/>
            <w:bookmarkEnd w:id="11"/>
            <w:r>
              <w:rPr>
                <w:rFonts w:ascii="Times New Roman;Times;Serif" w:hAnsi="Times New Roman;Times;Serif"/>
                <w:b/>
                <w:i w:val="false"/>
                <w:caps w:val="false"/>
                <w:smallCaps w:val="false"/>
                <w:sz w:val="20"/>
              </w:rPr>
              <w:t>MA</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jc w:val="center"/>
              <w:rPr>
                <w:caps w:val="false"/>
                <w:smallCaps w:val="false"/>
              </w:rPr>
            </w:pPr>
            <w:r>
              <w:rPr>
                <w:caps w:val="false"/>
                <w:smallCaps w:val="false"/>
              </w:rPr>
              <w:t> </w:t>
            </w:r>
          </w:p>
          <w:p>
            <w:pPr>
              <w:pStyle w:val="TableContents"/>
              <w:spacing w:before="0" w:after="283"/>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01862</w:t>
            </w:r>
          </w:p>
        </w:tc>
      </w:tr>
      <w:tr>
        <w:trPr/>
        <w:tc>
          <w:tcPr>
            <w:tcW w:w="3215" w:type="dxa"/>
            <w:tcBorders/>
            <w:shd w:fill="auto" w:val="clear"/>
            <w:vAlign w:val="center"/>
          </w:tcPr>
          <w:p>
            <w:pPr>
              <w:pStyle w:val="TableContents"/>
              <w:spacing w:before="0" w:after="283"/>
              <w:jc w:val="center"/>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sz w:val="20"/>
              </w:rPr>
            </w:pPr>
            <w:r>
              <w:rPr>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13" w:name="xdx_909_edei--CityAreaCode_c20230419__20"/>
      <w:bookmarkEnd w:id="13"/>
      <w:r>
        <w:rPr>
          <w:rFonts w:ascii="Times New Roman;Times;Serif" w:hAnsi="Times New Roman;Times;Serif"/>
          <w:b/>
          <w:i w:val="false"/>
          <w:caps w:val="false"/>
          <w:smallCaps w:val="false"/>
          <w:sz w:val="20"/>
        </w:rPr>
        <w:t xml:space="preserve">(617) </w:t>
      </w:r>
      <w:bookmarkStart w:id="14" w:name="xdx_909_edei--LocalPhoneNumber_c20230419"/>
      <w:bookmarkEnd w:id="14"/>
      <w:r>
        <w:rPr>
          <w:rFonts w:ascii="Times New Roman;Times;Serif" w:hAnsi="Times New Roman;Times;Serif"/>
          <w:b/>
          <w:i w:val="false"/>
          <w:caps w:val="false"/>
          <w:smallCaps w:val="false"/>
          <w:sz w:val="20"/>
        </w:rPr>
        <w:t>896-5243</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jc w:val="center"/>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5" w:name="xdx_90C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6" w:name="xdx_900_edei--SolicitingMaterial_c202304"/>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7" w:name="xdx_909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bookmarkStart w:id="18" w:name="xdx_902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ind w:left="360" w:right="0" w:hanging="36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rPr>
          <w:caps w:val="false"/>
          <w:smallCaps w:val="false"/>
        </w:rPr>
      </w:pPr>
      <w:r>
        <w:rPr>
          <w:caps w:val="false"/>
          <w:smallCaps w:val="false"/>
        </w:rPr>
        <w:t> </w:t>
      </w:r>
    </w:p>
    <w:tbl>
      <w:tblPr>
        <w:tblW w:w="8250" w:type="dxa"/>
        <w:jc w:val="left"/>
        <w:tblInd w:w="0" w:type="dxa"/>
        <w:tblCellMar>
          <w:top w:w="0" w:type="dxa"/>
          <w:left w:w="0" w:type="dxa"/>
          <w:bottom w:w="28" w:type="dxa"/>
          <w:right w:w="0" w:type="dxa"/>
        </w:tblCellMar>
      </w:tblPr>
      <w:tblGrid>
        <w:gridCol w:w="2750"/>
        <w:gridCol w:w="60"/>
        <w:gridCol w:w="1610"/>
        <w:gridCol w:w="60"/>
        <w:gridCol w:w="3770"/>
      </w:tblGrid>
      <w:tr>
        <w:trPr/>
        <w:tc>
          <w:tcPr>
            <w:tcW w:w="2750"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7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2750" w:type="dxa"/>
            <w:tcBorders/>
            <w:shd w:fill="auto" w:val="clear"/>
            <w:tcMar>
              <w:bottom w:w="0" w:type="dxa"/>
            </w:tcMar>
            <w:vAlign w:val="center"/>
          </w:tcPr>
          <w:p>
            <w:pPr>
              <w:pStyle w:val="TableContents"/>
              <w:spacing w:before="0" w:after="283"/>
              <w:jc w:val="center"/>
              <w:rPr>
                <w:sz w:val="20"/>
              </w:rPr>
            </w:pPr>
            <w:bookmarkStart w:id="19" w:name="xdx_90B_edei--Security12bTitle_c20230419"/>
            <w:bookmarkEnd w:id="19"/>
            <w:r>
              <w:rPr>
                <w:sz w:val="20"/>
              </w:rPr>
              <w:t>Common Stock, $0.001 par value</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shd w:fill="auto" w:val="clear"/>
            <w:tcMar>
              <w:bottom w:w="0" w:type="dxa"/>
            </w:tcMar>
            <w:vAlign w:val="center"/>
          </w:tcPr>
          <w:p>
            <w:pPr>
              <w:pStyle w:val="TableContents"/>
              <w:spacing w:before="0" w:after="283"/>
              <w:jc w:val="center"/>
              <w:rPr>
                <w:sz w:val="20"/>
              </w:rPr>
            </w:pPr>
            <w:bookmarkStart w:id="20" w:name="xdx_90B_edei--TradingSymbol_c20230419__2"/>
            <w:bookmarkEnd w:id="20"/>
            <w:r>
              <w:rPr>
                <w:sz w:val="20"/>
              </w:rPr>
              <w:t>AGFY</w:t>
            </w:r>
          </w:p>
        </w:tc>
        <w:tc>
          <w:tcPr>
            <w:tcW w:w="60" w:type="dxa"/>
            <w:tcBorders/>
            <w:shd w:fill="auto" w:val="clear"/>
            <w:tcMar>
              <w:bottom w:w="0" w:type="dxa"/>
            </w:tcMar>
            <w:vAlign w:val="center"/>
          </w:tcPr>
          <w:p>
            <w:pPr>
              <w:pStyle w:val="TableContents"/>
              <w:spacing w:before="0" w:after="283"/>
              <w:jc w:val="center"/>
              <w:rPr/>
            </w:pPr>
            <w:r>
              <w:rPr/>
              <w:t> </w:t>
            </w:r>
          </w:p>
        </w:tc>
        <w:tc>
          <w:tcPr>
            <w:tcW w:w="3770" w:type="dxa"/>
            <w:tcBorders/>
            <w:shd w:fill="auto" w:val="clear"/>
            <w:tcMar>
              <w:bottom w:w="0" w:type="dxa"/>
            </w:tcMar>
            <w:vAlign w:val="center"/>
          </w:tcPr>
          <w:p>
            <w:pPr>
              <w:pStyle w:val="TableContents"/>
              <w:spacing w:before="0" w:after="283"/>
              <w:jc w:val="center"/>
              <w:rPr>
                <w:sz w:val="20"/>
              </w:rPr>
            </w:pPr>
            <w:bookmarkStart w:id="21" w:name="xdx_909_edei--SecurityExchangeName_c2023"/>
            <w:bookmarkEnd w:id="21"/>
            <w:r>
              <w:rPr>
                <w:sz w:val="20"/>
              </w:rPr>
              <w:t>The Nasdaq Stock Market LLC</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Wingdings" w:hAnsi="Wingdings"/>
          <w:b w:val="false"/>
          <w:i w:val="false"/>
          <w:caps w:val="false"/>
          <w:smallCaps w:val="false"/>
          <w:sz w:val="20"/>
        </w:rPr>
        <w:t>x</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Wingdings" w:hAnsi="Wingdings"/>
          <w:b w:val="false"/>
          <w:i w:val="false"/>
          <w:caps w:val="false"/>
          <w:smallCaps w:val="false"/>
          <w:sz w:val="20"/>
        </w:rPr>
        <w:t>o</w:t>
      </w:r>
    </w:p>
    <w:p>
      <w:pPr>
        <w:pStyle w:val="TextBody"/>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rPr>
          <w:caps w:val="false"/>
          <w:smallCaps w:val="false"/>
        </w:rPr>
      </w:pPr>
      <w:r>
        <w:rPr>
          <w:caps w:val="false"/>
          <w:smallCaps w:val="false"/>
        </w:rPr>
        <w:t> </w:t>
      </w:r>
    </w:p>
    <w:tbl>
      <w:tblPr>
        <w:tblW w:w="3115" w:type="dxa"/>
        <w:jc w:val="left"/>
        <w:tblInd w:w="0" w:type="dxa"/>
        <w:shd w:fill="FFFFFF" w:val="clear"/>
        <w:tblCellMar>
          <w:top w:w="0" w:type="dxa"/>
          <w:left w:w="0" w:type="dxa"/>
          <w:bottom w:w="0" w:type="dxa"/>
          <w:right w:w="0" w:type="dxa"/>
        </w:tblCellMar>
      </w:tblPr>
      <w:tblGrid>
        <w:gridCol w:w="875"/>
        <w:gridCol w:w="2240"/>
      </w:tblGrid>
      <w:tr>
        <w:trPr/>
        <w:tc>
          <w:tcPr>
            <w:tcW w:w="875" w:type="dxa"/>
            <w:tcBorders/>
            <w:shd w:fill="FFFFFF" w:val="clear"/>
            <w:vAlign w:val="center"/>
          </w:tcPr>
          <w:p>
            <w:pPr>
              <w:pStyle w:val="TableContents"/>
              <w:spacing w:before="0" w:after="283"/>
              <w:rPr>
                <w:b/>
                <w:sz w:val="20"/>
              </w:rPr>
            </w:pPr>
            <w:r>
              <w:rPr>
                <w:b/>
                <w:sz w:val="20"/>
              </w:rPr>
              <w:t>Item 7.01.</w:t>
            </w:r>
          </w:p>
        </w:tc>
        <w:tc>
          <w:tcPr>
            <w:tcW w:w="2240" w:type="dxa"/>
            <w:tcBorders/>
            <w:shd w:fill="FFFFFF" w:val="clear"/>
            <w:vAlign w:val="center"/>
          </w:tcPr>
          <w:p>
            <w:pPr>
              <w:pStyle w:val="TableContents"/>
              <w:spacing w:before="0" w:after="283"/>
              <w:jc w:val="both"/>
              <w:rPr>
                <w:b/>
                <w:sz w:val="20"/>
              </w:rPr>
            </w:pPr>
            <w:r>
              <w:rPr>
                <w:b/>
                <w:sz w:val="20"/>
              </w:rPr>
              <w:t>Regulation FD Disclosure.</w:t>
            </w:r>
          </w:p>
        </w:tc>
      </w:tr>
    </w:tbl>
    <w:p>
      <w:pPr>
        <w:pStyle w:val="TextBody"/>
        <w:shd w:fill="FFFFFF" w:val="clear"/>
        <w:rPr>
          <w:caps w:val="false"/>
          <w:smallCaps w:val="false"/>
        </w:rPr>
      </w:pPr>
      <w:r>
        <w:rPr>
          <w:caps w:val="false"/>
          <w:smallCaps w:val="false"/>
        </w:rPr>
        <w:t> </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2023, the Company issued a press release (the “April 19 Release”) announcing that it had reduced the exercise price for warrants issued in its December 2022 public offering (the “December 2022 Warrants”) to $0.1725 and had entered into agreements with certain holders of the December 2022 Warrants to exercise such warrants for gross proceeds of up to $1.84 million (the “Warrant Inducement”).</w:t>
      </w:r>
    </w:p>
    <w:p>
      <w:pPr>
        <w:pStyle w:val="TextBody"/>
        <w:shd w:fill="FFFFFF" w:val="clear"/>
        <w:rPr>
          <w:caps w:val="false"/>
          <w:smallCaps w:val="false"/>
        </w:rPr>
      </w:pPr>
      <w:r>
        <w:rPr>
          <w:caps w:val="false"/>
          <w:smallCaps w:val="false"/>
        </w:rPr>
        <w:t> </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the Company issued a press release (the “April 24 Release”) announcing that it would not consummate the Warrant Inducement. Copies of the April 19 Release and the April 24 Release are furnished as Exhibits 99.1 and 99.2, respectively, to this Current Report on Form 8-K and are incorporated herein by reference.</w:t>
      </w:r>
    </w:p>
    <w:p>
      <w:pPr>
        <w:pStyle w:val="TextBody"/>
        <w:shd w:fill="FFFFFF" w:val="clear"/>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information furnished herein, including Exhibits 99.1 and 99.2,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 </w:t>
      </w:r>
    </w:p>
    <w:p>
      <w:pPr>
        <w:pStyle w:val="TextBody"/>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875"/>
        <w:gridCol w:w="2960"/>
      </w:tblGrid>
      <w:tr>
        <w:trPr/>
        <w:tc>
          <w:tcPr>
            <w:tcW w:w="875" w:type="dxa"/>
            <w:tcBorders/>
            <w:shd w:fill="auto" w:val="clear"/>
            <w:vAlign w:val="center"/>
          </w:tcPr>
          <w:p>
            <w:pPr>
              <w:pStyle w:val="TableContents"/>
              <w:spacing w:before="0" w:after="283"/>
              <w:rPr>
                <w:b/>
                <w:sz w:val="20"/>
              </w:rPr>
            </w:pPr>
            <w:r>
              <w:rPr>
                <w:b/>
                <w:sz w:val="20"/>
              </w:rPr>
              <w:t>Item 9.01.</w:t>
            </w:r>
          </w:p>
        </w:tc>
        <w:tc>
          <w:tcPr>
            <w:tcW w:w="2960" w:type="dxa"/>
            <w:tcBorders/>
            <w:shd w:fill="auto" w:val="clear"/>
            <w:vAlign w:val="center"/>
          </w:tcPr>
          <w:p>
            <w:pPr>
              <w:pStyle w:val="TableContents"/>
              <w:spacing w:before="0" w:after="283"/>
              <w:jc w:val="both"/>
              <w:rPr>
                <w:b/>
                <w:sz w:val="20"/>
              </w:rPr>
            </w:pPr>
            <w:r>
              <w:rPr>
                <w:b/>
                <w:sz w:val="20"/>
              </w:rPr>
              <w:t>Financial Statements and Exhibits.</w:t>
            </w:r>
          </w:p>
        </w:tc>
      </w:tr>
    </w:tbl>
    <w:p>
      <w:pPr>
        <w:pStyle w:val="TextBody"/>
        <w:rPr>
          <w:caps w:val="false"/>
          <w:smallCaps w:val="false"/>
        </w:rPr>
      </w:pPr>
      <w:r>
        <w:rPr>
          <w:caps w:val="false"/>
          <w:smallCaps w:val="false"/>
        </w:rPr>
        <w:t> </w:t>
      </w:r>
    </w:p>
    <w:tbl>
      <w:tblPr>
        <w:tblW w:w="1090" w:type="dxa"/>
        <w:jc w:val="left"/>
        <w:tblInd w:w="0" w:type="dxa"/>
        <w:tblCellMar>
          <w:top w:w="0" w:type="dxa"/>
          <w:left w:w="0" w:type="dxa"/>
          <w:bottom w:w="0" w:type="dxa"/>
          <w:right w:w="0" w:type="dxa"/>
        </w:tblCellMar>
      </w:tblPr>
      <w:tblGrid>
        <w:gridCol w:w="75"/>
        <w:gridCol w:w="245"/>
        <w:gridCol w:w="770"/>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sz w:val="20"/>
              </w:rPr>
            </w:pPr>
            <w:r>
              <w:rPr>
                <w:sz w:val="20"/>
              </w:rPr>
              <w:t>(d)</w:t>
            </w:r>
          </w:p>
        </w:tc>
        <w:tc>
          <w:tcPr>
            <w:tcW w:w="770" w:type="dxa"/>
            <w:tcBorders/>
            <w:shd w:fill="auto" w:val="clear"/>
            <w:vAlign w:val="center"/>
          </w:tcPr>
          <w:p>
            <w:pPr>
              <w:pStyle w:val="TableContents"/>
              <w:spacing w:before="0" w:after="283"/>
              <w:jc w:val="both"/>
              <w:rPr>
                <w:sz w:val="20"/>
              </w:rPr>
            </w:pPr>
            <w:r>
              <w:rPr>
                <w:sz w:val="20"/>
              </w:rPr>
              <w:t>Exhibits.</w:t>
            </w:r>
          </w:p>
        </w:tc>
      </w:tr>
    </w:tbl>
    <w:p>
      <w:pPr>
        <w:pStyle w:val="TextBody"/>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75"/>
        <w:gridCol w:w="380"/>
        <w:gridCol w:w="6530"/>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sz w:val="20"/>
              </w:rPr>
            </w:pPr>
            <w:r>
              <w:rPr>
                <w:sz w:val="20"/>
              </w:rPr>
              <w:t>99.1</w:t>
            </w:r>
          </w:p>
        </w:tc>
        <w:tc>
          <w:tcPr>
            <w:tcW w:w="6530" w:type="dxa"/>
            <w:tcBorders/>
            <w:shd w:fill="auto" w:val="clear"/>
            <w:vAlign w:val="center"/>
          </w:tcPr>
          <w:p>
            <w:pPr>
              <w:pStyle w:val="TableContents"/>
              <w:spacing w:before="0" w:after="283"/>
              <w:jc w:val="both"/>
              <w:rPr/>
            </w:pPr>
            <w:hyperlink w:anchor="ea177378ex99-1_agrify.htm">
              <w:r>
                <w:rPr>
                  <w:rStyle w:val="InternetLink"/>
                  <w:sz w:val="20"/>
                  <w:highlight w:val="white"/>
                </w:rPr>
                <w:t>Press Release of the Company, dated as of April 19, 2023</w:t>
              </w:r>
            </w:hyperlink>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sz w:val="20"/>
              </w:rPr>
            </w:pPr>
            <w:r>
              <w:rPr>
                <w:sz w:val="20"/>
              </w:rPr>
              <w:t>99.2</w:t>
            </w:r>
          </w:p>
        </w:tc>
        <w:tc>
          <w:tcPr>
            <w:tcW w:w="6530" w:type="dxa"/>
            <w:tcBorders/>
            <w:shd w:fill="auto" w:val="clear"/>
            <w:vAlign w:val="center"/>
          </w:tcPr>
          <w:p>
            <w:pPr>
              <w:pStyle w:val="TableContents"/>
              <w:spacing w:before="0" w:after="283"/>
              <w:jc w:val="both"/>
              <w:rPr/>
            </w:pPr>
            <w:hyperlink w:anchor="ea177378ex99-2_agrify.htm">
              <w:r>
                <w:rPr>
                  <w:rStyle w:val="InternetLink"/>
                  <w:sz w:val="20"/>
                  <w:highlight w:val="white"/>
                </w:rPr>
                <w:t>Press Release of the Company, dated as of April 24, 2023</w:t>
              </w:r>
            </w:hyperlink>
          </w:p>
        </w:tc>
      </w:tr>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sz w:val="20"/>
              </w:rPr>
            </w:pPr>
            <w:r>
              <w:rPr>
                <w:sz w:val="20"/>
              </w:rPr>
              <w:t>104</w:t>
            </w:r>
          </w:p>
        </w:tc>
        <w:tc>
          <w:tcPr>
            <w:tcW w:w="6530" w:type="dxa"/>
            <w:tcBorders/>
            <w:shd w:fill="auto" w:val="clear"/>
            <w:vAlign w:val="center"/>
          </w:tcPr>
          <w:p>
            <w:pPr>
              <w:pStyle w:val="TableContents"/>
              <w:spacing w:before="0" w:after="283"/>
              <w:jc w:val="both"/>
              <w:rPr>
                <w:sz w:val="20"/>
                <w:highlight w:val="white"/>
              </w:rPr>
            </w:pPr>
            <w:r>
              <w:rPr>
                <w:sz w:val="20"/>
                <w:highlight w:val="white"/>
              </w:rPr>
              <w:t>Cover Page Interactive Data File (embedded within the Inline XBRL document).</w:t>
            </w:r>
          </w:p>
        </w:tc>
      </w:tr>
    </w:tbl>
    <w:p>
      <w:pPr>
        <w:pStyle w:val="TextBody"/>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jc w:val="both"/>
        <w:rPr>
          <w:caps w:val="false"/>
          <w:smallCaps w:val="false"/>
        </w:rPr>
      </w:pPr>
      <w:r>
        <w:rPr>
          <w:caps w:val="false"/>
          <w:smallCaps w:val="false"/>
        </w:rPr>
        <w:t> </w:t>
      </w:r>
    </w:p>
    <w:p>
      <w:pPr>
        <w:pStyle w:val="TextBody"/>
        <w:jc w:val="center"/>
        <w:rPr>
          <w:caps w:val="false"/>
          <w:smallCaps w:val="false"/>
        </w:rPr>
      </w:pPr>
      <w:r>
        <w:rPr>
          <w:caps w:val="false"/>
          <w:smallCaps w:val="false"/>
        </w:rPr>
        <w:t> </w:t>
      </w:r>
    </w:p>
    <w:tbl>
      <w:tblPr>
        <w:tblW w:w="2545" w:type="dxa"/>
        <w:jc w:val="left"/>
        <w:tblInd w:w="0" w:type="dxa"/>
        <w:tblCellMar>
          <w:top w:w="0" w:type="dxa"/>
          <w:left w:w="0" w:type="dxa"/>
          <w:bottom w:w="0" w:type="dxa"/>
          <w:right w:w="0" w:type="dxa"/>
        </w:tblCellMar>
      </w:tblPr>
      <w:tblGrid>
        <w:gridCol w:w="75"/>
        <w:gridCol w:w="320"/>
        <w:gridCol w:w="2150"/>
      </w:tblGrid>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b/>
                <w:sz w:val="20"/>
              </w:rPr>
            </w:pPr>
            <w:r>
              <w:rPr>
                <w:b/>
                <w:sz w:val="20"/>
              </w:rPr>
              <w:t>AGRIFY CORPORATION</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15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Raymond Nobu Chang</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sz w:val="20"/>
              </w:rPr>
            </w:pPr>
            <w:r>
              <w:rPr>
                <w:sz w:val="20"/>
              </w:rPr>
              <w:t>Chief Executive Officer</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0" w:type="dxa"/>
            <w:tcBorders/>
            <w:shd w:fill="auto" w:val="clear"/>
            <w:vAlign w:val="center"/>
          </w:tcPr>
          <w:p>
            <w:pPr>
              <w:pStyle w:val="TableContents"/>
              <w:spacing w:before="0" w:after="283"/>
              <w:rPr/>
            </w:pPr>
            <w:r>
              <w:rPr/>
              <w:t>Date: April 24, 2023</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70" w:type="dxa"/>
            <w:gridSpan w:val="2"/>
            <w:tcBorders/>
            <w:shd w:fill="auto" w:val="clear"/>
            <w:vAlign w:val="center"/>
          </w:tcPr>
          <w:p>
            <w:pPr>
              <w:pStyle w:val="TableContents"/>
              <w:spacing w:before="0" w:after="283"/>
              <w:rPr/>
            </w:pPr>
            <w:r>
              <w:rPr/>
              <w:t> </w:t>
            </w:r>
          </w:p>
        </w:tc>
      </w:tr>
    </w:tbl>
    <w:p>
      <w:pPr>
        <w:pStyle w:val="TextBody"/>
        <w:spacing w:before="100" w:after="100"/>
        <w:ind w:left="100" w:right="10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r>
        <w:br w:type="page"/>
      </w:r>
    </w:p>
    <w:p>
      <w:pPr>
        <w:pStyle w:val="TextBody"/>
        <w:jc w:val="right"/>
        <w:rPr>
          <w:b/>
        </w:rPr>
      </w:pPr>
      <w:bookmarkStart w:id="24" w:name="ea177378ex99-1_agrify.htm"/>
      <w:bookmarkStart w:id="25" w:name="ksea177378ex991_agrify"/>
      <w:bookmarkEnd w:id="24"/>
      <w:bookmarkEnd w:id="25"/>
      <w:r>
        <w:rPr>
          <w:b/>
        </w:rPr>
        <w:t>Exhibit 99.1</w:t>
      </w:r>
    </w:p>
    <w:p>
      <w:pPr>
        <w:pStyle w:val="TextBody"/>
        <w:shd w:fill="FFFFFF" w:val="clear"/>
        <w:spacing w:before="0" w:after="225"/>
        <w:jc w:val="center"/>
        <w:rPr>
          <w:caps w:val="false"/>
          <w:smallCaps w:val="false"/>
        </w:rPr>
      </w:pPr>
      <w:r>
        <w:rPr>
          <w:caps w:val="false"/>
          <w:smallCaps w:val="false"/>
        </w:rPr>
        <w:t> </w:t>
      </w:r>
    </w:p>
    <w:p>
      <w:pPr>
        <w:pStyle w:val="TextBody"/>
        <w:shd w:fill="FFFFFF" w:val="clear"/>
        <w:spacing w:before="0" w:after="22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 Enters Into Agreements to Raise up to $1.84 Million From the Exercise of Previously Issued Common Stock Warrants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Mass., April 19, 2023 (GLOBE NEWSWIRE) -- Agrify Corporation (Nasdaq: AGFY) (“Agrify” or the “Company”), a leading provider of innovative cultivation and extraction solutions for the cannabis industry, today announced it has entered into warrant inducement letters to raise up to $1.84 million in gross proceeds from the exercise of 10,651,430 common stock warrants issued in the Company’s public offering from December, 2022, or the Existing Warrants.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2023, the Company reduced the exercise price of all the Existing Warrants from $0.65 per share to $0.1725 per share. On such date, Agrify also entered into warrant inducement offer letters with certain investors pursuant to which the investors’ may exercise 10,651,430 Existing Warrants at the reduced exercise price of $0.1725, and the Company will issue to such investors new warrants to purchase 200% of the shares exercised pursuant to the Existing Warrants from April 18, 2023 to 9:00am on April 21, 2023. Such new warrants will become exercisable six months after issuance, have an exercise price of $0.1725 and a five (5) year term from their initial exercise date, which will, among other things, be reduced to the extent the Company issues securities for a lower purchase price, subject to certain exceptions and substantially consistent with the equivalent term in the Existing Warrants. Additionally, if the exercise of the Existing Warrants by the warrantholder would cause the warrantholder to exceed the beneficial ownership limitation in the warrant agreement for the Existing Warrants, the Company will, among other things, only issue such number of Existing Warrants to the warrantholder that would not cause the warrantholder to exceed the maximum number of shares of common stock permitted, with the balance to be held in abeyance until such shares can be delivered to the holder within such beneficial ownership limitations. If all are exercised, the exercise of the 10,651,430 Existing Warrants is expected to result in gross proceeds to the Company of $1.84 million.</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the solicitation of an offer to buy any securities in the offering. There shall not be any sale of the securities described herein in any state or jurisdiction in which such offering, sale, or solicitation would be unlawful prior to registration or qualification under the securities laws of any such state or jurisdiction.</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Agrify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(Nasdaq: AGFY)</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Statements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close the warrant inducement transaction on a timely basis and the expected proceeds thereof, Agrify’s potential to be cash flow positive and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hd w:fill="FFFFFF" w:val="clear"/>
        <w:rPr>
          <w:caps w:val="false"/>
          <w:smallCaps w:val="false"/>
        </w:rPr>
      </w:pPr>
      <w:r>
        <w:rPr>
          <w:caps w:val="false"/>
          <w:smallCaps w:val="false"/>
        </w:rPr>
        <w:t> </w:t>
      </w:r>
    </w:p>
    <w:p>
      <w:pPr>
        <w:pStyle w:val="TextBody"/>
        <w:shd w:fill="FFFFFF" w:val="clea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 Inquiries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Caitlin Moakley Bricker</w:t>
        <w:br/>
        <w:t>Chief of Staff </w:t>
        <w:br/>
        <w:t>caitlin.moakley@agrify.com</w:t>
        <w:br/>
        <w:t>(617) 733-0584</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Inquiries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Soulsby</w:t>
        <w:br/>
        <w:t>Vice President of Marketing</w:t>
        <w:br/>
        <w:t>rachel.soulsby@agrify.com</w:t>
        <w:br/>
        <w:t>(978) 660-9125</w:t>
      </w:r>
    </w:p>
    <w:p>
      <w:pPr>
        <w:pStyle w:val="TextBody"/>
        <w:spacing w:before="0" w:after="0"/>
        <w:ind w:left="0" w:right="0" w:hanging="0"/>
        <w:rPr>
          <w:bdr w:val="single" w:sz="12" w:space="1" w:color="000000"/>
        </w:rPr>
      </w:pPr>
      <w:r>
        <w:rPr>
          <w:bdr w:val="single" w:sz="12" w:space="1" w:color="000000"/>
        </w:rPr>
        <w:t> </w:t>
      </w:r>
    </w:p>
    <w:p>
      <w:pPr>
        <w:pStyle w:val="TextBody"/>
        <w:shd w:fill="FFFFFF" w:val="clear"/>
        <w:rPr>
          <w:caps w:val="false"/>
          <w:smallCaps w:val="false"/>
        </w:rPr>
      </w:pPr>
      <w:r>
        <w:rPr>
          <w:caps w:val="false"/>
          <w:smallCaps w:val="false"/>
        </w:rPr>
        <w:t> </w:t>
      </w:r>
      <w:r>
        <w:br w:type="page"/>
      </w:r>
    </w:p>
    <w:p>
      <w:pPr>
        <w:pStyle w:val="TextBody"/>
        <w:jc w:val="right"/>
        <w:rPr>
          <w:b/>
        </w:rPr>
      </w:pPr>
      <w:bookmarkStart w:id="26" w:name="ea177378ex99-2_agrify.htm"/>
      <w:bookmarkStart w:id="27" w:name="ksea177378ex992_agrify"/>
      <w:bookmarkEnd w:id="26"/>
      <w:bookmarkEnd w:id="27"/>
      <w:r>
        <w:rPr>
          <w:b/>
        </w:rPr>
        <w:t>Exhibit 99.2</w:t>
      </w:r>
    </w:p>
    <w:p>
      <w:pPr>
        <w:pStyle w:val="TextBody"/>
        <w:rPr/>
      </w:pPr>
      <w:r>
        <w:rPr/>
        <w:t> </w:t>
      </w:r>
    </w:p>
    <w:p>
      <w:pPr>
        <w:pStyle w:val="TextBody"/>
        <w:shd w:fill="FFFFFF" w:val="clear"/>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 Announces Termination of Warrant Inducement Transaction</w:t>
      </w:r>
    </w:p>
    <w:p>
      <w:pPr>
        <w:pStyle w:val="TextBody"/>
        <w:shd w:fill="FFFFFF" w:val="clear"/>
        <w:spacing w:before="0" w:after="3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Mass., April 24, 2023 (GLOBE NEWSWIRE) -- Agrify Corporation (Nasdaq: AGFY) (“Agrify” or the “Company”), a leading provider of innovative cultivation and extraction solutions for the cannabis industry, today announced that it will not consummate the warrant inducement transaction that Agrify had previously announced on April 19, 2023, which, if completed, would have resulted in gross proceeds of up to $1.84 million and the issuance of approximately 21.3 million new warrants to exercising warrant holders.</w:t>
      </w:r>
    </w:p>
    <w:p>
      <w:pPr>
        <w:pStyle w:val="TextBody"/>
        <w:shd w:fill="FFFFFF" w:val="clear"/>
        <w:spacing w:before="0" w:after="30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determined that the transaction would not be in the best interests of its stockholders due, in part, to limitations on Agrify’s ability to use its shelf registration statement. The reduction in the exercise price of warrants issued in Agrify’s December 2022 public offering to $0.1725 per share will remain effective in accordance with the terms of the warrants. Agrify intends to explore alternative options for raising capital.</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Agrify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(Nasdaq: AGFY)</w:t>
      </w:r>
    </w:p>
    <w:p>
      <w:pPr>
        <w:pStyle w:val="TextBody"/>
        <w:rPr>
          <w:caps w:val="false"/>
          <w:smallCaps w:val="false"/>
        </w:rPr>
      </w:pPr>
      <w:r>
        <w:rPr>
          <w:caps w:val="false"/>
          <w:smallCaps w:val="false"/>
        </w:rPr>
        <w:t> </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Statements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Agrify’s ability to consummate alternative financing transactions.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shd w:fill="FFFFFF" w:val="clea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Relations Inquiries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Caitlin Moakley Bricker</w:t>
        <w:br/>
        <w:t>Chief of Staff </w:t>
        <w:br/>
        <w:t>caitlin.moakley@agrify.com</w:t>
        <w:br/>
        <w:t>(617) 733-0584</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Inquiries</w:t>
      </w:r>
    </w:p>
    <w:p>
      <w:pPr>
        <w:pStyle w:val="TextBody"/>
        <w:shd w:fill="FFFFFF" w:val="clea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Soulsby</w:t>
        <w:br/>
        <w:t>Vice President of Marketing</w:t>
        <w:br/>
        <w:t>rachel.soulsby@agrify.com</w:t>
        <w:br/>
        <w:t>(978) 660-9125</w:t>
      </w:r>
    </w:p>
    <w:p>
      <w:pPr>
        <w:pStyle w:val="TextBody"/>
        <w:spacing w:before="0" w:after="0"/>
        <w:ind w:left="0" w:right="0" w:hanging="0"/>
        <w:rPr>
          <w:bdr w:val="single" w:sz="12" w:space="1" w:color="000000"/>
        </w:rPr>
      </w:pPr>
      <w:r>
        <w:rPr>
          <w:bdr w:val="single" w:sz="12" w:space="1" w:color="000000"/>
        </w:rPr>
        <w:t> </w:t>
      </w:r>
    </w:p>
    <w:p>
      <w:pPr>
        <w:pStyle w:val="TextBody"/>
        <w:shd w:fill="FFFFFF" w:val="clear"/>
        <w:spacing w:before="0" w:after="283"/>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2008</Words>
  <CharactersWithSpaces>13714</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