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333-265093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5410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6,881,108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possible resale, from time to time, by the selling stockholder identified in this prospectus of up to 6,881,108 shares of our common stock, par value $0.001 per share (the “Common Stock”) underlying common stock purchase warrants issued in a private placement on March 23, 2022.</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 may offer the shares from time to time as such selling stockholder may determine through public or private transactions or through other means described in the section entitled “Plan of Distribution” or a supplement to this prospectus. The selling stockholder may also sell shares under Rule 144 under the Securities Act of 1933, as amended, if available, rather than under this prospectus.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these shares does not necessarily mean that any holder will sell any of its shares or exercise its warrants. We are not offering for sale any shares of our Common Stock pursuant to this prospectus. We will not receive any proceeds from the sale of these shares. We will, however, receive cash proceeds equal to the total exercise price of warrants that are exercised for cash.</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June 3, 2022, the closing price for our Common Stock, as reported on The Nasdaq Capital Market, was $2.48 per share.</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8, and under similar headings in the other documents that are incorporated by reference into this prospectus.</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pursuant to which the selling stockholder named herein may, from time to time, offer and sell or otherwise dispose of the securities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including the Information Incorporated by Reference herein, in making your investment decision. You should also read and consider the information in the documents to which we have referred you under the captions “Where You Can Find More Information” and “Incorporation of Information by Reference” in this prospectus.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 have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33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633920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3"/>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9" w:lineRule="exact"/>
        <w:rPr>
          <w:sz w:val="20"/>
          <w:szCs w:val="20"/>
          <w:color w:val="auto"/>
        </w:rPr>
      </w:pPr>
    </w:p>
    <w:p>
      <w:pPr>
        <w:ind w:left="660" w:hanging="320"/>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growing rows. Our design introduces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print while offering superior risk mitigation via individual compartmentalized cultivation chambers.</w:t>
      </w:r>
    </w:p>
    <w:p>
      <w:pPr>
        <w:spacing w:after="0" w:line="154"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4" w:name="page5"/>
    <w:bookmarkEnd w:id="4"/>
    <w:p>
      <w:pPr>
        <w:ind w:left="660" w:hanging="320"/>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064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Modular Scalability</w:t>
      </w:r>
      <w:r>
        <w:rPr>
          <w:rFonts w:ascii="Times New Roman" w:cs="Times New Roman" w:eastAsia="Times New Roman" w:hAnsi="Times New Roman"/>
          <w:sz w:val="18"/>
          <w:szCs w:val="18"/>
          <w:color w:val="auto"/>
        </w:rPr>
        <w:t>. The VFU is designed with proper loading to stack up to 3 units tall, sextupling production volume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Each unit is designed to easily integrate with a mezzanine catwalk system.</w:t>
      </w:r>
    </w:p>
    <w:p>
      <w:pPr>
        <w:spacing w:after="0" w:line="154" w:lineRule="exact"/>
        <w:rPr>
          <w:rFonts w:ascii="Times New Roman" w:cs="Times New Roman" w:eastAsia="Times New Roman" w:hAnsi="Times New Roman"/>
          <w:sz w:val="18"/>
          <w:szCs w:val="18"/>
          <w:color w:val="auto"/>
        </w:rPr>
      </w:pPr>
    </w:p>
    <w:p>
      <w:pPr>
        <w:jc w:val="both"/>
        <w:ind w:left="660" w:hanging="320"/>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VFU has a motorized curtain on both sides of the unit that enclose the grow area to prevent light-leak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76"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VFU’s working area is 8 feet tall, allowing easy access to both rows of plants within the unit. As the motorized curtains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Examples of VFU infrastructure versus traditional grows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 w:name="page6"/>
    <w:bookmarkEnd w:id="5"/>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43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7436485"/>
                    </a:xfrm>
                    <a:prstGeom prst="rect">
                      <a:avLst/>
                    </a:prstGeom>
                    <a:noFill/>
                  </pic:spPr>
                </pic:pic>
              </a:graphicData>
            </a:graphic>
          </wp:anchor>
        </w:drawing>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Agrify Insights software is focused around optimizing four key components:</w:t>
      </w:r>
    </w:p>
    <w:p>
      <w:pPr>
        <w:spacing w:after="0" w:line="225" w:lineRule="exact"/>
        <w:rPr>
          <w:sz w:val="20"/>
          <w:szCs w:val="20"/>
          <w:color w:val="auto"/>
        </w:rPr>
      </w:pPr>
    </w:p>
    <w:p>
      <w:pPr>
        <w:ind w:left="660" w:hanging="32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20"/>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58" w:lineRule="exact"/>
        <w:rPr>
          <w:sz w:val="20"/>
          <w:szCs w:val="20"/>
          <w:color w:val="auto"/>
        </w:rPr>
      </w:pPr>
    </w:p>
    <w:p>
      <w:pPr>
        <w:ind w:left="660" w:right="20" w:hanging="320"/>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software can either automatically or manually control our hardware.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water-chilled fan coil can keep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right="20" w:hanging="320"/>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software, users can view environmental charts that plot temperature, humidity,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3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025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7025005"/>
                    </a:xfrm>
                    <a:prstGeom prst="rect">
                      <a:avLst/>
                    </a:prstGeom>
                    <a:noFill/>
                  </pic:spPr>
                </pic:pic>
              </a:graphicData>
            </a:graphic>
          </wp:anchor>
        </w:drawing>
        <w:t>Facility Level Optimization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58" w:lineRule="exact"/>
        <w:rPr>
          <w:sz w:val="20"/>
          <w:szCs w:val="20"/>
          <w:color w:val="auto"/>
        </w:rPr>
      </w:pPr>
    </w:p>
    <w:p>
      <w:pPr>
        <w:jc w:val="both"/>
        <w:ind w:left="660" w:hanging="320"/>
        <w:spacing w:after="0" w:line="26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software includes a workforce planning feature to assign tasks to staff. These tasks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assigned based on user role or their knowledge, skills, and abilities. The calendar displays the estimated amount of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20"/>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 software.</w:t>
      </w:r>
    </w:p>
    <w:p>
      <w:pPr>
        <w:spacing w:after="0" w:line="154" w:lineRule="exact"/>
        <w:rPr>
          <w:rFonts w:ascii="Times New Roman" w:cs="Times New Roman" w:eastAsia="Times New Roman" w:hAnsi="Times New Roman"/>
          <w:sz w:val="18"/>
          <w:szCs w:val="18"/>
          <w:color w:val="auto"/>
        </w:rPr>
      </w:pPr>
    </w:p>
    <w:p>
      <w:pPr>
        <w:ind w:left="660" w:hanging="320"/>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software controls the irrigation on a facility level as well as connects with the water chilled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HVAC system and ambient lighting system, providing our customers a central piece of software for facility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20"/>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software hosts digital copies of our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20"/>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76"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Collection</w:t>
      </w:r>
      <w:r>
        <w:rPr>
          <w:rFonts w:ascii="Times New Roman" w:cs="Times New Roman" w:eastAsia="Times New Roman" w:hAnsi="Times New Roman"/>
          <w:sz w:val="18"/>
          <w:szCs w:val="18"/>
          <w:color w:val="auto"/>
        </w:rPr>
        <w:t>. Agrify Insights software is a centralized repository for all data relating to the cultivation aspects of our clients’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research and development testing data, and the ability to capture and compare test results. By doing so, Agrify Insights software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hanging="320"/>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CO2, and growing media as well as potential volatility in yields and pricing.</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9" w:right="439" w:bottom="1440" w:gutter="0" w:footer="0" w:header="0"/>
        </w:sectPr>
      </w:pPr>
    </w:p>
    <w:bookmarkStart w:id="7" w:name="page8"/>
    <w:bookmarkEnd w:id="7"/>
    <w:p>
      <w:pPr>
        <w:ind w:left="660" w:right="20" w:hanging="320"/>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613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6613525"/>
                    </a:xfrm>
                    <a:prstGeom prst="rect">
                      <a:avLst/>
                    </a:prstGeom>
                    <a:noFill/>
                  </pic:spPr>
                </pic:pic>
              </a:graphicData>
            </a:graphic>
          </wp:anchor>
        </w:drawing>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tracking solution, which will enable our customers to handle most regulatory reporting directly through Agrify Insights software.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right="20" w:hanging="320"/>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20"/>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20"/>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20"/>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7573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7573645"/>
                    </a:xfrm>
                    <a:prstGeom prst="rect">
                      <a:avLst/>
                    </a:prstGeom>
                    <a:noFill/>
                  </pic:spPr>
                </pic:pic>
              </a:graphicData>
            </a:graphic>
          </wp:anchor>
        </w:drawing>
        <w:t>Facility Design &amp; Building Services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the selling stockholder, pursuant to which, among other things, we agreed to issue and sell to the selling stockholder, in a private placement transaction (the “Private Placement”), in exchange for the payment by the selling stockholder of $65,000,000, less applicable expenses as set forth in the Securities Purchase Agreement, (i) a senior secured promissory note in an aggregate principal amount of $65,000,000 (the “Note”), and (ii) warrants to purchase up to an aggregate of 6,881,108 shares of Common Stock. The Private Placement closed on March 23, 2022.</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 is a senior secured obligation and ranks senior to all of our other indebtedness. We will be required to make amortization payments equal to 4.0% of the original principal amount of the Note on the first day of each calendar month starting on February 1, 2023 and extending through the maturity date of March 1, 2026 (the “Maturity Date”), at which time all remaining outstanding principal and accrued but unpaid interest will be due. The Note has a stated interest rate of 6.75% per annum, and we will be required to pay interest on March 1, June 1, September 1 and December 1 of each calendar year through and including the Maturity Date. Following the one-year anniversary of the Note’s issuance, we may, in lieu of paying interest in cash, pay such interest in kind, in which case interest on the Note will be calculated at the rate of 8.75% per annum and will be added to the principal amount of the Note. At any time following the one-year anniversary of the Note’s issuance, we may prepay all (but not less than all) of the Note by redemption at a price equal to 106.75% of the then-outstanding principal amount under the Note plus accrued but unpaid interest. The selling stockholder also has the option of requiring us to redeem the Note if we undergo a fundamental change at a price equal to 107% of the then-outstanding principal amount under the Note plus any accrued interest thereon.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warrant has an exercise price of $6.75 per share, subject to adjustment for stock splits, reverse stock splits, stock dividends and similar transactions, is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warrants will also be exercisable on a cashless exercise basis at the selling stockholder’s election. The warrants provide that in no event will the number of shares of Common Stock issued upon exercise of the warrants result in the selling stockholder’s beneficial ownership exceeding 4.99% of our shares outstanding at the time of exercise (which percentage may be decreased or increased by the selling stockholder, but to no greater than 9.99%, and provided that any increase above 4.99% will not be effective until the sixty-first (61st) day after notice of such request by the Investor to increase its beneficial ownership limit has been delivered to us).</w:t>
      </w:r>
    </w:p>
    <w:p>
      <w:pPr>
        <w:spacing w:after="0" w:line="1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warrants and the shares of Common Stock issuable upon the exercise of the warrants issued in the Private Placement were, in each case,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 This prospectus relates to the resale of 6,881,108 shares of Common Stock underlying the common stock purchase warrants issued in the Private Placement.</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3184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3184525"/>
                    </a:xfrm>
                    <a:prstGeom prst="rect">
                      <a:avLst/>
                    </a:prstGeom>
                    <a:noFill/>
                  </pic:spPr>
                </pic:pic>
              </a:graphicData>
            </a:graphic>
          </wp:anchor>
        </w:drawing>
        <w:t>THE OFFERING</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We are registering for resale by the selling stockholder named herein an aggregate of 6,881,108 shares of our Common Stock as described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being offered:</w:t>
            </w: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6,881,108 shares of Common Stock underlying common stock purchase</w:t>
            </w: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warrants issued to the selling stockholder in the Private Placement.</w:t>
            </w:r>
          </w:p>
        </w:tc>
      </w:tr>
      <w:tr>
        <w:trPr>
          <w:trHeight w:val="414"/>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of shares of our Common Stock by the selling stockholder. We may</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receive proceeds upon any exercise for cash of outstanding warrants, in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which case such proceeds will be used for working capital and other</w:t>
            </w: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general corporate purposes. See “Use of Proceeds” on page 10.</w:t>
            </w:r>
          </w:p>
        </w:tc>
      </w:tr>
      <w:tr>
        <w:trPr>
          <w:trHeight w:val="414"/>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 for Common Stock:</w:t>
            </w: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symbol “AGFY.”  On June 3, 2022, the last reported sale price of our</w:t>
            </w: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Common Stock on The Nasdaq Capital Market was $2.48.</w:t>
            </w:r>
          </w:p>
        </w:tc>
      </w:tr>
      <w:tr>
        <w:trPr>
          <w:trHeight w:val="414"/>
        </w:trPr>
        <w:tc>
          <w:tcPr>
            <w:tcW w:w="20" w:type="dxa"/>
            <w:vAlign w:val="bottom"/>
          </w:tcPr>
          <w:p>
            <w:pPr>
              <w:spacing w:after="0"/>
              <w:rPr>
                <w:sz w:val="24"/>
                <w:szCs w:val="24"/>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This investment involves a high degree of risk. See the information</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contained in or incorporated by reference under “Risk Factors” beginning</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on page 8 of this prospectus and in the documents incorporated by</w:t>
            </w: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reference into this prospectus.</w:t>
            </w:r>
          </w:p>
        </w:tc>
      </w:tr>
      <w:tr>
        <w:trPr>
          <w:trHeight w:val="219"/>
        </w:trPr>
        <w:tc>
          <w:tcPr>
            <w:tcW w:w="2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4"/>
                <w:szCs w:val="24"/>
                <w:color w:val="auto"/>
              </w:rPr>
            </w:pPr>
          </w:p>
        </w:tc>
      </w:tr>
    </w:tbl>
    <w:p>
      <w:pPr>
        <w:sectPr>
          <w:pgSz w:w="11900" w:h="16838" w:orient="portrait"/>
          <w:cols w:equalWidth="0" w:num="1">
            <w:col w:w="11280"/>
          </w:cols>
          <w:pgMar w:left="320" w:top="927"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most recent annual report on Form 10-K which is on file with the SEC and is incorporated herein by reference and (ii) other documents we file with the SEC that are deemed incorporated by reference into this prospectus.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receive no proceeds from the sale of shares of Common Stock by the selling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Common Stock covered by this prospectus are issuable upon exercise of warrants issued to the selling stockholder. The exercise price of the outstanding warrants is $6.75 per share. The exercise price and number of shares of Common Stock issuable upon exercise of the warrants may be adjusted in certain circumstances, including stock splits or dividends, mergers, or reclassifications or similar events. Upon any exercise of outstanding warrants, the selling stockholder will pay us the exercise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we receive proceeds from the cash exercise of outstanding warrants, we intend to use the proceeds for working capital and other general corporate purposes.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stockholder are those issuable to the selling stockholder upon exercise of the warrants issued in the Private Placement. For additional information regarding the issuances of those warrants, see “Prospectus Summary—Private Placement” above. We are registering the shares of Common Stock in order to permit the selling stockholder to offer the shares for resale from time to time. Except for the ownership of the warrants and except as disclosed herein, the selling stockholder has not had any material relationship with us within the past three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warrants, as of June 3, 2022, assuming exercise of the warrants held by the selling stockholder on that date, without regard to any limitations on exercises.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generally covers the resale of the number of shares of Common Stock issuable upon exercise of the warrants, determined as if the outstanding warrants were exercised in full as of the trading day immediately preceding the date this registration statement was initially filed with the SEC, each as of the trading day immediately preceding the applicable date of determination, without regard to any limitations on the exercise of the warrants. The fourth column assumes the sale of all of the shares offered by the selling stockholder pursuant to this prospectus.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warrants, the selling stockholder may not exercise the warrants to the extent such exercise would cause the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 may sell all, some or none of their shares in this offering. See “Plan of Distribution.”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of</w:t>
            </w:r>
          </w:p>
        </w:tc>
      </w:tr>
      <w:tr>
        <w:trPr>
          <w:trHeight w:val="216"/>
        </w:trPr>
        <w:tc>
          <w:tcPr>
            <w:tcW w:w="7020" w:type="dxa"/>
            <w:vAlign w:val="bottom"/>
          </w:tcPr>
          <w:p>
            <w:pPr>
              <w:spacing w:after="0"/>
              <w:rPr>
                <w:sz w:val="18"/>
                <w:szCs w:val="18"/>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45"/>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0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Offering</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00" w:type="dxa"/>
            <w:vAlign w:val="bottom"/>
          </w:tcPr>
          <w:p>
            <w:pPr>
              <w:spacing w:after="0"/>
              <w:rPr>
                <w:sz w:val="21"/>
                <w:szCs w:val="21"/>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Trail Special Situations LLC (1)</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6,881,108</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6,881,108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to purchase 6,881,108 shares of Common Stock, with the exercise thereof subject to the ownership limitations described herein. Hudson Bay Capital Management LP, the investment manager of High Trail Special Situations LLC, has voting and investment power over these securities. Sander Gerber is the managing member of Hudson Bay Capital GP LLC, which is the general partner of Hudson Bay Capital Management LP. Each of High Trail Special Situations LLC and Sander Gerber disclaims beneficial ownership over these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 (the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of 1933, as amended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the Company that it does not have any written or oral agreement or understanding, directly or indirectly, with any person to distribute the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agreed to keep this prospectus effective until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it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prices at which the shares of Common Stock covered by this prospectus may actually be sold will be determined by the prevailing public market price for shares of Common Stock, by negotiations between the Selling Stockholder and buyers of our Common Stock in private transactions or as otherwise described in “Plan of Distribution.”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26,591,438 shares of Common Stock outstanding, warrants outstanding to purchase 17,272,481 shares of our Common Stock and 3,350,717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Sherman &amp; Howard L.L.C., Las Vegas, Nevada.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our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under the Exchange Act. The SEC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38">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w:t>
      </w:r>
      <w:hyperlink r:id="rId3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October 5, 2021 (and the amendment thereto filed with the SEC on </w:t>
      </w:r>
      <w:hyperlink r:id="rId40">
        <w:r>
          <w:rPr>
            <w:rFonts w:ascii="Times New Roman" w:cs="Times New Roman" w:eastAsia="Times New Roman" w:hAnsi="Times New Roman"/>
            <w:sz w:val="18"/>
            <w:szCs w:val="18"/>
            <w:u w:val="single" w:color="auto"/>
            <w:color w:val="0000EE"/>
          </w:rPr>
          <w:t>December 17, 2021</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 xml:space="preserve">January 5, 2022, </w:t>
        </w:r>
      </w:hyperlink>
      <w:hyperlink r:id="rId42">
        <w:r>
          <w:rPr>
            <w:rFonts w:ascii="Times New Roman" w:cs="Times New Roman" w:eastAsia="Times New Roman" w:hAnsi="Times New Roman"/>
            <w:sz w:val="18"/>
            <w:szCs w:val="18"/>
            <w:u w:val="single" w:color="auto"/>
            <w:color w:val="0000EE"/>
          </w:rPr>
          <w:t xml:space="preserve">January 26, 2022, </w:t>
        </w:r>
      </w:hyperlink>
      <w:hyperlink r:id="rId43">
        <w:r>
          <w:rPr>
            <w:rFonts w:ascii="Times New Roman" w:cs="Times New Roman" w:eastAsia="Times New Roman" w:hAnsi="Times New Roman"/>
            <w:sz w:val="18"/>
            <w:szCs w:val="18"/>
            <w:u w:val="single" w:color="auto"/>
            <w:color w:val="0000EE"/>
          </w:rPr>
          <w:t xml:space="preserve">February 2, 2022, </w:t>
        </w:r>
      </w:hyperlink>
      <w:hyperlink r:id="rId44">
        <w:r>
          <w:rPr>
            <w:rFonts w:ascii="Times New Roman" w:cs="Times New Roman" w:eastAsia="Times New Roman" w:hAnsi="Times New Roman"/>
            <w:sz w:val="18"/>
            <w:szCs w:val="18"/>
            <w:u w:val="single" w:color="auto"/>
            <w:color w:val="0000EE"/>
          </w:rPr>
          <w:t xml:space="preserve">March 18,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April 12, 2022</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w:t>
      </w:r>
      <w:hyperlink r:id="rId46">
        <w:r>
          <w:rPr>
            <w:rFonts w:ascii="Times New Roman" w:cs="Times New Roman" w:eastAsia="Times New Roman" w:hAnsi="Times New Roman"/>
            <w:sz w:val="18"/>
            <w:szCs w:val="18"/>
            <w:u w:val="single" w:color="auto"/>
            <w:color w:val="0000EE"/>
          </w:rPr>
          <w:t>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1683385</wp:posOffset>
            </wp:positionV>
            <wp:extent cx="1054100" cy="788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6,881,108 Shares of Common Stock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1116965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jpeg"/><Relationship Id="rId49" Type="http://schemas.openxmlformats.org/officeDocument/2006/relationships/image" Target="media/image30.png"/><Relationship Id="rId35" Type="http://schemas.openxmlformats.org/officeDocument/2006/relationships/hyperlink" Target="http://www.sec.gov/ix?doc=/Archives/edgar/data/1800637/000121390022016936/f10k2021_agrifycorp.htm" TargetMode="External"/><Relationship Id="rId36" Type="http://schemas.openxmlformats.org/officeDocument/2006/relationships/hyperlink" Target="http://www.sec.gov/ix?doc=/Archives/edgar/data/1800637/000121390022027256/f10q0322_agrifycorp.htm" TargetMode="External"/><Relationship Id="rId37" Type="http://schemas.openxmlformats.org/officeDocument/2006/relationships/hyperlink" Target="http://www.sec.gov/Archives/edgar/data/1800637/000121390021019992/f10k2020_agrifycorporation.htm" TargetMode="External"/><Relationship Id="rId38" Type="http://schemas.openxmlformats.org/officeDocument/2006/relationships/hyperlink" Target="http://www.sec.gov/Archives/edgar/data/1800637/000121390022022512/def14a0422_agrify.htm" TargetMode="External"/><Relationship Id="rId39" Type="http://schemas.openxmlformats.org/officeDocument/2006/relationships/hyperlink" Target="https://www.sec.gov/ix?doc=/Archives/edgar/data/1800637/000101376221000191/ea148348-8k_agrifycorp.htm" TargetMode="External"/><Relationship Id="rId40" Type="http://schemas.openxmlformats.org/officeDocument/2006/relationships/hyperlink" Target="http://www.sec.gov/ix?doc=/Archives/edgar/data/1800637/000162828021025312/agfy-20210929.htm" TargetMode="External"/><Relationship Id="rId41" Type="http://schemas.openxmlformats.org/officeDocument/2006/relationships/hyperlink" Target="http://www.sec.gov/ix?doc=/Archives/edgar/data/1800637/000121390022000601/ea153490-8k_agrifycorp.htm" TargetMode="External"/><Relationship Id="rId42" Type="http://schemas.openxmlformats.org/officeDocument/2006/relationships/hyperlink" Target="http://www.sec.gov/ix?doc=/Archives/edgar/data/1800637/000121390022003773/ea154520-8k_agrifycorp.htm" TargetMode="External"/><Relationship Id="rId43" Type="http://schemas.openxmlformats.org/officeDocument/2006/relationships/hyperlink" Target="http://www.sec.gov/ix?doc=/Archives/edgar/data/1800637/000121390022004925/ea154783-8k_agrifycorp.htm" TargetMode="External"/><Relationship Id="rId44" Type="http://schemas.openxmlformats.org/officeDocument/2006/relationships/hyperlink" Target="http://www.sec.gov/ix?doc=/Archives/edgar/data/1800637/000121390022013613/ea157101-8k_agrifycorp.htm" TargetMode="External"/><Relationship Id="rId45" Type="http://schemas.openxmlformats.org/officeDocument/2006/relationships/hyperlink" Target="http://www.sec.gov/ix?doc=/Archives/edgar/data/1800637/000121390022019437/ea158347-8k_agrifycorp.htm" TargetMode="External"/><Relationship Id="rId46" Type="http://schemas.openxmlformats.org/officeDocument/2006/relationships/hyperlink" Target="http://www.sec.gov/Archives/edgar/data/1800637/000121390021004285/ea133941-8a12b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2022-06-03T15:45:23Z</dcterms:created>
  <dcterms:modified xsi:type="dcterms:W3CDTF">2022-06-03T15:45:23Z</dcterms:modified>
</cp:coreProperties>
</file>