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7047230" cy="4706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706620"/>
                    </a:xfrm>
                    <a:prstGeom prst="rect">
                      <a:avLst/>
                    </a:prstGeom>
                    <a:noFill/>
                  </pic:spPr>
                </pic:pic>
              </a:graphicData>
            </a:graphic>
          </wp:anchor>
        </w:drawing>
      </w:r>
    </w:p>
    <w:p>
      <w:pPr>
        <w:spacing w:after="0" w:line="1167"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2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Chan I-Tseng Jenny</w:t>
              </w:r>
            </w:hyperlink>
          </w:p>
        </w:tc>
        <w:tc>
          <w:tcPr>
            <w:tcW w:w="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Agrify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AGFY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0000EE"/>
            </w:tcBorders>
          </w:tcPr>
          <w:p>
            <w:pPr>
              <w:spacing w:after="0"/>
              <w:rPr>
                <w:sz w:val="6"/>
                <w:szCs w:val="6"/>
                <w:color w:val="auto"/>
              </w:rPr>
            </w:pPr>
          </w:p>
        </w:tc>
        <w:tc>
          <w:tcPr>
            <w:tcW w:w="2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620" w:type="dxa"/>
            <w:vAlign w:val="bottom"/>
            <w:tcBorders>
              <w:bottom w:val="single" w:sz="8" w:color="0000EE"/>
            </w:tcBorders>
            <w:gridSpan w:val="2"/>
            <w:vMerge w:val="continue"/>
          </w:tcPr>
          <w:p>
            <w:pPr>
              <w:spacing w:after="0"/>
              <w:rPr>
                <w:sz w:val="5"/>
                <w:szCs w:val="5"/>
                <w:color w:val="auto"/>
              </w:rPr>
            </w:pPr>
          </w:p>
        </w:tc>
        <w:tc>
          <w:tcPr>
            <w:tcW w:w="80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620" w:type="dxa"/>
            <w:vAlign w:val="bottom"/>
            <w:gridSpan w:val="2"/>
          </w:tcPr>
          <w:p>
            <w:pPr>
              <w:spacing w:after="0"/>
              <w:rPr>
                <w:sz w:val="6"/>
                <w:szCs w:val="6"/>
                <w:color w:val="auto"/>
              </w:rPr>
            </w:pPr>
          </w:p>
        </w:tc>
        <w:tc>
          <w:tcPr>
            <w:tcW w:w="80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10/18/2024</w:t>
            </w:r>
          </w:p>
        </w:tc>
        <w:tc>
          <w:tcPr>
            <w:tcW w:w="27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AGRIFY CORPORATION</w:t>
            </w:r>
          </w:p>
        </w:tc>
        <w:tc>
          <w:tcPr>
            <w:tcW w:w="120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2468 INDUSTRIAL DRIVE</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TROY</w:t>
            </w:r>
          </w:p>
        </w:tc>
        <w:tc>
          <w:tcPr>
            <w:tcW w:w="11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48084</w:t>
            </w:r>
          </w:p>
        </w:tc>
      </w:tr>
      <w:tr>
        <w:trPr>
          <w:trHeight w:val="147"/>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8"/>
        </w:trPr>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Convertible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w:t>
            </w:r>
          </w:p>
        </w:tc>
        <w:tc>
          <w:tcPr>
            <w:tcW w:w="700" w:type="dxa"/>
            <w:vAlign w:val="bottom"/>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08/14/2024</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920" w:type="dxa"/>
            <w:vAlign w:val="bottom"/>
            <w:vMerge w:val="restart"/>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3,000,000</w:t>
            </w:r>
            <w:r>
              <w:rPr>
                <w:rFonts w:ascii="Times New Roman" w:cs="Times New Roman" w:eastAsia="Times New Roman" w:hAnsi="Times New Roman"/>
                <w:sz w:val="21"/>
                <w:szCs w:val="21"/>
                <w:color w:val="008000"/>
                <w:vertAlign w:val="superscript"/>
              </w:rPr>
              <w:t>(1)</w:t>
            </w: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By CP</w:t>
            </w:r>
          </w:p>
        </w:tc>
        <w:tc>
          <w:tcPr>
            <w:tcW w:w="0" w:type="dxa"/>
            <w:vAlign w:val="bottom"/>
          </w:tcPr>
          <w:p>
            <w:pPr>
              <w:spacing w:after="0"/>
              <w:rPr>
                <w:sz w:val="1"/>
                <w:szCs w:val="1"/>
                <w:color w:val="auto"/>
              </w:rPr>
            </w:pPr>
          </w:p>
        </w:tc>
      </w:tr>
      <w:tr>
        <w:trPr>
          <w:trHeight w:val="77"/>
        </w:trPr>
        <w:tc>
          <w:tcPr>
            <w:tcW w:w="740" w:type="dxa"/>
            <w:vAlign w:val="bottom"/>
            <w:vMerge w:val="continue"/>
          </w:tcPr>
          <w:p>
            <w:pPr>
              <w:spacing w:after="0"/>
              <w:rPr>
                <w:sz w:val="6"/>
                <w:szCs w:val="6"/>
                <w:color w:val="auto"/>
              </w:rPr>
            </w:pP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3.9495</w:t>
            </w:r>
          </w:p>
        </w:tc>
        <w:tc>
          <w:tcPr>
            <w:tcW w:w="108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10/18/2024</w:t>
            </w: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0000FF"/>
              </w:rPr>
              <w:t>0</w:t>
            </w:r>
          </w:p>
        </w:tc>
        <w:tc>
          <w:tcPr>
            <w:tcW w:w="920" w:type="dxa"/>
            <w:vAlign w:val="bottom"/>
            <w:vMerge w:val="continue"/>
          </w:tcPr>
          <w:p>
            <w:pPr>
              <w:spacing w:after="0"/>
              <w:rPr>
                <w:sz w:val="6"/>
                <w:szCs w:val="6"/>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07/01/2025</w:t>
            </w:r>
          </w:p>
        </w:tc>
        <w:tc>
          <w:tcPr>
            <w:tcW w:w="680" w:type="dxa"/>
            <w:vAlign w:val="bottom"/>
            <w:vMerge w:val="continue"/>
          </w:tcPr>
          <w:p>
            <w:pPr>
              <w:spacing w:after="0"/>
              <w:rPr>
                <w:sz w:val="6"/>
                <w:szCs w:val="6"/>
                <w:color w:val="auto"/>
              </w:rPr>
            </w:pP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Acquisitions,</w:t>
            </w:r>
          </w:p>
        </w:tc>
        <w:tc>
          <w:tcPr>
            <w:tcW w:w="0" w:type="dxa"/>
            <w:vAlign w:val="bottom"/>
          </w:tcPr>
          <w:p>
            <w:pPr>
              <w:spacing w:after="0"/>
              <w:rPr>
                <w:sz w:val="1"/>
                <w:szCs w:val="1"/>
                <w:color w:val="auto"/>
              </w:rPr>
            </w:pPr>
          </w:p>
        </w:tc>
      </w:tr>
      <w:tr>
        <w:trPr>
          <w:trHeight w:val="77"/>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Note</w:t>
            </w: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7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LLC</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91"/>
        </w:trPr>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0" w:lineRule="exact"/>
        <w:rPr>
          <w:sz w:val="20"/>
          <w:szCs w:val="20"/>
          <w:color w:val="auto"/>
        </w:rPr>
      </w:pPr>
    </w:p>
    <w:p>
      <w:pPr>
        <w:ind w:left="40" w:right="260" w:firstLine="1"/>
        <w:spacing w:after="0" w:line="23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18, 2024, the Issuer and CP Acquisitions entered into an amendment (the "Junior Note Amendment") to that certain junior secured promissory note (the "Junior Note") in favor of CP Acquisitions, LLC ("CP Acquisitions") issued on August 14, 2024, pursuant to which the maximum principal sum of the Junior Note is increased from $1,500,000 to $3,000,000. The conversion price applicable to the Junior Note remains unchanged with an exercise price of $0.001 per share, in each case at a conversion price of $3.9495 (as may be adjusted per the Junior Note). The Junior Note bears interest at a rate of 10% per annum, will mature in full on July 1, 2025, and may be prepaid without any fee or penalty. The Junior Note is secured by the Issuer's assets and ranks junior to existing secured indebtedness of the Issuer. The Junior Note may be converted into common stock of the Company or, at CP's election, pre-funded warrants.</w:t>
      </w:r>
    </w:p>
    <w:p>
      <w:pPr>
        <w:spacing w:after="0" w:line="28" w:lineRule="exact"/>
        <w:rPr>
          <w:rFonts w:ascii="Times New Roman" w:cs="Times New Roman" w:eastAsia="Times New Roman" w:hAnsi="Times New Roman"/>
          <w:sz w:val="13"/>
          <w:szCs w:val="13"/>
          <w:color w:val="008000"/>
        </w:rPr>
      </w:pPr>
    </w:p>
    <w:p>
      <w:pPr>
        <w:jc w:val="both"/>
        <w:ind w:left="40" w:right="26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CP Acquisitions is an entity controlled by the reporting person, and the reported securities may be deemed to be indirectly beneficially owned by the reporting person. The reporting person disclaims beneficial ownership of the reported securities except to the extent of her pecuniary interest therein, and this report shall not be deemed an admission that such person is the beneficial owner of the securities for purposes of Section 16 of the Securities Exchange Act of 1934, as amended, or for any other purpose.</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0000FF"/>
                <w:w w:val="95"/>
              </w:rPr>
              <w:t>/s/ I-Tseng Jenny Chan</w:t>
            </w:r>
          </w:p>
        </w:tc>
        <w:tc>
          <w:tcPr>
            <w:tcW w:w="500" w:type="dxa"/>
            <w:vAlign w:val="bottom"/>
          </w:tcPr>
          <w:p>
            <w:pPr>
              <w:spacing w:after="0"/>
              <w:rPr>
                <w:sz w:val="17"/>
                <w:szCs w:val="17"/>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10/24/2024</w:t>
            </w:r>
          </w:p>
        </w:tc>
      </w:tr>
      <w:tr>
        <w:trPr>
          <w:trHeight w:val="20"/>
        </w:trPr>
        <w:tc>
          <w:tcPr>
            <w:tcW w:w="1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09461"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2024-10-24T20:04:41Z</dcterms:created>
  <dcterms:modified xsi:type="dcterms:W3CDTF">2024-10-24T20:04:41Z</dcterms:modified>
</cp:coreProperties>
</file>