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191135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43" w:lineRule="exact"/>
        <w:rPr>
          <w:sz w:val="24"/>
          <w:szCs w:val="24"/>
          <w:color w:val="auto"/>
        </w:rPr>
      </w:pPr>
    </w:p>
    <w:p>
      <w:pPr>
        <w:jc w:val="center"/>
        <w:ind w:left="3820" w:right="940" w:hanging="2878"/>
        <w:spacing w:after="0" w:line="405" w:lineRule="auto"/>
        <w:tabs>
          <w:tab w:leader="none" w:pos="119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1180" w:hanging="243"/>
        <w:spacing w:after="0"/>
        <w:tabs>
          <w:tab w:leader="none" w:pos="11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3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For the transition period from _________ to _________</w:t>
            </w:r>
          </w:p>
        </w:tc>
        <w:tc>
          <w:tcPr>
            <w:tcW w:w="348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Commission File Number 001-39946</w:t>
            </w:r>
          </w:p>
        </w:tc>
        <w:tc>
          <w:tcPr>
            <w:tcW w:w="3480" w:type="dxa"/>
            <w:vAlign w:val="bottom"/>
          </w:tcPr>
          <w:p>
            <w:pPr>
              <w:spacing w:after="0"/>
              <w:rPr>
                <w:sz w:val="24"/>
                <w:szCs w:val="24"/>
                <w:color w:val="auto"/>
              </w:rPr>
            </w:pPr>
          </w:p>
        </w:tc>
      </w:tr>
      <w:tr>
        <w:trPr>
          <w:trHeight w:val="33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AGRIFY CORPORATION</w:t>
            </w:r>
          </w:p>
        </w:tc>
        <w:tc>
          <w:tcPr>
            <w:tcW w:w="34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340" w:type="dxa"/>
            <w:vAlign w:val="bottom"/>
            <w:gridSpan w:val="7"/>
          </w:tcPr>
          <w:p>
            <w:pPr>
              <w:jc w:val="center"/>
              <w:spacing w:after="0"/>
              <w:rPr>
                <w:sz w:val="20"/>
                <w:szCs w:val="20"/>
                <w:color w:val="auto"/>
              </w:rPr>
            </w:pPr>
            <w:r>
              <w:rPr>
                <w:rFonts w:ascii="Arial" w:cs="Arial" w:eastAsia="Arial" w:hAnsi="Arial"/>
                <w:sz w:val="18"/>
                <w:szCs w:val="18"/>
                <w:color w:val="auto"/>
                <w:w w:val="89"/>
              </w:rPr>
              <w:t>(Exact name of registrant issuer as specified in its charter)</w:t>
            </w:r>
          </w:p>
        </w:tc>
        <w:tc>
          <w:tcPr>
            <w:tcW w:w="348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3400" w:type="dxa"/>
            <w:vAlign w:val="bottom"/>
            <w:tcBorders>
              <w:bottom w:val="single" w:sz="8" w:color="auto"/>
            </w:tcBorders>
          </w:tcPr>
          <w:p>
            <w:pPr>
              <w:jc w:val="center"/>
              <w:ind w:left="2010"/>
              <w:spacing w:after="0"/>
              <w:rPr>
                <w:sz w:val="20"/>
                <w:szCs w:val="20"/>
                <w:color w:val="auto"/>
              </w:rPr>
            </w:pPr>
            <w:r>
              <w:rPr>
                <w:rFonts w:ascii="Arial" w:cs="Arial" w:eastAsia="Arial" w:hAnsi="Arial"/>
                <w:sz w:val="18"/>
                <w:szCs w:val="18"/>
                <w:b w:val="1"/>
                <w:bCs w:val="1"/>
                <w:color w:val="auto"/>
                <w:w w:val="90"/>
              </w:rPr>
              <w:t>Nevada</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Arial" w:cs="Arial" w:eastAsia="Arial" w:hAnsi="Arial"/>
                <w:sz w:val="18"/>
                <w:szCs w:val="18"/>
                <w:b w:val="1"/>
                <w:bCs w:val="1"/>
                <w:color w:val="auto"/>
                <w:w w:val="89"/>
              </w:rPr>
              <w:t>30-0943453</w:t>
            </w:r>
          </w:p>
        </w:tc>
      </w:tr>
      <w:tr>
        <w:trPr>
          <w:trHeight w:val="201"/>
        </w:trPr>
        <w:tc>
          <w:tcPr>
            <w:tcW w:w="20" w:type="dxa"/>
            <w:vAlign w:val="bottom"/>
          </w:tcPr>
          <w:p>
            <w:pPr>
              <w:spacing w:after="0"/>
              <w:rPr>
                <w:sz w:val="17"/>
                <w:szCs w:val="17"/>
                <w:color w:val="auto"/>
              </w:rPr>
            </w:pPr>
          </w:p>
        </w:tc>
        <w:tc>
          <w:tcPr>
            <w:tcW w:w="550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19"/>
                <w:szCs w:val="19"/>
                <w:color w:val="auto"/>
              </w:rPr>
            </w:pPr>
          </w:p>
        </w:tc>
        <w:tc>
          <w:tcPr>
            <w:tcW w:w="7740" w:type="dxa"/>
            <w:vAlign w:val="bottom"/>
            <w:gridSpan w:val="8"/>
          </w:tcPr>
          <w:p>
            <w:pPr>
              <w:jc w:val="center"/>
              <w:ind w:right="226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930"/>
              <w:spacing w:after="0"/>
              <w:rPr>
                <w:sz w:val="20"/>
                <w:szCs w:val="20"/>
                <w:color w:val="auto"/>
              </w:rPr>
            </w:pPr>
            <w:r>
              <w:rPr>
                <w:rFonts w:ascii="Arial" w:cs="Arial" w:eastAsia="Arial" w:hAnsi="Arial"/>
                <w:sz w:val="18"/>
                <w:szCs w:val="18"/>
                <w:color w:val="auto"/>
                <w:w w:val="95"/>
              </w:rPr>
              <w:t>Identification No.)</w:t>
            </w:r>
          </w:p>
        </w:tc>
      </w:tr>
      <w:tr>
        <w:trPr>
          <w:trHeight w:val="33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101 Middlesex Turnpike</w:t>
            </w:r>
          </w:p>
        </w:tc>
        <w:tc>
          <w:tcPr>
            <w:tcW w:w="348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Suite 6, PMB 326</w:t>
            </w:r>
          </w:p>
        </w:tc>
        <w:tc>
          <w:tcPr>
            <w:tcW w:w="34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3"/>
              </w:rPr>
              <w:t>Burlington, MA 01803</w:t>
            </w:r>
          </w:p>
        </w:tc>
        <w:tc>
          <w:tcPr>
            <w:tcW w:w="3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340" w:type="dxa"/>
            <w:vAlign w:val="bottom"/>
            <w:gridSpan w:val="7"/>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19"/>
                <w:szCs w:val="19"/>
                <w:color w:val="auto"/>
              </w:rPr>
            </w:pPr>
          </w:p>
        </w:tc>
      </w:tr>
      <w:tr>
        <w:trPr>
          <w:trHeight w:val="33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2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90"/>
              </w:rPr>
              <w:t>(617) 896-5243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2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(Registrant’s phone number, including area code)</w:t>
            </w:r>
          </w:p>
        </w:tc>
        <w:tc>
          <w:tcPr>
            <w:tcW w:w="3480" w:type="dxa"/>
            <w:vAlign w:val="bottom"/>
          </w:tcPr>
          <w:p>
            <w:pPr>
              <w:spacing w:after="0"/>
              <w:rPr>
                <w:sz w:val="19"/>
                <w:szCs w:val="19"/>
                <w:color w:val="auto"/>
              </w:rPr>
            </w:pPr>
          </w:p>
        </w:tc>
      </w:tr>
      <w:tr>
        <w:trPr>
          <w:trHeight w:val="350"/>
        </w:trPr>
        <w:tc>
          <w:tcPr>
            <w:tcW w:w="776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0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Title of each class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5"/>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5"/>
              </w:rPr>
              <w:t>NASDAQ Capital Market</w:t>
            </w:r>
          </w:p>
        </w:tc>
      </w:tr>
    </w:tbl>
    <w:p>
      <w:pPr>
        <w:spacing w:after="0" w:line="120"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ind w:left="1014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34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4"/>
          <w:szCs w:val="24"/>
          <w:color w:val="auto"/>
        </w:rPr>
      </w:pPr>
    </w:p>
    <w:p>
      <w:pPr>
        <w:ind w:left="1014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3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0"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ind w:right="2060"/>
        <w:spacing w:after="0" w:line="30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as of May 17, 2021</w:t>
            </w:r>
          </w:p>
        </w:tc>
      </w:tr>
      <w:tr>
        <w:trPr>
          <w:trHeight w:val="215"/>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color w:val="auto"/>
              </w:rPr>
              <w:t>20,295,134</w:t>
            </w:r>
          </w:p>
        </w:tc>
      </w:tr>
      <w:tr>
        <w:trPr>
          <w:trHeight w:val="215"/>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6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1"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160" w:type="dxa"/>
            <w:vAlign w:val="bottom"/>
            <w:gridSpan w:val="9"/>
          </w:tcPr>
          <w:p>
            <w:pPr>
              <w:ind w:left="58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PART I</w:t>
            </w:r>
          </w:p>
        </w:tc>
        <w:tc>
          <w:tcPr>
            <w:tcW w:w="9340" w:type="dxa"/>
            <w:vAlign w:val="bottom"/>
            <w:gridSpan w:val="21"/>
            <w:shd w:val="clear" w:color="auto" w:fill="CCEEFF"/>
          </w:tcPr>
          <w:p>
            <w:pPr>
              <w:spacing w:after="0" w:line="142" w:lineRule="exact"/>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(unaudited) and December 31, 2020</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340" w:type="dxa"/>
            <w:vAlign w:val="bottom"/>
            <w:gridSpan w:val="21"/>
            <w:shd w:val="clear" w:color="auto" w:fill="CCEEFF"/>
          </w:tcPr>
          <w:p>
            <w:pPr>
              <w:spacing w:after="0" w:line="175"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 months ended March 31, 2021 and 2020 (unaudited)</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340" w:type="dxa"/>
            <w:vAlign w:val="bottom"/>
            <w:gridSpan w:val="21"/>
            <w:shd w:val="clear" w:color="auto" w:fill="CCEEFF"/>
          </w:tcPr>
          <w:p>
            <w:pPr>
              <w:spacing w:after="0" w:line="175"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Stockholders’ Equity (Deficit) for the three months ended March 31, 2021 and 2020</w:t>
              </w:r>
            </w:hyperlink>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720" w:type="dxa"/>
            <w:vAlign w:val="bottom"/>
            <w:tcBorders>
              <w:top w:val="single" w:sz="8" w:color="0000EE"/>
            </w:tcBorders>
            <w:gridSpan w:val="19"/>
            <w:shd w:val="clear" w:color="auto" w:fill="CCEEFF"/>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340" w:type="dxa"/>
            <w:vAlign w:val="bottom"/>
            <w:gridSpan w:val="21"/>
            <w:shd w:val="clear" w:color="auto" w:fill="CCEEFF"/>
          </w:tcPr>
          <w:p>
            <w:pPr>
              <w:spacing w:after="0" w:line="175"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Cash Flows for the three months ended March 31, 2021 and 2020 (unaudited)</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PART II</w:t>
            </w:r>
          </w:p>
        </w:tc>
        <w:tc>
          <w:tcPr>
            <w:tcW w:w="9340" w:type="dxa"/>
            <w:vAlign w:val="bottom"/>
            <w:gridSpan w:val="21"/>
            <w:shd w:val="clear" w:color="auto" w:fill="CCEEFF"/>
          </w:tcPr>
          <w:p>
            <w:pPr>
              <w:spacing w:after="0" w:line="175"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1A.</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5.</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6</w:t>
            </w:r>
          </w:p>
        </w:tc>
        <w:tc>
          <w:tcPr>
            <w:tcW w:w="9340" w:type="dxa"/>
            <w:vAlign w:val="bottom"/>
            <w:gridSpan w:val="21"/>
            <w:shd w:val="clear" w:color="auto" w:fill="CCEEFF"/>
          </w:tcPr>
          <w:p>
            <w:pPr>
              <w:spacing w:after="0" w:line="175"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20" w:type="dxa"/>
            <w:vAlign w:val="bottom"/>
            <w:gridSpan w:val="22"/>
            <w:shd w:val="clear" w:color="auto" w:fill="CCEEFF"/>
          </w:tcPr>
          <w:p>
            <w:pPr>
              <w:spacing w:after="0" w:line="175"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100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AGRIFY CORPORATION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7"/>
              </w:rPr>
              <w:t>AS OF MARCH 31, 2021 (UNAUDITED) AND DECEMBER 31, 2020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0"/>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8,111</w:t>
            </w:r>
          </w:p>
        </w:tc>
      </w:tr>
      <w:tr>
        <w:trPr>
          <w:trHeight w:val="201"/>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$55 and $54, as of March 31, 2021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w:t>
            </w: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Deferred IPO costs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02"/>
        </w:trPr>
        <w:tc>
          <w:tcPr>
            <w:tcW w:w="868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158,137</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18,640</w:t>
            </w:r>
          </w:p>
        </w:tc>
        <w:tc>
          <w:tcPr>
            <w:tcW w:w="100" w:type="dxa"/>
            <w:vAlign w:val="bottom"/>
            <w:tcBorders>
              <w:top w:val="single" w:sz="8" w:color="CCEEFF"/>
            </w:tcBorders>
          </w:tcPr>
          <w:p>
            <w:pPr>
              <w:spacing w:after="0"/>
              <w:rPr>
                <w:sz w:val="17"/>
                <w:szCs w:val="17"/>
                <w:color w:val="auto"/>
              </w:rPr>
            </w:pPr>
          </w:p>
        </w:tc>
      </w:tr>
      <w:tr>
        <w:trPr>
          <w:trHeight w:val="215"/>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6" w:right="339" w:bottom="1440" w:gutter="0" w:footer="0" w:header="0"/>
        </w:sect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right-of-use assets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right="3600"/>
        <w:spacing w:after="0" w:line="254" w:lineRule="auto"/>
        <w:rPr>
          <w:sz w:val="20"/>
          <w:szCs w:val="20"/>
          <w:color w:val="auto"/>
        </w:rPr>
      </w:pPr>
      <w:r>
        <w:rPr>
          <w:rFonts w:ascii="Arial" w:cs="Arial" w:eastAsia="Arial" w:hAnsi="Arial"/>
          <w:sz w:val="18"/>
          <w:szCs w:val="18"/>
          <w:color w:val="auto"/>
        </w:rPr>
        <w:t>Intangible assets acquired through business combination, net Capitalized website costs,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955"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00" w:type="dxa"/>
            <w:vAlign w:val="bottom"/>
          </w:tcPr>
          <w:p>
            <w:pPr>
              <w:spacing w:after="0"/>
              <w:rPr>
                <w:sz w:val="17"/>
                <w:szCs w:val="17"/>
                <w:color w:val="auto"/>
              </w:rPr>
            </w:pP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965</w:t>
            </w:r>
          </w:p>
        </w:tc>
        <w:tc>
          <w:tcPr>
            <w:tcW w:w="36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873</w:t>
            </w:r>
          </w:p>
        </w:tc>
      </w:tr>
      <w:tr>
        <w:trPr>
          <w:trHeight w:val="215"/>
        </w:trPr>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30"/>
        </w:trPr>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r>
        <w:trPr>
          <w:trHeight w:val="249"/>
        </w:trPr>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161,492</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21,839</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336"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13,037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w w:val="96"/>
              </w:rPr>
              <w:t>Notes payable, net of debt discount of $0 and $4,777 as of March 31, 2021 and December 31, 2020, respectively</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CCEEFF"/>
            </w:tcBorders>
          </w:tcPr>
          <w:p>
            <w:pPr>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14,163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27,029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liabilities—long term</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50,000,000 shares, $0.001 par value authorized as of March 31, 2021 and December 31, 2020,</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w w:val="93"/>
              </w:rPr>
              <w:t>respectively; 20,295,134 and 4,211,677 shares issued at March 31, 2021 and December 31, 2020, respectively</w:t>
            </w: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Preferred stock 2,895,000 shares, $0.001 par value authorized as of March 31, 2021 and December 31, 2020,</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 0 shares issued as of March 31, 2021 and December 31, 2020</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60" w:type="dxa"/>
            <w:vAlign w:val="bottom"/>
          </w:tcPr>
          <w:p>
            <w:pPr>
              <w:ind w:left="160"/>
              <w:spacing w:after="0" w:line="201" w:lineRule="exact"/>
              <w:rPr>
                <w:sz w:val="20"/>
                <w:szCs w:val="20"/>
                <w:color w:val="auto"/>
              </w:rPr>
            </w:pPr>
            <w:r>
              <w:rPr>
                <w:rFonts w:ascii="Arial" w:cs="Arial" w:eastAsia="Arial" w:hAnsi="Arial"/>
                <w:sz w:val="18"/>
                <w:szCs w:val="18"/>
                <w:color w:val="auto"/>
                <w:w w:val="96"/>
              </w:rPr>
              <w:t>Preferred A stock 105,000 shares, $0.001 par value authorized as of March 31, 2021 and December 31, 2020,</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respectively; 0 and 100,000 shares issued at March 31, 2021 and December 31, 2020, respectively</w:t>
            </w: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 in capital</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19,827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(30,320)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(26,510)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161,492</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 thousands, except for number of shares and per share amounts)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502"/>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7,548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5,074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5,956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0"/>
                <w:szCs w:val="20"/>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(6,496)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18"/>
                <w:szCs w:val="18"/>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extinguishment of notes payable</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income,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Loss attributable to non-controlling interest</w:t>
            </w:r>
          </w:p>
        </w:tc>
        <w:tc>
          <w:tcPr>
            <w:tcW w:w="200" w:type="dxa"/>
            <w:vAlign w:val="bottom"/>
          </w:tcPr>
          <w:p>
            <w:pPr>
              <w:spacing w:after="0"/>
              <w:rPr>
                <w:sz w:val="19"/>
                <w:szCs w:val="19"/>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40" w:type="dxa"/>
            <w:vAlign w:val="bottom"/>
            <w:vMerge w:val="continue"/>
            <w:shd w:val="clear" w:color="auto" w:fill="CCEEFF"/>
          </w:tcPr>
          <w:p>
            <w:pPr>
              <w:spacing w:after="0"/>
              <w:rPr>
                <w:sz w:val="21"/>
                <w:szCs w:val="21"/>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60" w:type="dxa"/>
            <w:vAlign w:val="bottom"/>
            <w:tcBorders>
              <w:bottom w:val="single" w:sz="8" w:color="CCEEFF"/>
            </w:tcBorders>
            <w:gridSpan w:val="2"/>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 outstanding – basic and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11,568,105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3,760,109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7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10"/>
          </w:tcPr>
          <w:p>
            <w:pPr>
              <w:ind w:left="20"/>
              <w:spacing w:after="0"/>
              <w:rPr>
                <w:sz w:val="20"/>
                <w:szCs w:val="20"/>
                <w:color w:val="auto"/>
              </w:rPr>
            </w:pPr>
            <w:r>
              <w:rPr>
                <w:rFonts w:ascii="Arial" w:cs="Arial" w:eastAsia="Arial" w:hAnsi="Arial"/>
                <w:sz w:val="18"/>
                <w:szCs w:val="18"/>
                <w:b w:val="1"/>
                <w:bCs w:val="1"/>
                <w:color w:val="auto"/>
                <w:w w:val="94"/>
              </w:rPr>
              <w:t>Three months ended March 31, 2020</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300"/>
              <w:spacing w:after="0" w:line="197" w:lineRule="exact"/>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Stockholders’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1720" w:type="dxa"/>
            <w:vAlign w:val="bottom"/>
            <w:gridSpan w:val="7"/>
            <w:vMerge w:val="restart"/>
          </w:tcPr>
          <w:p>
            <w:pPr>
              <w:ind w:left="2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w w:val="99"/>
              </w:rPr>
              <w:t>Preferred A Stock</w:t>
            </w: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attributable</w:t>
            </w:r>
          </w:p>
        </w:tc>
        <w:tc>
          <w:tcPr>
            <w:tcW w:w="16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1720" w:type="dxa"/>
            <w:vAlign w:val="bottom"/>
            <w:gridSpan w:val="7"/>
            <w:vMerge w:val="continue"/>
          </w:tcPr>
          <w:p>
            <w:pPr>
              <w:spacing w:after="0"/>
              <w:rPr>
                <w:sz w:val="19"/>
                <w:szCs w:val="19"/>
                <w:color w:val="auto"/>
              </w:rPr>
            </w:pPr>
          </w:p>
        </w:tc>
        <w:tc>
          <w:tcPr>
            <w:tcW w:w="1560" w:type="dxa"/>
            <w:vAlign w:val="bottom"/>
            <w:gridSpan w:val="7"/>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Paid-In</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2"/>
              </w:rPr>
              <w:t>Subscription</w:t>
            </w: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4"/>
              </w:rPr>
              <w:t>controlling</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Stockholders’</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9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6"/>
              </w:rPr>
              <w:t>Shares</w:t>
            </w: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Receivable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Agrify</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Interests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w w:val="99"/>
              </w:rPr>
              <w:t>Balance, January 1,</w:t>
            </w: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3,616,125</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4,124</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9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Preferred A Stock</w:t>
            </w:r>
          </w:p>
        </w:tc>
        <w:tc>
          <w:tcPr>
            <w:tcW w:w="9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in Agrify</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Valiant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8"/>
                <w:szCs w:val="18"/>
                <w:color w:val="auto"/>
              </w:rPr>
              <w:t>Acquisition</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w w:val="94"/>
              </w:rPr>
              <w:t>of TriGrow Systems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595,552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1,356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1,356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207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5"/>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170"/>
        </w:trPr>
        <w:tc>
          <w:tcPr>
            <w:tcW w:w="1700" w:type="dxa"/>
            <w:vAlign w:val="bottom"/>
            <w:tcBorders>
              <w:top w:val="single" w:sz="8" w:color="CCEEFF"/>
            </w:tcBorders>
          </w:tcPr>
          <w:p>
            <w:pPr>
              <w:spacing w:after="0" w:line="170" w:lineRule="exact"/>
              <w:rPr>
                <w:sz w:val="20"/>
                <w:szCs w:val="20"/>
                <w:color w:val="auto"/>
              </w:rPr>
            </w:pPr>
            <w:r>
              <w:rPr>
                <w:rFonts w:ascii="Arial" w:cs="Arial" w:eastAsia="Arial" w:hAnsi="Arial"/>
                <w:sz w:val="18"/>
                <w:szCs w:val="18"/>
                <w:b w:val="1"/>
                <w:bCs w:val="1"/>
                <w:color w:val="auto"/>
              </w:rPr>
              <w:t>Balance March 31,</w:t>
            </w: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170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4,211,677</w:t>
            </w:r>
          </w:p>
        </w:tc>
        <w:tc>
          <w:tcPr>
            <w:tcW w:w="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60,000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11,541</w:t>
            </w:r>
          </w:p>
        </w:tc>
        <w:tc>
          <w:tcPr>
            <w:tcW w:w="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right"/>
              <w:ind w:right="10"/>
              <w:spacing w:after="0" w:line="274" w:lineRule="exact"/>
              <w:rPr>
                <w:sz w:val="20"/>
                <w:szCs w:val="20"/>
                <w:color w:val="auto"/>
              </w:rPr>
            </w:pPr>
            <w:r>
              <w:rPr>
                <w:rFonts w:ascii="Arial" w:cs="Arial" w:eastAsia="Arial" w:hAnsi="Arial"/>
                <w:sz w:val="16"/>
                <w:szCs w:val="16"/>
                <w:color w:val="auto"/>
              </w:rPr>
              <w:t>(8,306</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3,239</w:t>
            </w:r>
          </w:p>
        </w:tc>
        <w:tc>
          <w:tcPr>
            <w:tcW w:w="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216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20" w:type="dxa"/>
            <w:vAlign w:val="bottom"/>
            <w:tcBorders>
              <w:top w:val="single" w:sz="8" w:color="auto"/>
              <w:bottom w:val="single" w:sz="8" w:color="auto"/>
            </w:tcBorders>
            <w:gridSpan w:val="8"/>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17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ind w:left="20"/>
              <w:spacing w:after="0"/>
              <w:rPr>
                <w:sz w:val="20"/>
                <w:szCs w:val="20"/>
                <w:color w:val="auto"/>
              </w:rPr>
            </w:pPr>
            <w:r>
              <w:rPr>
                <w:rFonts w:ascii="Arial" w:cs="Arial" w:eastAsia="Arial" w:hAnsi="Arial"/>
                <w:sz w:val="18"/>
                <w:szCs w:val="18"/>
                <w:b w:val="1"/>
                <w:bCs w:val="1"/>
                <w:color w:val="auto"/>
                <w:w w:val="94"/>
              </w:rPr>
              <w:t>Three months ended March 31,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center"/>
              <w:ind w:right="300"/>
              <w:spacing w:after="0" w:line="197" w:lineRule="exact"/>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Stockholders’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1720" w:type="dxa"/>
            <w:vAlign w:val="bottom"/>
            <w:gridSpan w:val="7"/>
            <w:vMerge w:val="restart"/>
          </w:tcPr>
          <w:p>
            <w:pPr>
              <w:ind w:left="2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w w:val="99"/>
              </w:rPr>
              <w:t>Preferred A Stock</w:t>
            </w: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Additional</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attributable</w:t>
            </w:r>
          </w:p>
        </w:tc>
        <w:tc>
          <w:tcPr>
            <w:tcW w:w="16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1720" w:type="dxa"/>
            <w:vAlign w:val="bottom"/>
            <w:gridSpan w:val="7"/>
            <w:vMerge w:val="continue"/>
          </w:tcPr>
          <w:p>
            <w:pPr>
              <w:spacing w:after="0"/>
              <w:rPr>
                <w:sz w:val="19"/>
                <w:szCs w:val="19"/>
                <w:color w:val="auto"/>
              </w:rPr>
            </w:pPr>
          </w:p>
        </w:tc>
        <w:tc>
          <w:tcPr>
            <w:tcW w:w="1560" w:type="dxa"/>
            <w:vAlign w:val="bottom"/>
            <w:gridSpan w:val="7"/>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Paid-In</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2"/>
              </w:rPr>
              <w:t>Subscription</w:t>
            </w: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w w:val="93"/>
              </w:rPr>
              <w:t>Accumulated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4"/>
              </w:rPr>
              <w:t>controlling</w:t>
            </w:r>
          </w:p>
        </w:tc>
        <w:tc>
          <w:tcPr>
            <w:tcW w:w="116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Stockholders’</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9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6"/>
              </w:rPr>
              <w:t>Shares</w:t>
            </w: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Receivable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Agrify</w:t>
            </w:r>
          </w:p>
        </w:tc>
        <w:tc>
          <w:tcPr>
            <w:tcW w:w="9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Interests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w w:val="99"/>
              </w:rPr>
              <w:t>Balance, January 1,</w:t>
            </w: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4,211,677</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19,827</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(26,510)</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(6,679)</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225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9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2,135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2,135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Beneficial conversion</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feature associated</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amended</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Promissory Notes</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3,869</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8"/>
                <w:szCs w:val="18"/>
                <w:color w:val="auto"/>
              </w:rPr>
              <w:t>Conversion of</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Convertible Notes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1,697,075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13,098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13,100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 Initial</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Offering</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(“IPO”), net of fees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6,210,000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56,955</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56,961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01"/>
        </w:trPr>
        <w:tc>
          <w:tcPr>
            <w:tcW w:w="170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180"/>
              <w:spacing w:after="0"/>
              <w:rPr>
                <w:sz w:val="20"/>
                <w:szCs w:val="20"/>
                <w:color w:val="auto"/>
              </w:rPr>
            </w:pPr>
            <w:r>
              <w:rPr>
                <w:rFonts w:ascii="Arial" w:cs="Arial" w:eastAsia="Arial" w:hAnsi="Arial"/>
                <w:sz w:val="18"/>
                <w:szCs w:val="18"/>
                <w:color w:val="auto"/>
              </w:rPr>
              <w:t>stock – Secondary</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180"/>
              <w:spacing w:after="0"/>
              <w:rPr>
                <w:sz w:val="20"/>
                <w:szCs w:val="20"/>
                <w:color w:val="auto"/>
              </w:rPr>
            </w:pPr>
            <w:r>
              <w:rPr>
                <w:rFonts w:ascii="Arial" w:cs="Arial" w:eastAsia="Arial" w:hAnsi="Arial"/>
                <w:sz w:val="18"/>
                <w:szCs w:val="18"/>
                <w:color w:val="auto"/>
              </w:rPr>
              <w:t>public offering, net</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80"/>
              <w:spacing w:after="0"/>
              <w:rPr>
                <w:sz w:val="20"/>
                <w:szCs w:val="20"/>
                <w:color w:val="auto"/>
              </w:rPr>
            </w:pPr>
            <w:r>
              <w:rPr>
                <w:rFonts w:ascii="Arial" w:cs="Arial" w:eastAsia="Arial" w:hAnsi="Arial"/>
                <w:sz w:val="18"/>
                <w:szCs w:val="18"/>
                <w:color w:val="auto"/>
              </w:rPr>
              <w:t>of fees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6,388,888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79,833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79,839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79,839</w:t>
            </w:r>
          </w:p>
        </w:tc>
        <w:tc>
          <w:tcPr>
            <w:tcW w:w="0" w:type="dxa"/>
            <w:vAlign w:val="bottom"/>
          </w:tcPr>
          <w:p>
            <w:pPr>
              <w:spacing w:after="0"/>
              <w:rPr>
                <w:sz w:val="1"/>
                <w:szCs w:val="1"/>
                <w:color w:val="auto"/>
              </w:rPr>
            </w:pPr>
          </w:p>
        </w:tc>
      </w:tr>
      <w:tr>
        <w:trPr>
          <w:trHeight w:val="201"/>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A Stock</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1,373,038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Arial" w:cs="Arial" w:eastAsia="Arial" w:hAnsi="Arial"/>
                <w:sz w:val="18"/>
                <w:szCs w:val="18"/>
                <w:color w:val="auto"/>
              </w:rPr>
              <w:t>Exercise of options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174,223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5"/>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240,233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183"/>
        </w:trPr>
        <w:tc>
          <w:tcPr>
            <w:tcW w:w="1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Balance March 31,</w:t>
            </w: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20,295,134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176,160</w:t>
            </w: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0"/>
              <w:spacing w:after="0" w:line="274" w:lineRule="exact"/>
              <w:rPr>
                <w:sz w:val="20"/>
                <w:szCs w:val="20"/>
                <w:color w:val="auto"/>
              </w:rPr>
            </w:pPr>
            <w:r>
              <w:rPr>
                <w:rFonts w:ascii="Arial" w:cs="Arial" w:eastAsia="Arial" w:hAnsi="Arial"/>
                <w:sz w:val="16"/>
                <w:szCs w:val="16"/>
                <w:color w:val="auto"/>
              </w:rPr>
              <w:t>(30,320</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145,859</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192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146,051</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6463030</wp:posOffset>
            </wp:positionH>
            <wp:positionV relativeFrom="paragraph">
              <wp:posOffset>-6910070</wp:posOffset>
            </wp:positionV>
            <wp:extent cx="34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33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center"/>
              <w:ind w:right="302"/>
              <w:spacing w:after="0"/>
              <w:rPr>
                <w:sz w:val="20"/>
                <w:szCs w:val="20"/>
                <w:color w:val="auto"/>
              </w:rPr>
            </w:pPr>
            <w:r>
              <w:rPr>
                <w:rFonts w:ascii="Arial" w:cs="Arial" w:eastAsia="Arial" w:hAnsi="Arial"/>
                <w:sz w:val="18"/>
                <w:szCs w:val="18"/>
                <w:b w:val="1"/>
                <w:bCs w:val="1"/>
                <w:color w:val="auto"/>
                <w:w w:val="88"/>
              </w:rPr>
              <w:t>Three months ended</w:t>
            </w:r>
          </w:p>
        </w:tc>
      </w:tr>
      <w:tr>
        <w:trPr>
          <w:trHeight w:val="240"/>
        </w:trPr>
        <w:tc>
          <w:tcPr>
            <w:tcW w:w="2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8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(3,810)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15"/>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Adjustments to reconcile net loss attributable to Agrify Corporation to net cash used in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66</w:t>
            </w:r>
          </w:p>
        </w:tc>
      </w:tr>
      <w:tr>
        <w:trPr>
          <w:trHeight w:val="215"/>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Compensation in connection with the issuance of stock options</w:t>
            </w:r>
          </w:p>
        </w:tc>
        <w:tc>
          <w:tcPr>
            <w:tcW w:w="220" w:type="dxa"/>
            <w:vAlign w:val="bottom"/>
          </w:tcPr>
          <w:p>
            <w:pPr>
              <w:spacing w:after="0"/>
              <w:rPr>
                <w:sz w:val="18"/>
                <w:szCs w:val="18"/>
                <w:color w:val="auto"/>
              </w:rPr>
            </w:pPr>
          </w:p>
        </w:tc>
        <w:tc>
          <w:tcPr>
            <w:tcW w:w="1040" w:type="dxa"/>
            <w:vAlign w:val="bottom"/>
            <w:gridSpan w:val="2"/>
          </w:tcPr>
          <w:p>
            <w:pPr>
              <w:jc w:val="right"/>
              <w:ind w:right="62"/>
              <w:spacing w:after="0"/>
              <w:rPr>
                <w:sz w:val="20"/>
                <w:szCs w:val="20"/>
                <w:color w:val="auto"/>
              </w:rPr>
            </w:pPr>
            <w:r>
              <w:rPr>
                <w:rFonts w:ascii="Arial" w:cs="Arial" w:eastAsia="Arial" w:hAnsi="Arial"/>
                <w:sz w:val="18"/>
                <w:szCs w:val="18"/>
                <w:color w:val="auto"/>
              </w:rPr>
              <w:t>2,135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61</w:t>
            </w: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Gain on extinguishment of notes payable, net</w:t>
            </w:r>
          </w:p>
        </w:tc>
        <w:tc>
          <w:tcPr>
            <w:tcW w:w="220" w:type="dxa"/>
            <w:vAlign w:val="bottom"/>
          </w:tcPr>
          <w:p>
            <w:pPr>
              <w:spacing w:after="0"/>
              <w:rPr>
                <w:sz w:val="18"/>
                <w:szCs w:val="18"/>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disposal of fixed assets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r>
      <w:tr>
        <w:trPr>
          <w:trHeight w:val="215"/>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Loss attributable to non- controlling interests</w:t>
            </w:r>
          </w:p>
        </w:tc>
        <w:tc>
          <w:tcPr>
            <w:tcW w:w="220" w:type="dxa"/>
            <w:vAlign w:val="bottom"/>
          </w:tcPr>
          <w:p>
            <w:pPr>
              <w:spacing w:after="0"/>
              <w:rPr>
                <w:sz w:val="18"/>
                <w:szCs w:val="18"/>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(5,218)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2"/>
              <w:spacing w:after="0"/>
              <w:rPr>
                <w:sz w:val="20"/>
                <w:szCs w:val="20"/>
                <w:color w:val="auto"/>
              </w:rPr>
            </w:pPr>
            <w:r>
              <w:rPr>
                <w:rFonts w:ascii="Arial" w:cs="Arial" w:eastAsia="Arial" w:hAnsi="Arial"/>
                <w:sz w:val="18"/>
                <w:szCs w:val="18"/>
                <w:color w:val="auto"/>
              </w:rPr>
              <w:t>119</w:t>
            </w: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inventory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5"/>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220" w:type="dxa"/>
            <w:vAlign w:val="bottom"/>
          </w:tcPr>
          <w:p>
            <w:pPr>
              <w:spacing w:after="0"/>
              <w:rPr>
                <w:sz w:val="18"/>
                <w:szCs w:val="18"/>
                <w:color w:val="auto"/>
              </w:rPr>
            </w:pP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5"/>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5"/>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40" w:type="dxa"/>
            <w:vAlign w:val="bottom"/>
            <w:gridSpan w:val="2"/>
          </w:tcPr>
          <w:p>
            <w:pPr>
              <w:jc w:val="right"/>
              <w:ind w:right="62"/>
              <w:spacing w:after="0"/>
              <w:rPr>
                <w:sz w:val="20"/>
                <w:szCs w:val="20"/>
                <w:color w:val="auto"/>
              </w:rPr>
            </w:pPr>
            <w:r>
              <w:rPr>
                <w:rFonts w:ascii="Arial" w:cs="Arial" w:eastAsia="Arial" w:hAnsi="Arial"/>
                <w:sz w:val="18"/>
                <w:szCs w:val="18"/>
                <w:color w:val="auto"/>
              </w:rPr>
              <w:t>7,360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49"/>
        </w:trPr>
        <w:tc>
          <w:tcPr>
            <w:tcW w:w="20" w:type="dxa"/>
            <w:vAlign w:val="bottom"/>
          </w:tcPr>
          <w:p>
            <w:pPr>
              <w:spacing w:after="0"/>
              <w:rPr>
                <w:sz w:val="21"/>
                <w:szCs w:val="21"/>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891</w:t>
            </w:r>
          </w:p>
        </w:tc>
      </w:tr>
      <w:tr>
        <w:trPr>
          <w:trHeight w:val="209"/>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(7,279</w:t>
            </w:r>
          </w:p>
        </w:tc>
        <w:tc>
          <w:tcPr>
            <w:tcW w:w="140" w:type="dxa"/>
            <w:vAlign w:val="bottom"/>
            <w:tcBorders>
              <w:top w:val="single" w:sz="8" w:color="CCEEFF"/>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5"/>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6"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Purchases of property and equipment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Cash paid for business combination, net of cash acquired</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955" cy="170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428" w:hanging="1428"/>
        <w:spacing w:after="0"/>
        <w:tabs>
          <w:tab w:leader="none" w:pos="1428" w:val="left"/>
        </w:tabs>
        <w:numPr>
          <w:ilvl w:val="0"/>
          <w:numId w:val="3"/>
        </w:numPr>
        <w:rPr>
          <w:rFonts w:ascii="Arial" w:cs="Arial" w:eastAsia="Arial" w:hAnsi="Arial"/>
          <w:sz w:val="16"/>
          <w:szCs w:val="16"/>
          <w:color w:val="auto"/>
        </w:rPr>
      </w:pPr>
      <w:r>
        <w:rPr>
          <w:rFonts w:ascii="Arial" w:cs="Arial" w:eastAsia="Arial" w:hAnsi="Arial"/>
          <w:sz w:val="16"/>
          <w:szCs w:val="16"/>
          <w:color w:val="auto"/>
        </w:rPr>
        <w:t>(59)</w:t>
      </w:r>
    </w:p>
    <w:p>
      <w:pPr>
        <w:spacing w:after="0" w:line="45" w:lineRule="exact"/>
        <w:rPr>
          <w:rFonts w:ascii="Arial" w:cs="Arial" w:eastAsia="Arial" w:hAnsi="Arial"/>
          <w:sz w:val="16"/>
          <w:szCs w:val="16"/>
          <w:color w:val="auto"/>
        </w:rPr>
      </w:pPr>
    </w:p>
    <w:p>
      <w:pPr>
        <w:ind w:left="148"/>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(1,096)</w:t>
      </w:r>
    </w:p>
    <w:p>
      <w:pPr>
        <w:spacing w:after="0" w:line="22" w:lineRule="exact"/>
        <w:rPr>
          <w:sz w:val="20"/>
          <w:szCs w:val="20"/>
          <w:color w:val="auto"/>
        </w:rPr>
      </w:pPr>
    </w:p>
    <w:p>
      <w:pPr>
        <w:ind w:left="8"/>
        <w:spacing w:after="0"/>
        <w:tabs>
          <w:tab w:leader="none" w:pos="1167"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(1,155)</w:t>
      </w:r>
    </w:p>
    <w:p>
      <w:pPr>
        <w:spacing w:after="0" w:line="200" w:lineRule="exact"/>
        <w:rPr>
          <w:sz w:val="20"/>
          <w:szCs w:val="20"/>
          <w:color w:val="auto"/>
        </w:rPr>
      </w:pPr>
    </w:p>
    <w:p>
      <w:pPr>
        <w:sectPr>
          <w:pgSz w:w="11900" w:h="16838" w:orient="portrait"/>
          <w:cols w:equalWidth="0" w:num="2">
            <w:col w:w="8752" w:space="720"/>
            <w:col w:w="1768"/>
          </w:cols>
          <w:pgMar w:left="320" w:top="336" w:right="339" w:bottom="1440" w:gutter="0" w:footer="0" w:header="0"/>
          <w:type w:val="continuous"/>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Proceeds from issuance of Preferred A Stock</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IPO, net of fees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56,961</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Proceeds from Secondary public offering, net of fees</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79,839</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Payments of financing leases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Minority interest in Valiant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top w:val="single" w:sz="8" w:color="CCEEFF"/>
              <w:bottom w:val="single" w:sz="8" w:color="CCEEFF"/>
            </w:tcBorders>
          </w:tcPr>
          <w:p>
            <w:pPr>
              <w:ind w:left="34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137,197</w:t>
            </w:r>
          </w:p>
        </w:tc>
        <w:tc>
          <w:tcPr>
            <w:tcW w:w="2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increase in cash</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129,776</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 Beginning of Year</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8,111</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 End of Year</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137,887</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7" w:lineRule="exact"/>
        <w:rPr>
          <w:sz w:val="20"/>
          <w:szCs w:val="20"/>
          <w:color w:val="auto"/>
        </w:rPr>
      </w:pPr>
    </w:p>
    <w:p>
      <w:pPr>
        <w:ind w:right="20" w:firstLine="323"/>
        <w:spacing w:after="0" w:line="285" w:lineRule="auto"/>
        <w:rPr>
          <w:sz w:val="20"/>
          <w:szCs w:val="20"/>
          <w:color w:val="auto"/>
        </w:rPr>
      </w:pPr>
      <w:r>
        <w:rPr>
          <w:rFonts w:ascii="Arial" w:cs="Arial" w:eastAsia="Arial" w:hAnsi="Arial"/>
          <w:sz w:val="17"/>
          <w:szCs w:val="17"/>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65" w:lineRule="exact"/>
        <w:rPr>
          <w:sz w:val="20"/>
          <w:szCs w:val="20"/>
          <w:color w:val="auto"/>
        </w:rPr>
      </w:pPr>
    </w:p>
    <w:p>
      <w:pPr>
        <w:ind w:right="120" w:firstLine="323"/>
        <w:spacing w:after="0" w:line="271" w:lineRule="auto"/>
        <w:rPr>
          <w:sz w:val="20"/>
          <w:szCs w:val="20"/>
          <w:color w:val="auto"/>
        </w:rPr>
      </w:pPr>
      <w:r>
        <w:rPr>
          <w:rFonts w:ascii="Arial" w:cs="Arial" w:eastAsia="Arial" w:hAnsi="Arial"/>
          <w:sz w:val="17"/>
          <w:szCs w:val="17"/>
          <w:color w:val="auto"/>
        </w:rPr>
        <w:t>The Company has five wholly-owned subsidiaries, AGM Service Corp LLC,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and Agxiom, LLC. The Company also owns 50% of Teejan Podponics International LLC (“TPI”) since December 2018; 60% of Agrify-Valiant, LLC, formed in December 2019; and 75% of Agrify Brands LLC (formerly TriGrow Brands LLC, which was part of the January 2020 acquisition of TriGrow). For further details about the January 2020 and July 2020 acquisitions, please refer to the Company’s Annual Report on Form 10-K for the year ended December 31, 2020 filed with the U.S. Securities and Exchange Commission (“SEC”) on April 2,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7" w:lineRule="exact"/>
        <w:rPr>
          <w:sz w:val="20"/>
          <w:szCs w:val="20"/>
          <w:color w:val="auto"/>
        </w:rPr>
      </w:pPr>
    </w:p>
    <w:p>
      <w:pPr>
        <w:ind w:right="80" w:firstLine="323"/>
        <w:spacing w:after="0" w:line="275" w:lineRule="auto"/>
        <w:rPr>
          <w:sz w:val="20"/>
          <w:szCs w:val="20"/>
          <w:color w:val="auto"/>
        </w:rPr>
      </w:pPr>
      <w:r>
        <w:rPr>
          <w:rFonts w:ascii="Arial" w:cs="Arial" w:eastAsia="Arial" w:hAnsi="Arial"/>
          <w:sz w:val="18"/>
          <w:szCs w:val="18"/>
          <w:color w:val="auto"/>
        </w:rPr>
        <w:t>On January 12, 2021, the Company effected a 1-for-1.581804 reverse stock split. All share and per share information has been retroactively adjusted to give effect to the reverse stock split for all periods presented, unless otherwise indicated.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w:t>
      </w:r>
    </w:p>
    <w:p>
      <w:pPr>
        <w:spacing w:after="0" w:line="227" w:lineRule="exact"/>
        <w:rPr>
          <w:sz w:val="20"/>
          <w:szCs w:val="20"/>
          <w:color w:val="auto"/>
        </w:rPr>
      </w:pPr>
    </w:p>
    <w:p>
      <w:pPr>
        <w:ind w:firstLine="323"/>
        <w:spacing w:after="0" w:line="285" w:lineRule="auto"/>
        <w:rPr>
          <w:sz w:val="20"/>
          <w:szCs w:val="20"/>
          <w:color w:val="auto"/>
        </w:rPr>
      </w:pPr>
      <w:r>
        <w:rPr>
          <w:rFonts w:ascii="Arial" w:cs="Arial" w:eastAsia="Arial" w:hAnsi="Arial"/>
          <w:sz w:val="17"/>
          <w:szCs w:val="17"/>
          <w:color w:val="auto"/>
        </w:rPr>
        <w:t>On February 1, 2021, the Company consummated its initial public offering (“IPO”) of 5,400,000 shares of common stock at a price of $10.00 per share, less certain underwriting discounts and commissions. On February 4, 2021, the Company closed on the sale of an additional 810,000 shares of common stock on the same terms and conditions pursuant to the exercise of the underwriters’ over-allotment option.</w:t>
      </w:r>
    </w:p>
    <w:p>
      <w:pPr>
        <w:spacing w:after="0" w:line="165" w:lineRule="exact"/>
        <w:rPr>
          <w:sz w:val="20"/>
          <w:szCs w:val="20"/>
          <w:color w:val="auto"/>
        </w:rPr>
      </w:pPr>
    </w:p>
    <w:p>
      <w:pPr>
        <w:ind w:right="220" w:firstLine="323"/>
        <w:spacing w:after="0" w:line="258" w:lineRule="auto"/>
        <w:rPr>
          <w:sz w:val="20"/>
          <w:szCs w:val="20"/>
          <w:color w:val="auto"/>
        </w:rPr>
      </w:pPr>
      <w:r>
        <w:rPr>
          <w:rFonts w:ascii="Arial" w:cs="Arial" w:eastAsia="Arial" w:hAnsi="Arial"/>
          <w:sz w:val="18"/>
          <w:szCs w:val="18"/>
          <w:color w:val="auto"/>
        </w:rPr>
        <w:t>On February 19, 2021, the Company consummated a secondary public offering (the “February Offering”) of 5,555,555 shares of common stock for a price of $13.50 per share, less certain underwriting discounts and commissions. On March 22, 2021, the Company closed on the sale of an additional 833,333 shares of common stock on the same terms and conditions pursuant to the exercise of the underwriters’ over-allotment option. See Note 11 — Capital Structure for additional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 (“COVID-19”)</w:t>
      </w:r>
    </w:p>
    <w:p>
      <w:pPr>
        <w:spacing w:after="0" w:line="227" w:lineRule="exact"/>
        <w:rPr>
          <w:sz w:val="20"/>
          <w:szCs w:val="20"/>
          <w:color w:val="auto"/>
        </w:rPr>
      </w:pPr>
    </w:p>
    <w:p>
      <w:pPr>
        <w:ind w:right="80" w:firstLine="323"/>
        <w:spacing w:after="0" w:line="253" w:lineRule="auto"/>
        <w:rPr>
          <w:sz w:val="20"/>
          <w:szCs w:val="20"/>
          <w:color w:val="auto"/>
        </w:rPr>
      </w:pPr>
      <w:r>
        <w:rPr>
          <w:rFonts w:ascii="Arial" w:cs="Arial" w:eastAsia="Arial" w:hAnsi="Arial"/>
          <w:sz w:val="18"/>
          <w:szCs w:val="18"/>
          <w:color w:val="auto"/>
        </w:rPr>
        <w:t>The novel coronavirus (“COVID-19”) was first identified in people in late 2019. COVID-19 spread rapidly throughout the world and, in March 2020, the World Health Organization characterized COVID-19 as a pandemic. COVID-19 is a pandemic of respiratory disease spreading from person-to-person that poses a serious public health risk. It has significantly disrupted supply chains and businesses around the world. The extent and duration of the COVID-19 impact, on the operations and financial position of the Company and on the global economy, is uncertain. Uncertainty remains regarding the length of time it will take for the COVID-19 pandemic to subside, including the time it will take for vaccines to be broadly distributed and accepted in the United States and the rest of the world, and the effectiveness of such vaccines in slowing or stopping the spread of COVID-19 and mitigating the economic effects of the pandemic. The Company continues to service its customers amid uncertainty and disruption linked to COVID-19 and is actively managing its business to respond to the impact.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227" w:lineRule="exact"/>
        <w:rPr>
          <w:sz w:val="20"/>
          <w:szCs w:val="20"/>
          <w:color w:val="auto"/>
        </w:rPr>
      </w:pPr>
    </w:p>
    <w:p>
      <w:pPr>
        <w:ind w:right="20" w:firstLine="323"/>
        <w:spacing w:after="0" w:line="286"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2020 filed with the SEC, except for the recently adopted accounting pronouncements described below. The condensed consolidated statements of operations, stockholders’ equity, and cash flows for the periods ended March 31, 2021 and 2020, and the condensed consolidated balance sheet as of March 31, 2021, are not audited but reflect all adjustments that are of a normal recurring nature and that are considered necessary for a fair presentation of the results for the periods shown. The condensed consolidated balance sheet as of December 31, 2020 is derived from the audited consolidated financial statements presented in our Annual Report on Form 10-K for the year ended December 31, 2020.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2020 filed with the SEC on April 2, 2021. The results for interim periods are not necessarily indicative of a full year’s results.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227" w:lineRule="exact"/>
        <w:rPr>
          <w:sz w:val="20"/>
          <w:szCs w:val="20"/>
          <w:color w:val="auto"/>
        </w:rPr>
      </w:pPr>
    </w:p>
    <w:p>
      <w:pPr>
        <w:ind w:right="260" w:firstLine="323"/>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Agrify Corporation and its wholly-owned subsidiaries, AGM Service Corp LLC (formerly AGM Service Corp Inc.), Harbor Mountain Holdings, LLC, TriGrow Systems, Inc., Ariafy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227" w:lineRule="exact"/>
        <w:rPr>
          <w:sz w:val="20"/>
          <w:szCs w:val="20"/>
          <w:color w:val="auto"/>
        </w:rPr>
      </w:pPr>
    </w:p>
    <w:p>
      <w:pPr>
        <w:ind w:right="160" w:firstLine="323"/>
        <w:spacing w:after="0" w:line="287" w:lineRule="auto"/>
        <w:rPr>
          <w:sz w:val="20"/>
          <w:szCs w:val="20"/>
          <w:color w:val="auto"/>
        </w:rPr>
      </w:pPr>
      <w:r>
        <w:rPr>
          <w:rFonts w:ascii="Arial" w:cs="Arial" w:eastAsia="Arial" w:hAnsi="Arial"/>
          <w:sz w:val="16"/>
          <w:szCs w:val="16"/>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w:t>
      </w:r>
    </w:p>
    <w:p>
      <w:pPr>
        <w:ind w:right="20" w:firstLine="8"/>
        <w:spacing w:after="0" w:line="251"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93" w:lineRule="exact"/>
        <w:rPr>
          <w:sz w:val="20"/>
          <w:szCs w:val="20"/>
          <w:color w:val="auto"/>
        </w:rPr>
      </w:pPr>
    </w:p>
    <w:p>
      <w:pPr>
        <w:ind w:right="80" w:firstLine="323"/>
        <w:spacing w:after="0" w:line="288" w:lineRule="auto"/>
        <w:rPr>
          <w:sz w:val="20"/>
          <w:szCs w:val="20"/>
          <w:color w:val="auto"/>
        </w:rPr>
      </w:pPr>
      <w:r>
        <w:rPr>
          <w:rFonts w:ascii="Arial" w:cs="Arial" w:eastAsia="Arial" w:hAnsi="Arial"/>
          <w:sz w:val="16"/>
          <w:szCs w:val="16"/>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year.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Cash and Cash Equivalents</w:t>
      </w:r>
    </w:p>
    <w:p>
      <w:pPr>
        <w:spacing w:after="0" w:line="227" w:lineRule="exact"/>
        <w:rPr>
          <w:sz w:val="20"/>
          <w:szCs w:val="20"/>
          <w:color w:val="auto"/>
        </w:rPr>
      </w:pPr>
    </w:p>
    <w:p>
      <w:pPr>
        <w:ind w:right="380" w:firstLine="323"/>
        <w:spacing w:after="0" w:line="275"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March 31, 2021 and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227"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and accounts receivable. The Company places its cash with financial institutions in the United States. The cash balances are insured by the FDIC up to $250 per depositor with unlimited insurance for funds in noninterest-bearing transaction accounts through March 31, 2021. At times, the amounts in these accounts may exceed the federally insured limits.</w:t>
      </w:r>
    </w:p>
    <w:p>
      <w:pPr>
        <w:spacing w:after="0" w:line="186" w:lineRule="exact"/>
        <w:rPr>
          <w:sz w:val="20"/>
          <w:szCs w:val="20"/>
          <w:color w:val="auto"/>
        </w:rPr>
      </w:pPr>
    </w:p>
    <w:p>
      <w:pPr>
        <w:ind w:right="660" w:firstLine="323"/>
        <w:spacing w:after="0" w:line="275"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71" w:lineRule="exact"/>
        <w:rPr>
          <w:sz w:val="20"/>
          <w:szCs w:val="20"/>
          <w:color w:val="auto"/>
        </w:rPr>
      </w:pPr>
    </w:p>
    <w:p>
      <w:pPr>
        <w:ind w:right="40" w:firstLine="323"/>
        <w:spacing w:after="0" w:line="262" w:lineRule="auto"/>
        <w:rPr>
          <w:sz w:val="20"/>
          <w:szCs w:val="20"/>
          <w:color w:val="auto"/>
        </w:rPr>
      </w:pPr>
      <w:r>
        <w:rPr>
          <w:rFonts w:ascii="Arial" w:cs="Arial" w:eastAsia="Arial" w:hAnsi="Arial"/>
          <w:sz w:val="18"/>
          <w:szCs w:val="18"/>
          <w:color w:val="auto"/>
        </w:rPr>
        <w:t>For the three months ended March 31, 2021 and 2020, one customer accounted for 77.9% and another customer accounted for 84.4% of revenue, respectively. At March 31, 2021 and 2020, three customers accounted for 87.7% and three different customers accounted for 75.0% of accounts receivable,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7" w:lineRule="exact"/>
        <w:rPr>
          <w:sz w:val="20"/>
          <w:szCs w:val="20"/>
          <w:color w:val="auto"/>
        </w:rPr>
      </w:pPr>
    </w:p>
    <w:p>
      <w:pPr>
        <w:ind w:right="180" w:firstLine="323"/>
        <w:spacing w:after="0" w:line="340" w:lineRule="auto"/>
        <w:rPr>
          <w:sz w:val="20"/>
          <w:szCs w:val="20"/>
          <w:color w:val="auto"/>
        </w:rPr>
      </w:pPr>
      <w:r>
        <w:rPr>
          <w:rFonts w:ascii="Arial" w:cs="Arial" w:eastAsia="Arial" w:hAnsi="Arial"/>
          <w:sz w:val="16"/>
          <w:szCs w:val="16"/>
          <w:color w:val="auto"/>
        </w:rPr>
        <w:t>The Company expenses research and development costs as incurred. During the three months ended March 31, 2020, the Company expensed $662 related to development of hardware solution for deployment of rapid grow solution. There were no such costs in the three months ended March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Charges</w:t>
      </w:r>
    </w:p>
    <w:p>
      <w:pPr>
        <w:spacing w:after="0" w:line="227" w:lineRule="exact"/>
        <w:rPr>
          <w:sz w:val="20"/>
          <w:szCs w:val="20"/>
          <w:color w:val="auto"/>
        </w:rPr>
      </w:pPr>
    </w:p>
    <w:p>
      <w:pPr>
        <w:ind w:right="60" w:firstLine="323"/>
        <w:spacing w:after="0" w:line="340" w:lineRule="auto"/>
        <w:rPr>
          <w:sz w:val="20"/>
          <w:szCs w:val="20"/>
          <w:color w:val="auto"/>
        </w:rPr>
      </w:pPr>
      <w:r>
        <w:rPr>
          <w:rFonts w:ascii="Arial" w:cs="Arial" w:eastAsia="Arial" w:hAnsi="Arial"/>
          <w:sz w:val="16"/>
          <w:szCs w:val="16"/>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227" w:lineRule="exact"/>
        <w:rPr>
          <w:sz w:val="20"/>
          <w:szCs w:val="20"/>
          <w:color w:val="auto"/>
        </w:rPr>
      </w:pPr>
    </w:p>
    <w:p>
      <w:pPr>
        <w:ind w:right="20" w:firstLine="323"/>
        <w:spacing w:after="0" w:line="274" w:lineRule="auto"/>
        <w:rPr>
          <w:sz w:val="20"/>
          <w:szCs w:val="20"/>
          <w:color w:val="auto"/>
        </w:rPr>
      </w:pPr>
      <w:r>
        <w:rPr>
          <w:rFonts w:ascii="Arial" w:cs="Arial" w:eastAsia="Arial" w:hAnsi="Arial"/>
          <w:sz w:val="17"/>
          <w:szCs w:val="17"/>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76" w:lineRule="exact"/>
        <w:rPr>
          <w:sz w:val="20"/>
          <w:szCs w:val="20"/>
          <w:color w:val="auto"/>
        </w:rPr>
      </w:pPr>
    </w:p>
    <w:p>
      <w:pPr>
        <w:ind w:right="40" w:firstLine="323"/>
        <w:spacing w:after="0" w:line="288" w:lineRule="auto"/>
        <w:rPr>
          <w:sz w:val="20"/>
          <w:szCs w:val="20"/>
          <w:color w:val="auto"/>
        </w:rPr>
      </w:pPr>
      <w:r>
        <w:rPr>
          <w:rFonts w:ascii="Arial" w:cs="Arial" w:eastAsia="Arial" w:hAnsi="Arial"/>
          <w:sz w:val="16"/>
          <w:szCs w:val="16"/>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336"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223" w:lineRule="exact"/>
        <w:rPr>
          <w:sz w:val="20"/>
          <w:szCs w:val="20"/>
          <w:color w:val="auto"/>
        </w:rPr>
      </w:pPr>
    </w:p>
    <w:p>
      <w:pPr>
        <w:ind w:right="80" w:firstLine="323"/>
        <w:spacing w:after="0" w:line="258" w:lineRule="auto"/>
        <w:rPr>
          <w:sz w:val="20"/>
          <w:szCs w:val="20"/>
          <w:color w:val="auto"/>
        </w:rPr>
      </w:pPr>
      <w:r>
        <w:rPr>
          <w:rFonts w:ascii="Arial" w:cs="Arial" w:eastAsia="Arial" w:hAnsi="Arial"/>
          <w:sz w:val="18"/>
          <w:szCs w:val="18"/>
          <w:color w:val="auto"/>
        </w:rPr>
        <w:t>We sell our equipment and services to customers under a combination of a contract and purchase order. Equipment revenue includes sales from proprietary products designed and engineered by the Company such as Agrify Vertical Farming Units (“AVFUs”), container farms, integrated grow racks, and LED grow lights, and non-proprietary products designed, engineered, and manufactured by third parties such as air cleaning systems and pesticide-free surface protection.</w:t>
      </w:r>
    </w:p>
    <w:p>
      <w:pPr>
        <w:spacing w:after="0" w:line="186"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two main sub-contractors to execute the construction contracts.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 recognition: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0"/>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Transferred over time</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9"/>
        </w:trPr>
        <w:tc>
          <w:tcPr>
            <w:tcW w:w="86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7,008</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ind w:right="300" w:firstLine="323"/>
        <w:spacing w:after="0" w:line="278" w:lineRule="auto"/>
        <w:rPr>
          <w:sz w:val="20"/>
          <w:szCs w:val="20"/>
          <w:color w:val="auto"/>
        </w:rPr>
      </w:pPr>
      <w:r>
        <w:rPr>
          <w:rFonts w:ascii="Arial" w:cs="Arial" w:eastAsia="Arial" w:hAnsi="Arial"/>
          <w:sz w:val="17"/>
          <w:szCs w:val="17"/>
          <w:color w:val="auto"/>
        </w:rPr>
        <w:t>The Company generally provides a one-year warranty on its products for materials and workmanship but may provide multiple year warranties as negotiated, and will pass on the warranties from its vendors, if any, which generally covers this one-year period. In accordance with ASC 450-20-25, the Company accrues for product warranties when the loss is probable and can be reasonably estimated. At March 31, 2021, the Company has no product warranty accrual given the Company’s de minimis historical financial warranty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Receivables consisted of the following as of March 31, 2021 and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0"/>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Prepaid software</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Directors and officers insurance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6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2,519</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680" w:type="dxa"/>
            <w:vAlign w:val="bottom"/>
          </w:tcPr>
          <w:p>
            <w:pPr>
              <w:ind w:left="340"/>
              <w:spacing w:after="0"/>
              <w:rPr>
                <w:sz w:val="20"/>
                <w:szCs w:val="20"/>
                <w:color w:val="auto"/>
              </w:rPr>
            </w:pPr>
            <w:r>
              <w:rPr>
                <w:rFonts w:ascii="Arial" w:cs="Arial" w:eastAsia="Arial" w:hAnsi="Arial"/>
                <w:sz w:val="18"/>
                <w:szCs w:val="18"/>
                <w:color w:val="auto"/>
              </w:rPr>
              <w:t>Property and equipment, net consisted of the following as of March 31, 2021 and December 31, 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0"/>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Vehicle</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5"/>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the three months ended March 31, 2021 and 2020 was $90 and $19,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 Capitalized website costs, net</w:t>
      </w:r>
    </w:p>
    <w:p>
      <w:pPr>
        <w:spacing w:after="0" w:line="227" w:lineRule="exact"/>
        <w:rPr>
          <w:sz w:val="20"/>
          <w:szCs w:val="20"/>
          <w:color w:val="auto"/>
        </w:rPr>
      </w:pPr>
    </w:p>
    <w:p>
      <w:pPr>
        <w:ind w:right="440" w:firstLine="323"/>
        <w:spacing w:after="0" w:line="262"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March 31, 2021 and December 31, 2020, amortizable website cost was $139, and accumulated amortization was $59 and $48, respectively. Amortization expense was $11 and $10 for the three months ended March 31, 2021 and 2020,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and Goodwill</w:t>
      </w:r>
    </w:p>
    <w:p>
      <w:pPr>
        <w:spacing w:after="0" w:line="227" w:lineRule="exact"/>
        <w:rPr>
          <w:sz w:val="20"/>
          <w:szCs w:val="20"/>
          <w:color w:val="auto"/>
        </w:rPr>
      </w:pPr>
    </w:p>
    <w:p>
      <w:pPr>
        <w:ind w:right="180" w:firstLine="323"/>
        <w:spacing w:after="0" w:line="278" w:lineRule="auto"/>
        <w:rPr>
          <w:sz w:val="20"/>
          <w:szCs w:val="20"/>
          <w:color w:val="auto"/>
        </w:rPr>
      </w:pPr>
      <w:r>
        <w:rPr>
          <w:rFonts w:ascii="Arial" w:cs="Arial" w:eastAsia="Arial" w:hAnsi="Arial"/>
          <w:sz w:val="17"/>
          <w:szCs w:val="17"/>
          <w:color w:val="auto"/>
        </w:rPr>
        <w:t>Acquired 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an impairment test of goodwill during the fourth quarter of each year or sooner, if indicators of potential impairment arise. There were no such indicators in the three months ended March 31,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breakdown of acquisition-related intangible assets as of December 31, 2020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w w:val="96"/>
              </w:rPr>
              <w:t>Brand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w w:val="89"/>
              </w:rPr>
              <w:t>Rights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Relationships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32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4"/>
              </w:rPr>
              <w:t>The breakdown of acquisition-related intangible assets as of March 31, 2021 was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7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3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w w:val="96"/>
              </w:rPr>
              <w:t>Brand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Customer</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p>
        </w:tc>
        <w:tc>
          <w:tcPr>
            <w:tcW w:w="840" w:type="dxa"/>
            <w:vAlign w:val="bottom"/>
          </w:tcPr>
          <w:p>
            <w:pPr>
              <w:ind w:left="320"/>
              <w:spacing w:after="0"/>
              <w:rPr>
                <w:sz w:val="20"/>
                <w:szCs w:val="20"/>
                <w:color w:val="auto"/>
              </w:rPr>
            </w:pPr>
            <w:r>
              <w:rPr>
                <w:rFonts w:ascii="Arial" w:cs="Arial" w:eastAsia="Arial" w:hAnsi="Arial"/>
                <w:sz w:val="18"/>
                <w:szCs w:val="18"/>
                <w:b w:val="1"/>
                <w:bCs w:val="1"/>
                <w:color w:val="auto"/>
                <w:w w:val="89"/>
              </w:rPr>
              <w:t>Rights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Relationships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80"/>
              </w:rPr>
              <w:t>(111)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w:t>
            </w: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32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323"/>
        <w:spacing w:after="0" w:line="275" w:lineRule="auto"/>
        <w:rPr>
          <w:sz w:val="20"/>
          <w:szCs w:val="20"/>
          <w:color w:val="auto"/>
        </w:rPr>
      </w:pPr>
      <w:r>
        <w:rPr>
          <w:rFonts w:ascii="Arial" w:cs="Arial" w:eastAsia="Arial" w:hAnsi="Arial"/>
          <w:sz w:val="18"/>
          <w:szCs w:val="18"/>
          <w:color w:val="auto"/>
        </w:rPr>
        <w:t>Amortization expenses recorded in selling general and administrative in the income statement were $47 and $35 for the three months ended March 31, 2021 and 2020,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ind w:left="340"/>
              <w:spacing w:after="0"/>
              <w:rPr>
                <w:sz w:val="20"/>
                <w:szCs w:val="20"/>
                <w:color w:val="auto"/>
              </w:rPr>
            </w:pPr>
            <w:r>
              <w:rPr>
                <w:rFonts w:ascii="Arial" w:cs="Arial" w:eastAsia="Arial" w:hAnsi="Arial"/>
                <w:sz w:val="18"/>
                <w:szCs w:val="18"/>
                <w:color w:val="auto"/>
              </w:rPr>
              <w:t>Estimated amortization expense for the remainder of 2021 and subsequent years for acquired intangible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2"/>
        </w:trPr>
        <w:tc>
          <w:tcPr>
            <w:tcW w:w="9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99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5"/>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5"/>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5"/>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5"/>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36"/>
        </w:trPr>
        <w:tc>
          <w:tcPr>
            <w:tcW w:w="9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20"/>
                <w:szCs w:val="20"/>
                <w:color w:val="auto"/>
              </w:rPr>
            </w:pPr>
          </w:p>
        </w:tc>
      </w:tr>
      <w:tr>
        <w:trPr>
          <w:trHeight w:val="249"/>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1,556</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balance as of March 31, 2021 and December 31, 2020 was $632.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 Accrued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consisted of the following as of March 31, 2021 and December 31, 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0"/>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Accrued construction costs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 purchases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Convertible Promissory Notes</w:t>
      </w:r>
    </w:p>
    <w:p>
      <w:pPr>
        <w:spacing w:after="0" w:line="227" w:lineRule="exact"/>
        <w:rPr>
          <w:sz w:val="20"/>
          <w:szCs w:val="20"/>
          <w:color w:val="auto"/>
        </w:rPr>
      </w:pPr>
    </w:p>
    <w:p>
      <w:pPr>
        <w:ind w:right="40" w:firstLine="323"/>
        <w:spacing w:after="0" w:line="278" w:lineRule="auto"/>
        <w:rPr>
          <w:sz w:val="20"/>
          <w:szCs w:val="20"/>
          <w:color w:val="auto"/>
        </w:rPr>
      </w:pPr>
      <w:r>
        <w:rPr>
          <w:rFonts w:ascii="Arial" w:cs="Arial" w:eastAsia="Arial" w:hAnsi="Arial"/>
          <w:sz w:val="17"/>
          <w:szCs w:val="17"/>
          <w:color w:val="auto"/>
        </w:rPr>
        <w:t>On January 11, 2021, the Company’s Board of Directors and shareholders approved the amendment to the conversion formula of the Convertible Promissory Notes (the “Notes”) issued by the Company on dates between August 2020 and November 2020. Pursuant to the amendment, immediately prior to the consummation of a public transaction, the outstanding principal amount of the Notes, together with all accrued and unpaid interest, shall convert into a number of fully paid and non-assessable shares of common stock, at a conversion price of $7.72.</w:t>
      </w:r>
    </w:p>
    <w:p>
      <w:pPr>
        <w:spacing w:after="0" w:line="170" w:lineRule="exact"/>
        <w:rPr>
          <w:sz w:val="20"/>
          <w:szCs w:val="20"/>
          <w:color w:val="auto"/>
        </w:rPr>
      </w:pPr>
    </w:p>
    <w:p>
      <w:pPr>
        <w:ind w:right="20" w:firstLine="323"/>
        <w:spacing w:after="0" w:line="254" w:lineRule="auto"/>
        <w:rPr>
          <w:sz w:val="20"/>
          <w:szCs w:val="20"/>
          <w:color w:val="auto"/>
        </w:rPr>
      </w:pPr>
      <w:r>
        <w:rPr>
          <w:rFonts w:ascii="Arial" w:cs="Arial" w:eastAsia="Arial" w:hAnsi="Arial"/>
          <w:sz w:val="18"/>
          <w:szCs w:val="18"/>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 Accordingly, the Company recognized a gain on extinguishment of $2,685 in connection with the derecognition of the net carrying amount of the extinguished debt of $19,654 (inclusive of $13,100 of principal, $7,141 of derivative liabilities, less $587 of debt discount) and the recognition of the $16,969 fair value of the new convertible notes (including the same principal amount of $13,100 plus the $3,869 fair value of the beneficial conversion feature).</w:t>
      </w:r>
    </w:p>
    <w:p>
      <w:pPr>
        <w:spacing w:after="0" w:line="192" w:lineRule="exact"/>
        <w:rPr>
          <w:sz w:val="20"/>
          <w:szCs w:val="20"/>
          <w:color w:val="auto"/>
        </w:rPr>
      </w:pPr>
    </w:p>
    <w:p>
      <w:pPr>
        <w:ind w:right="260" w:firstLine="323"/>
        <w:spacing w:after="0" w:line="275" w:lineRule="auto"/>
        <w:rPr>
          <w:sz w:val="20"/>
          <w:szCs w:val="20"/>
          <w:color w:val="auto"/>
        </w:rPr>
      </w:pPr>
      <w:r>
        <w:rPr>
          <w:rFonts w:ascii="Arial" w:cs="Arial" w:eastAsia="Arial" w:hAnsi="Arial"/>
          <w:sz w:val="18"/>
          <w:szCs w:val="18"/>
          <w:color w:val="auto"/>
        </w:rPr>
        <w:t>On February 1, 2021, in conjunction with the closing of the Company’s IPO, the Notes in the aggregate principal amount of $13,100 were converted into 1,697,075 shares of common stock at the election of the Company at a conversion price of $7.72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Capital Structure</w:t>
      </w:r>
    </w:p>
    <w:p>
      <w:pPr>
        <w:spacing w:after="0" w:line="227" w:lineRule="exact"/>
        <w:rPr>
          <w:sz w:val="20"/>
          <w:szCs w:val="20"/>
          <w:color w:val="auto"/>
        </w:rPr>
      </w:pPr>
    </w:p>
    <w:p>
      <w:pPr>
        <w:ind w:right="80" w:firstLine="323"/>
        <w:spacing w:after="0" w:line="310"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 Preferred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Beginning in the first quarter of 2020, we issued an aggregate of 60,000 shares of our Series A Preferred Stock, for an aggregate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$6,000. In May 2020, we completed our offering of Series A Preferred Stock with the issuance of an additional 40,000 shares of Series A Preferred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 an aggregate purchase price of $4,000.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Amendment of conversion formulas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the amendment:</w:t>
      </w:r>
    </w:p>
    <w:p>
      <w:pPr>
        <w:spacing w:after="0" w:line="209" w:lineRule="exact"/>
        <w:rPr>
          <w:sz w:val="20"/>
          <w:szCs w:val="20"/>
          <w:color w:val="auto"/>
        </w:rPr>
      </w:pPr>
    </w:p>
    <w:p>
      <w:pPr>
        <w:ind w:left="660" w:right="100" w:hanging="330"/>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2" w:lineRule="exact"/>
        <w:rPr>
          <w:rFonts w:ascii="Arial" w:cs="Arial" w:eastAsia="Arial" w:hAnsi="Arial"/>
          <w:sz w:val="18"/>
          <w:szCs w:val="18"/>
          <w:color w:val="auto"/>
        </w:rPr>
      </w:pPr>
    </w:p>
    <w:p>
      <w:pPr>
        <w:ind w:left="660" w:right="80" w:hanging="330"/>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thereunder immediately prior to such public transaction divided by (ii) a conversion price of $7.72 (after the reverse split taking effect).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7" w:lineRule="exact"/>
        <w:rPr>
          <w:sz w:val="20"/>
          <w:szCs w:val="20"/>
          <w:color w:val="auto"/>
        </w:rPr>
      </w:pPr>
    </w:p>
    <w:p>
      <w:pPr>
        <w:ind w:firstLine="323"/>
        <w:spacing w:after="0" w:line="268" w:lineRule="auto"/>
        <w:rPr>
          <w:sz w:val="20"/>
          <w:szCs w:val="20"/>
          <w:color w:val="auto"/>
        </w:rPr>
      </w:pPr>
      <w:r>
        <w:rPr>
          <w:rFonts w:ascii="Arial" w:cs="Arial" w:eastAsia="Arial" w:hAnsi="Arial"/>
          <w:sz w:val="17"/>
          <w:szCs w:val="17"/>
          <w:color w:val="auto"/>
        </w:rPr>
        <w:t>On February 1, 2021, the Company completed an initial public offering (“IPO”) for the sale of 5,400,000 shares of common stock at a price of $10.00 per share. The Company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the Company closed on the sale of an additional 810,000 shares of common stock for a price of $10.00 per share and granted to the underwriters warrants to purchase 24,300 additional shares of common stock (equal to 3% of the amount of shares issued as part of the exercised of the over-allotment option) at an exercise price of $12.50 per share. The exercise of the over-allotment option brings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85" w:lineRule="exact"/>
        <w:rPr>
          <w:sz w:val="20"/>
          <w:szCs w:val="20"/>
          <w:color w:val="auto"/>
        </w:rPr>
      </w:pPr>
    </w:p>
    <w:p>
      <w:pPr>
        <w:ind w:right="440" w:firstLine="323"/>
        <w:spacing w:after="0" w:line="275" w:lineRule="auto"/>
        <w:rPr>
          <w:sz w:val="20"/>
          <w:szCs w:val="20"/>
          <w:color w:val="auto"/>
        </w:rPr>
      </w:pPr>
      <w:r>
        <w:rPr>
          <w:rFonts w:ascii="Arial" w:cs="Arial" w:eastAsia="Arial" w:hAnsi="Arial"/>
          <w:sz w:val="18"/>
          <w:szCs w:val="18"/>
          <w:color w:val="auto"/>
        </w:rPr>
        <w:t>Immediately prior to the closing of our IPO, all outstanding shares of Series A Preferred Stock and Notes were converted into 1,373,038 shares of common stock and 1,697,075 shares of common stock, respectively, at a conversion price of $7.72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Public Offering</w:t>
      </w:r>
    </w:p>
    <w:p>
      <w:pPr>
        <w:spacing w:after="0" w:line="227" w:lineRule="exact"/>
        <w:rPr>
          <w:sz w:val="20"/>
          <w:szCs w:val="20"/>
          <w:color w:val="auto"/>
        </w:rPr>
      </w:pPr>
    </w:p>
    <w:p>
      <w:pPr>
        <w:ind w:right="20" w:firstLine="323"/>
        <w:spacing w:after="0" w:line="287" w:lineRule="auto"/>
        <w:rPr>
          <w:sz w:val="20"/>
          <w:szCs w:val="20"/>
          <w:color w:val="auto"/>
        </w:rPr>
      </w:pPr>
      <w:r>
        <w:rPr>
          <w:rFonts w:ascii="Arial" w:cs="Arial" w:eastAsia="Arial" w:hAnsi="Arial"/>
          <w:sz w:val="16"/>
          <w:szCs w:val="16"/>
          <w:color w:val="auto"/>
        </w:rPr>
        <w:t>On February 19, 2021, the Company consummated a secondary public offering (the “February Offering”) for the sale of 5,555,555 shares of common stock for a price of $13.50 per share. The Company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the Company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brings the total number of shares of common stock sold by the Company in connection with the February Offering to 6,388,888 shares and the total net proceeds received in connection with the February Offering to approximately $80 million, after deducting underwriting discounts and estimated offering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7" w:lineRule="exact"/>
        <w:rPr>
          <w:sz w:val="20"/>
          <w:szCs w:val="20"/>
          <w:color w:val="auto"/>
        </w:rPr>
      </w:pPr>
    </w:p>
    <w:p>
      <w:pPr>
        <w:ind w:right="140" w:firstLine="323"/>
        <w:spacing w:after="0" w:line="288" w:lineRule="auto"/>
        <w:rPr>
          <w:sz w:val="20"/>
          <w:szCs w:val="20"/>
          <w:color w:val="auto"/>
        </w:rPr>
      </w:pPr>
      <w:r>
        <w:rPr>
          <w:rFonts w:ascii="Arial" w:cs="Arial" w:eastAsia="Arial" w:hAnsi="Arial"/>
          <w:sz w:val="16"/>
          <w:szCs w:val="16"/>
          <w:color w:val="auto"/>
        </w:rPr>
        <w:t>On June 4, 2019, the Company adopted and approved the 2019 Stock Option Plan (the “2019 Plan”) which provided for the issuance of 1,743,744 shares of our common stock. On August 10, 2020 and October 8, 2020, the Company’s board of directors and stockholders, respectively, approved an increase to the maximum number of shares of common stock authorized for issuance over the term of the 2019 Plan from 1,743,744 shares to 3,355,083 shares. As of March 31, 2021, there are no shares available to be granted under the 2019 Plan. Prior to the consummation of the Company’s IPO, the Company cancelled the 2019 Plan and converted these stock options to the 2020 Plan, as more fully described below. Under the 2019 Plan, the standard vesting schedule provided that 25% of the options vest 12 months following issuance and the balance vests in 36 equal monthly installments thereafter. However, the Company’s board of directors was permitted to provide for alternative or accelerated vesting schedules in approving each stock option grant. In many cases, the Company’s board of directors included an accelerated vesting schedule under which 50% of the stock options granted vest immediately prior to a change of control transaction or the Company’s first underwritten public offering.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2020 Omnibus Equity Incentive Plan</w:t>
      </w:r>
    </w:p>
    <w:p>
      <w:pPr>
        <w:spacing w:after="0" w:line="227" w:lineRule="exact"/>
        <w:rPr>
          <w:sz w:val="20"/>
          <w:szCs w:val="20"/>
          <w:color w:val="auto"/>
        </w:rPr>
      </w:pPr>
    </w:p>
    <w:p>
      <w:pPr>
        <w:ind w:right="40" w:firstLine="323"/>
        <w:spacing w:after="0" w:line="283" w:lineRule="auto"/>
        <w:rPr>
          <w:sz w:val="20"/>
          <w:szCs w:val="20"/>
          <w:color w:val="auto"/>
        </w:rPr>
      </w:pPr>
      <w:r>
        <w:rPr>
          <w:rFonts w:ascii="Arial" w:cs="Arial" w:eastAsia="Arial" w:hAnsi="Arial"/>
          <w:sz w:val="16"/>
          <w:szCs w:val="16"/>
          <w:color w:val="auto"/>
        </w:rPr>
        <w:t>On December 18, 2020, the Company’s board of directors, and on January 11, 2021, the Company’s stockholders, adopted and approved the 2020 Omnibus Equity Incentive Plan (the “2020 Plan”), which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w:t>
      </w:r>
    </w:p>
    <w:p>
      <w:pPr>
        <w:spacing w:after="0" w:line="3" w:lineRule="exact"/>
        <w:rPr>
          <w:sz w:val="20"/>
          <w:szCs w:val="20"/>
          <w:color w:val="auto"/>
        </w:rPr>
      </w:pPr>
    </w:p>
    <w:p>
      <w:pPr>
        <w:ind w:right="640"/>
        <w:spacing w:after="0" w:line="209" w:lineRule="auto"/>
        <w:rPr>
          <w:sz w:val="20"/>
          <w:szCs w:val="20"/>
          <w:color w:val="auto"/>
        </w:rPr>
      </w:pPr>
      <w:r>
        <w:rPr>
          <w:rFonts w:ascii="Arial" w:cs="Arial" w:eastAsia="Arial" w:hAnsi="Arial"/>
          <w:sz w:val="18"/>
          <w:szCs w:val="18"/>
          <w:color w:val="auto"/>
        </w:rPr>
        <w:t>The 2020 Plan shall continue in effect, unless sooner terminated, until the tenth (10</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date on which it is adopted by the board of directors.</w:t>
      </w:r>
    </w:p>
    <w:p>
      <w:pPr>
        <w:spacing w:after="0" w:line="201" w:lineRule="exact"/>
        <w:rPr>
          <w:sz w:val="20"/>
          <w:szCs w:val="20"/>
          <w:color w:val="auto"/>
        </w:rPr>
      </w:pPr>
    </w:p>
    <w:p>
      <w:pPr>
        <w:ind w:right="60" w:firstLine="323"/>
        <w:spacing w:after="0" w:line="262" w:lineRule="auto"/>
        <w:rPr>
          <w:sz w:val="20"/>
          <w:szCs w:val="20"/>
          <w:color w:val="auto"/>
        </w:rPr>
      </w:pPr>
      <w:r>
        <w:rPr>
          <w:rFonts w:ascii="Arial" w:cs="Arial" w:eastAsia="Arial" w:hAnsi="Arial"/>
          <w:sz w:val="18"/>
          <w:szCs w:val="18"/>
          <w:color w:val="auto"/>
        </w:rPr>
        <w:t>On January 24, 2021, the Company’s Board of Directors approved grants of options to purchase an aggregate of 144,360 shares of common stock to its directors. The options will expire 10 years from the date of grant and have an exercise price per share of $4.86. 25% of the options vest 12 months following issuance and the balance vests in 36 equal monthly installments thereafter.</w:t>
      </w:r>
    </w:p>
    <w:p>
      <w:pPr>
        <w:spacing w:after="0" w:line="183" w:lineRule="exact"/>
        <w:rPr>
          <w:sz w:val="20"/>
          <w:szCs w:val="20"/>
          <w:color w:val="auto"/>
        </w:rPr>
      </w:pPr>
    </w:p>
    <w:p>
      <w:pPr>
        <w:ind w:right="140" w:firstLine="323"/>
        <w:spacing w:after="0" w:line="262" w:lineRule="auto"/>
        <w:rPr>
          <w:sz w:val="20"/>
          <w:szCs w:val="20"/>
          <w:color w:val="auto"/>
        </w:rPr>
      </w:pPr>
      <w:r>
        <w:rPr>
          <w:rFonts w:ascii="Arial" w:cs="Arial" w:eastAsia="Arial" w:hAnsi="Arial"/>
          <w:sz w:val="18"/>
          <w:szCs w:val="18"/>
          <w:color w:val="auto"/>
        </w:rPr>
        <w:t>The Company’s stock option compensation expense was $2,135 and $61 for the three months ended March 31, 2021 and 2020, respectively, and there was $12,847 of total unrecognized compensation cost related to unvested options granted under the Company’s options plans as of March 31, 2021. This stock option expense will be recognized through 2025.</w:t>
      </w:r>
    </w:p>
    <w:p>
      <w:pPr>
        <w:spacing w:after="0" w:line="183" w:lineRule="exact"/>
        <w:rPr>
          <w:sz w:val="20"/>
          <w:szCs w:val="20"/>
          <w:color w:val="auto"/>
        </w:rPr>
      </w:pPr>
    </w:p>
    <w:p>
      <w:pPr>
        <w:ind w:firstLine="323"/>
        <w:spacing w:after="0" w:line="262"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assumptions used in the valuation of options granted during the three months ended March 31,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280" w:type="dxa"/>
            <w:vAlign w:val="bottom"/>
            <w:shd w:val="clear" w:color="auto" w:fill="CCEEFF"/>
          </w:tcPr>
          <w:p>
            <w:pPr>
              <w:jc w:val="center"/>
              <w:ind w:left="4070"/>
              <w:spacing w:after="0"/>
              <w:rPr>
                <w:sz w:val="20"/>
                <w:szCs w:val="20"/>
                <w:color w:val="auto"/>
              </w:rPr>
            </w:pPr>
            <w:r>
              <w:rPr>
                <w:rFonts w:ascii="Arial" w:cs="Arial" w:eastAsia="Arial" w:hAnsi="Arial"/>
                <w:sz w:val="18"/>
                <w:szCs w:val="18"/>
                <w:color w:val="auto"/>
                <w:w w:val="88"/>
              </w:rPr>
              <w:t>40%</w:t>
            </w: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80" w:type="dxa"/>
            <w:vAlign w:val="bottom"/>
          </w:tcPr>
          <w:p>
            <w:pPr>
              <w:jc w:val="center"/>
              <w:ind w:left="4070"/>
              <w:spacing w:after="0"/>
              <w:rPr>
                <w:sz w:val="20"/>
                <w:szCs w:val="20"/>
                <w:color w:val="auto"/>
              </w:rPr>
            </w:pPr>
            <w:r>
              <w:rPr>
                <w:rFonts w:ascii="Arial" w:cs="Arial" w:eastAsia="Arial" w:hAnsi="Arial"/>
                <w:sz w:val="18"/>
                <w:szCs w:val="18"/>
                <w:color w:val="auto"/>
                <w:w w:val="91"/>
              </w:rPr>
              <w:t>1.10% – 1.29%</w:t>
            </w: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280" w:type="dxa"/>
            <w:vAlign w:val="bottom"/>
            <w:shd w:val="clear" w:color="auto" w:fill="CCEEFF"/>
          </w:tcPr>
          <w:p>
            <w:pPr>
              <w:jc w:val="center"/>
              <w:ind w:left="4090"/>
              <w:spacing w:after="0"/>
              <w:rPr>
                <w:sz w:val="20"/>
                <w:szCs w:val="20"/>
                <w:color w:val="auto"/>
              </w:rPr>
            </w:pPr>
            <w:r>
              <w:rPr>
                <w:rFonts w:ascii="Arial" w:cs="Arial" w:eastAsia="Arial" w:hAnsi="Arial"/>
                <w:sz w:val="18"/>
                <w:szCs w:val="18"/>
                <w:color w:val="auto"/>
                <w:w w:val="90"/>
              </w:rPr>
              <w:t>0.00%</w:t>
            </w: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0% Expected life (years)</w:t>
            </w:r>
          </w:p>
        </w:tc>
        <w:tc>
          <w:tcPr>
            <w:tcW w:w="5280" w:type="dxa"/>
            <w:vAlign w:val="bottom"/>
          </w:tcPr>
          <w:p>
            <w:pPr>
              <w:jc w:val="center"/>
              <w:ind w:left="4090"/>
              <w:spacing w:after="0"/>
              <w:rPr>
                <w:sz w:val="20"/>
                <w:szCs w:val="20"/>
                <w:color w:val="auto"/>
              </w:rPr>
            </w:pPr>
            <w:r>
              <w:rPr>
                <w:rFonts w:ascii="Arial" w:cs="Arial" w:eastAsia="Arial" w:hAnsi="Arial"/>
                <w:sz w:val="18"/>
                <w:szCs w:val="18"/>
                <w:color w:val="auto"/>
                <w:w w:val="89"/>
              </w:rPr>
              <w:t>10</w:t>
            </w:r>
          </w:p>
        </w:tc>
      </w:tr>
      <w:tr>
        <w:trPr>
          <w:trHeight w:val="215"/>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5280" w:type="dxa"/>
            <w:vAlign w:val="bottom"/>
            <w:shd w:val="clear" w:color="auto" w:fill="CCEEFF"/>
          </w:tcPr>
          <w:p>
            <w:pPr>
              <w:jc w:val="center"/>
              <w:ind w:left="4090"/>
              <w:spacing w:after="0"/>
              <w:rPr>
                <w:sz w:val="20"/>
                <w:szCs w:val="20"/>
                <w:color w:val="auto"/>
              </w:rPr>
            </w:pPr>
            <w:r>
              <w:rPr>
                <w:rFonts w:ascii="Arial" w:cs="Arial" w:eastAsia="Arial" w:hAnsi="Arial"/>
                <w:sz w:val="18"/>
                <w:szCs w:val="18"/>
                <w:color w:val="auto"/>
                <w:w w:val="90"/>
              </w:rPr>
              <w:t>0.00%</w:t>
            </w:r>
          </w:p>
        </w:tc>
      </w:tr>
    </w:tbl>
    <w:p>
      <w:pPr>
        <w:spacing w:after="0" w:line="201" w:lineRule="exact"/>
        <w:rPr>
          <w:sz w:val="20"/>
          <w:szCs w:val="20"/>
          <w:color w:val="auto"/>
        </w:rPr>
      </w:pPr>
    </w:p>
    <w:p>
      <w:pPr>
        <w:ind w:right="20" w:firstLine="323"/>
        <w:spacing w:after="0" w:line="269"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1" w:lineRule="exact"/>
        <w:rPr>
          <w:sz w:val="20"/>
          <w:szCs w:val="20"/>
          <w:color w:val="auto"/>
        </w:rPr>
      </w:pPr>
    </w:p>
    <w:p>
      <w:pPr>
        <w:ind w:right="80" w:firstLine="323"/>
        <w:spacing w:after="0" w:line="253" w:lineRule="auto"/>
        <w:rPr>
          <w:sz w:val="20"/>
          <w:szCs w:val="20"/>
          <w:color w:val="auto"/>
        </w:rPr>
      </w:pPr>
      <w:r>
        <w:rPr>
          <w:rFonts w:ascii="Arial" w:cs="Arial" w:eastAsia="Arial" w:hAnsi="Arial"/>
          <w:sz w:val="18"/>
          <w:szCs w:val="18"/>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there were 480,448 shares available to be granted under the Company’s 2020 Plan.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6"/>
          <w:szCs w:val="16"/>
          <w:color w:val="auto"/>
        </w:rPr>
        <w:t>The following table presents option activity under the Company’s stock option plans for the three months ended March 31, 2021 and 2020:</w:t>
      </w:r>
    </w:p>
    <w:p>
      <w:pPr>
        <w:sectPr>
          <w:pgSz w:w="11900" w:h="16838" w:orient="portrait"/>
          <w:cols w:equalWidth="0" w:num="1">
            <w:col w:w="11240"/>
          </w:cols>
          <w:pgMar w:left="320" w:top="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at January 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at March 31, 2020</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5"/>
        </w:trPr>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40"/>
        </w:trPr>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value</w:t>
            </w:r>
          </w:p>
        </w:tc>
      </w:tr>
      <w:tr>
        <w:trPr>
          <w:trHeight w:val="201"/>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493,102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5"/>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(19,091)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6"/>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474,011</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-913130</wp:posOffset>
            </wp:positionV>
            <wp:extent cx="713295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-631190</wp:posOffset>
            </wp:positionV>
            <wp:extent cx="7132955" cy="13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-358140</wp:posOffset>
            </wp:positionV>
            <wp:extent cx="7132955" cy="153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3920"/>
          </w:cols>
          <w:pgMar w:left="320" w:top="340"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20" w:type="dxa"/>
            <w:vAlign w:val="bottom"/>
            <w:gridSpan w:val="2"/>
          </w:tcPr>
          <w:p>
            <w:pPr>
              <w:spacing w:after="0"/>
              <w:rPr>
                <w:sz w:val="20"/>
                <w:szCs w:val="20"/>
                <w:color w:val="auto"/>
              </w:rPr>
            </w:pPr>
            <w:r>
              <w:rPr>
                <w:rFonts w:ascii="Arial" w:cs="Arial" w:eastAsia="Arial" w:hAnsi="Arial"/>
                <w:sz w:val="18"/>
                <w:szCs w:val="18"/>
                <w:color w:val="auto"/>
              </w:rPr>
              <w:t>Options outstanding at January 1, 2021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3,133,109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1,200,934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(174,223)</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(276,723)</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(4,076)</w:t>
            </w:r>
          </w:p>
        </w:tc>
        <w:tc>
          <w:tcPr>
            <w:tcW w:w="4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640" w:type="dxa"/>
            <w:vAlign w:val="bottom"/>
            <w:tcBorders>
              <w:top w:val="single" w:sz="8" w:color="CCEEFF"/>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 as of March 31, 2020</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80,012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6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Options vested and exercisable as of March 31,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vMerge w:val="continue"/>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1,656,486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vested and exercisable at March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6"/>
              </w:rPr>
              <w:t>Options vested and exercisable</w:t>
            </w:r>
          </w:p>
        </w:tc>
        <w:tc>
          <w:tcPr>
            <w:tcW w:w="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2"/>
          </w:tcPr>
          <w:p>
            <w:pPr>
              <w:jc w:val="center"/>
              <w:ind w:right="260"/>
              <w:spacing w:after="0" w:line="197" w:lineRule="exact"/>
              <w:rPr>
                <w:sz w:val="20"/>
                <w:szCs w:val="20"/>
                <w:color w:val="auto"/>
              </w:rPr>
            </w:pPr>
            <w:r>
              <w:rPr>
                <w:rFonts w:ascii="Arial" w:cs="Arial" w:eastAsia="Arial" w:hAnsi="Arial"/>
                <w:sz w:val="18"/>
                <w:szCs w:val="18"/>
                <w:b w:val="1"/>
                <w:bCs w:val="1"/>
                <w:color w:val="auto"/>
                <w:w w:val="88"/>
              </w:rPr>
              <w:t>Weighted average</w:t>
            </w:r>
          </w:p>
        </w:tc>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40" w:type="dxa"/>
            <w:vAlign w:val="bottom"/>
          </w:tcPr>
          <w:p>
            <w:pPr>
              <w:spacing w:after="0"/>
              <w:rPr>
                <w:sz w:val="18"/>
                <w:szCs w:val="18"/>
                <w:color w:val="auto"/>
              </w:rPr>
            </w:pPr>
          </w:p>
        </w:tc>
        <w:tc>
          <w:tcPr>
            <w:tcW w:w="2320" w:type="dxa"/>
            <w:vAlign w:val="bottom"/>
            <w:gridSpan w:val="2"/>
          </w:tcPr>
          <w:p>
            <w:pPr>
              <w:jc w:val="right"/>
              <w:ind w:right="1400"/>
              <w:spacing w:after="0"/>
              <w:rPr>
                <w:sz w:val="20"/>
                <w:szCs w:val="20"/>
                <w:color w:val="auto"/>
              </w:rPr>
            </w:pPr>
            <w:r>
              <w:rPr>
                <w:rFonts w:ascii="Arial" w:cs="Arial" w:eastAsia="Arial" w:hAnsi="Arial"/>
                <w:sz w:val="18"/>
                <w:szCs w:val="18"/>
                <w:b w:val="1"/>
                <w:bCs w:val="1"/>
                <w:color w:val="auto"/>
              </w:rPr>
              <w:t>Price</w:t>
            </w:r>
          </w:p>
        </w:tc>
        <w:tc>
          <w:tcPr>
            <w:tcW w:w="282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 contractual</w:t>
            </w:r>
          </w:p>
        </w:tc>
        <w:tc>
          <w:tcPr>
            <w:tcW w:w="340" w:type="dxa"/>
            <w:vAlign w:val="bottom"/>
          </w:tcPr>
          <w:p>
            <w:pPr>
              <w:spacing w:after="0"/>
              <w:rPr>
                <w:sz w:val="18"/>
                <w:szCs w:val="18"/>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Weighted average</w:t>
            </w:r>
          </w:p>
        </w:tc>
      </w:tr>
      <w:tr>
        <w:trPr>
          <w:trHeight w:val="240"/>
        </w:trPr>
        <w:tc>
          <w:tcPr>
            <w:tcW w:w="640" w:type="dxa"/>
            <w:vAlign w:val="bottom"/>
          </w:tcPr>
          <w:p>
            <w:pPr>
              <w:spacing w:after="0"/>
              <w:rPr>
                <w:sz w:val="20"/>
                <w:szCs w:val="20"/>
                <w:color w:val="auto"/>
              </w:rPr>
            </w:pPr>
          </w:p>
        </w:tc>
        <w:tc>
          <w:tcPr>
            <w:tcW w:w="2080" w:type="dxa"/>
            <w:vAlign w:val="bottom"/>
          </w:tcPr>
          <w:p>
            <w:pPr>
              <w:jc w:val="right"/>
              <w:ind w:right="11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2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options</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life (years)</w:t>
            </w:r>
          </w:p>
        </w:tc>
        <w:tc>
          <w:tcPr>
            <w:tcW w:w="340" w:type="dxa"/>
            <w:vAlign w:val="bottom"/>
          </w:tcPr>
          <w:p>
            <w:pPr>
              <w:spacing w:after="0"/>
              <w:rPr>
                <w:sz w:val="20"/>
                <w:szCs w:val="20"/>
                <w:color w:val="auto"/>
              </w:rPr>
            </w:pPr>
          </w:p>
        </w:tc>
        <w:tc>
          <w:tcPr>
            <w:tcW w:w="2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 price</w:t>
            </w:r>
          </w:p>
        </w:tc>
      </w:tr>
      <w:tr>
        <w:trPr>
          <w:trHeight w:val="215"/>
        </w:trPr>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1,349,470</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ind w:left="2260"/>
              <w:spacing w:after="0"/>
              <w:rPr>
                <w:sz w:val="20"/>
                <w:szCs w:val="20"/>
                <w:color w:val="auto"/>
              </w:rPr>
            </w:pPr>
            <w:r>
              <w:rPr>
                <w:rFonts w:ascii="Arial" w:cs="Arial" w:eastAsia="Arial" w:hAnsi="Arial"/>
                <w:sz w:val="18"/>
                <w:szCs w:val="18"/>
                <w:color w:val="auto"/>
                <w:w w:val="79"/>
              </w:rPr>
              <w:t>8.87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600" w:type="dxa"/>
            <w:vAlign w:val="bottom"/>
          </w:tcPr>
          <w:p>
            <w:pPr>
              <w:jc w:val="right"/>
              <w:spacing w:after="0"/>
              <w:rPr>
                <w:sz w:val="20"/>
                <w:szCs w:val="20"/>
                <w:color w:val="auto"/>
              </w:rPr>
            </w:pPr>
            <w:r>
              <w:rPr>
                <w:rFonts w:ascii="Arial" w:cs="Arial" w:eastAsia="Arial" w:hAnsi="Arial"/>
                <w:sz w:val="18"/>
                <w:szCs w:val="18"/>
                <w:color w:val="auto"/>
              </w:rPr>
              <w:t>1,469,551</w:t>
            </w:r>
          </w:p>
        </w:tc>
        <w:tc>
          <w:tcPr>
            <w:tcW w:w="220" w:type="dxa"/>
            <w:vAlign w:val="bottom"/>
          </w:tcPr>
          <w:p>
            <w:pPr>
              <w:spacing w:after="0"/>
              <w:rPr>
                <w:sz w:val="18"/>
                <w:szCs w:val="18"/>
                <w:color w:val="auto"/>
              </w:rPr>
            </w:pPr>
          </w:p>
        </w:tc>
        <w:tc>
          <w:tcPr>
            <w:tcW w:w="2780" w:type="dxa"/>
            <w:vAlign w:val="bottom"/>
            <w:gridSpan w:val="2"/>
          </w:tcPr>
          <w:p>
            <w:pPr>
              <w:ind w:left="2260"/>
              <w:spacing w:after="0"/>
              <w:rPr>
                <w:sz w:val="20"/>
                <w:szCs w:val="20"/>
                <w:color w:val="auto"/>
              </w:rPr>
            </w:pPr>
            <w:r>
              <w:rPr>
                <w:rFonts w:ascii="Arial" w:cs="Arial" w:eastAsia="Arial" w:hAnsi="Arial"/>
                <w:sz w:val="18"/>
                <w:szCs w:val="18"/>
                <w:color w:val="auto"/>
              </w:rPr>
              <w:t>9.33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5"/>
        </w:trPr>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230"/>
        </w:trPr>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19"/>
                <w:szCs w:val="19"/>
                <w:color w:val="auto"/>
              </w:rPr>
            </w:pPr>
          </w:p>
        </w:tc>
        <w:tc>
          <w:tcPr>
            <w:tcW w:w="28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780" w:type="dxa"/>
            <w:vAlign w:val="bottom"/>
            <w:gridSpan w:val="2"/>
          </w:tcPr>
          <w:p>
            <w:pPr>
              <w:ind w:left="2260"/>
              <w:spacing w:after="0"/>
              <w:rPr>
                <w:sz w:val="20"/>
                <w:szCs w:val="20"/>
                <w:color w:val="auto"/>
              </w:rPr>
            </w:pPr>
            <w:r>
              <w:rPr>
                <w:rFonts w:ascii="Arial" w:cs="Arial" w:eastAsia="Arial" w:hAnsi="Arial"/>
                <w:sz w:val="18"/>
                <w:szCs w:val="18"/>
                <w:color w:val="auto"/>
              </w:rPr>
              <w:t>9.89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r>
    </w:tbl>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expected to vest after March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6"/>
              </w:rPr>
              <w:t>Options expected to vest</w:t>
            </w:r>
          </w:p>
        </w:tc>
        <w:tc>
          <w:tcPr>
            <w:tcW w:w="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6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2"/>
          </w:tcPr>
          <w:p>
            <w:pPr>
              <w:jc w:val="center"/>
              <w:ind w:right="260"/>
              <w:spacing w:after="0" w:line="197" w:lineRule="exact"/>
              <w:rPr>
                <w:sz w:val="20"/>
                <w:szCs w:val="20"/>
                <w:color w:val="auto"/>
              </w:rPr>
            </w:pPr>
            <w:r>
              <w:rPr>
                <w:rFonts w:ascii="Arial" w:cs="Arial" w:eastAsia="Arial" w:hAnsi="Arial"/>
                <w:sz w:val="18"/>
                <w:szCs w:val="18"/>
                <w:b w:val="1"/>
                <w:bCs w:val="1"/>
                <w:color w:val="auto"/>
                <w:w w:val="88"/>
              </w:rPr>
              <w:t>Weighted average</w:t>
            </w:r>
          </w:p>
        </w:tc>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20" w:type="dxa"/>
            <w:vAlign w:val="bottom"/>
          </w:tcPr>
          <w:p>
            <w:pPr>
              <w:spacing w:after="0"/>
              <w:rPr>
                <w:sz w:val="18"/>
                <w:szCs w:val="18"/>
                <w:color w:val="auto"/>
              </w:rPr>
            </w:pPr>
          </w:p>
        </w:tc>
        <w:tc>
          <w:tcPr>
            <w:tcW w:w="234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rPr>
              <w:t>Price</w:t>
            </w:r>
          </w:p>
        </w:tc>
        <w:tc>
          <w:tcPr>
            <w:tcW w:w="282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Number of</w:t>
            </w:r>
          </w:p>
        </w:tc>
        <w:tc>
          <w:tcPr>
            <w:tcW w:w="2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 contractual</w:t>
            </w:r>
          </w:p>
        </w:tc>
        <w:tc>
          <w:tcPr>
            <w:tcW w:w="340" w:type="dxa"/>
            <w:vAlign w:val="bottom"/>
          </w:tcPr>
          <w:p>
            <w:pPr>
              <w:spacing w:after="0"/>
              <w:rPr>
                <w:sz w:val="18"/>
                <w:szCs w:val="18"/>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Weighted average</w:t>
            </w:r>
          </w:p>
        </w:tc>
      </w:tr>
      <w:tr>
        <w:trPr>
          <w:trHeight w:val="240"/>
        </w:trPr>
        <w:tc>
          <w:tcPr>
            <w:tcW w:w="620" w:type="dxa"/>
            <w:vAlign w:val="bottom"/>
          </w:tcPr>
          <w:p>
            <w:pPr>
              <w:spacing w:after="0"/>
              <w:rPr>
                <w:sz w:val="20"/>
                <w:szCs w:val="20"/>
                <w:color w:val="auto"/>
              </w:rPr>
            </w:pPr>
          </w:p>
        </w:tc>
        <w:tc>
          <w:tcPr>
            <w:tcW w:w="2100" w:type="dxa"/>
            <w:vAlign w:val="bottom"/>
          </w:tcPr>
          <w:p>
            <w:pPr>
              <w:jc w:val="right"/>
              <w:ind w:right="11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82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options</w:t>
            </w:r>
          </w:p>
        </w:tc>
        <w:tc>
          <w:tcPr>
            <w:tcW w:w="2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life (years)</w:t>
            </w:r>
          </w:p>
        </w:tc>
        <w:tc>
          <w:tcPr>
            <w:tcW w:w="340" w:type="dxa"/>
            <w:vAlign w:val="bottom"/>
          </w:tcPr>
          <w:p>
            <w:pPr>
              <w:spacing w:after="0"/>
              <w:rPr>
                <w:sz w:val="20"/>
                <w:szCs w:val="20"/>
                <w:color w:val="auto"/>
              </w:rPr>
            </w:pPr>
          </w:p>
        </w:tc>
        <w:tc>
          <w:tcPr>
            <w:tcW w:w="2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 price</w:t>
            </w:r>
          </w:p>
        </w:tc>
      </w:tr>
      <w:tr>
        <w:trPr>
          <w:trHeight w:val="215"/>
        </w:trPr>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464,509</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ind w:left="2260"/>
              <w:spacing w:after="0"/>
              <w:rPr>
                <w:sz w:val="20"/>
                <w:szCs w:val="20"/>
                <w:color w:val="auto"/>
              </w:rPr>
            </w:pPr>
            <w:r>
              <w:rPr>
                <w:rFonts w:ascii="Arial" w:cs="Arial" w:eastAsia="Arial" w:hAnsi="Arial"/>
                <w:sz w:val="18"/>
                <w:szCs w:val="18"/>
                <w:color w:val="auto"/>
                <w:w w:val="79"/>
              </w:rPr>
              <w:t>9.14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20" w:type="dxa"/>
            <w:vAlign w:val="bottom"/>
            <w:gridSpan w:val="2"/>
          </w:tcPr>
          <w:p>
            <w:pPr>
              <w:jc w:val="right"/>
              <w:ind w:right="220"/>
              <w:spacing w:after="0"/>
              <w:rPr>
                <w:sz w:val="20"/>
                <w:szCs w:val="20"/>
                <w:color w:val="auto"/>
              </w:rPr>
            </w:pPr>
            <w:r>
              <w:rPr>
                <w:rFonts w:ascii="Arial" w:cs="Arial" w:eastAsia="Arial" w:hAnsi="Arial"/>
                <w:sz w:val="18"/>
                <w:szCs w:val="18"/>
                <w:color w:val="auto"/>
              </w:rPr>
              <w:t>737,185</w:t>
            </w:r>
          </w:p>
        </w:tc>
        <w:tc>
          <w:tcPr>
            <w:tcW w:w="2780" w:type="dxa"/>
            <w:vAlign w:val="bottom"/>
            <w:gridSpan w:val="2"/>
          </w:tcPr>
          <w:p>
            <w:pPr>
              <w:ind w:left="2260"/>
              <w:spacing w:after="0"/>
              <w:rPr>
                <w:sz w:val="20"/>
                <w:szCs w:val="20"/>
                <w:color w:val="auto"/>
              </w:rPr>
            </w:pPr>
            <w:r>
              <w:rPr>
                <w:rFonts w:ascii="Arial" w:cs="Arial" w:eastAsia="Arial" w:hAnsi="Arial"/>
                <w:sz w:val="18"/>
                <w:szCs w:val="18"/>
                <w:color w:val="auto"/>
              </w:rPr>
              <w:t>9.60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5"/>
        </w:trPr>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1,020,841</w:t>
            </w:r>
          </w:p>
        </w:tc>
        <w:tc>
          <w:tcPr>
            <w:tcW w:w="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r>
      <w:tr>
        <w:trPr>
          <w:trHeight w:val="653"/>
        </w:trPr>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w:t>
            </w: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 Employee Benefit Plan</w:t>
      </w:r>
    </w:p>
    <w:p>
      <w:pPr>
        <w:spacing w:after="0" w:line="227" w:lineRule="exact"/>
        <w:rPr>
          <w:sz w:val="20"/>
          <w:szCs w:val="20"/>
          <w:color w:val="auto"/>
        </w:rPr>
      </w:pPr>
    </w:p>
    <w:p>
      <w:pPr>
        <w:jc w:val="both"/>
        <w:ind w:right="160" w:firstLine="323"/>
        <w:spacing w:after="0" w:line="262"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three months ended March 31, 2021 and 2020, the Company did not contribute to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Loss Per Share</w:t>
      </w:r>
    </w:p>
    <w:p>
      <w:pPr>
        <w:spacing w:after="0" w:line="227" w:lineRule="exact"/>
        <w:rPr>
          <w:sz w:val="20"/>
          <w:szCs w:val="20"/>
          <w:color w:val="auto"/>
        </w:rPr>
      </w:pPr>
    </w:p>
    <w:p>
      <w:pPr>
        <w:jc w:val="both"/>
        <w:ind w:right="160" w:firstLine="323"/>
        <w:spacing w:after="0" w:line="275" w:lineRule="auto"/>
        <w:rPr>
          <w:sz w:val="20"/>
          <w:szCs w:val="20"/>
          <w:color w:val="auto"/>
        </w:rPr>
      </w:pPr>
      <w:r>
        <w:rPr>
          <w:rFonts w:ascii="Arial" w:cs="Arial" w:eastAsia="Arial" w:hAnsi="Arial"/>
          <w:sz w:val="18"/>
          <w:szCs w:val="18"/>
          <w:color w:val="auto"/>
        </w:rPr>
        <w:t>Net loss per share calculations for all periods have been adjusted to reflect the reverse stock split effected on January 12, 2021. Net loss per share was calculated based on the weighted average number of common stock then outstanding.</w:t>
      </w:r>
    </w:p>
    <w:p>
      <w:pPr>
        <w:spacing w:after="0" w:line="171" w:lineRule="exact"/>
        <w:rPr>
          <w:sz w:val="20"/>
          <w:szCs w:val="20"/>
          <w:color w:val="auto"/>
        </w:rPr>
      </w:pPr>
    </w:p>
    <w:p>
      <w:pPr>
        <w:ind w:right="80" w:firstLine="323"/>
        <w:spacing w:after="0" w:line="300" w:lineRule="auto"/>
        <w:rPr>
          <w:sz w:val="20"/>
          <w:szCs w:val="20"/>
          <w:color w:val="auto"/>
        </w:rPr>
      </w:pPr>
      <w:r>
        <w:rPr>
          <w:rFonts w:ascii="Arial" w:cs="Arial" w:eastAsia="Arial" w:hAnsi="Arial"/>
          <w:sz w:val="16"/>
          <w:szCs w:val="16"/>
          <w:color w:val="auto"/>
        </w:rPr>
        <w:t>Basic net loss per share is calculated using the weighted-average number of common shares outstanding during the periods. Net loss per share, assuming dilution, is calculated using the weighted-average number of common shares outstanding and the dilutive effect of all potentially dilutive securities, including common stock equivalents and convertible securities. Net loss per share, assuming dilution, is equal to basic net loss per share because the effect of dilutive securities outstanding during the periods, including options and warrants computed using the treasury stock method, is anti-dilutive.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basic and diluted net loss per share were as follows (in thousands, except share and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0"/>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(3,810)</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Accrued dividend attributable to Preferred A Stockholders</w:t>
            </w:r>
          </w:p>
        </w:tc>
        <w:tc>
          <w:tcPr>
            <w:tcW w:w="200" w:type="dxa"/>
            <w:vAlign w:val="bottom"/>
          </w:tcPr>
          <w:p>
            <w:pPr>
              <w:spacing w:after="0"/>
              <w:rPr>
                <w:sz w:val="19"/>
                <w:szCs w:val="19"/>
                <w:color w:val="auto"/>
              </w:rPr>
            </w:pPr>
          </w:p>
        </w:tc>
        <w:tc>
          <w:tcPr>
            <w:tcW w:w="1160" w:type="dxa"/>
            <w:vAlign w:val="bottom"/>
            <w:gridSpan w:val="2"/>
          </w:tcPr>
          <w:p>
            <w:pPr>
              <w:jc w:val="right"/>
              <w:ind w:right="102"/>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available for common shareholders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9"/>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240" w:type="dxa"/>
            <w:vAlign w:val="bottom"/>
            <w:tcBorders>
              <w:right w:val="single" w:sz="8" w:color="CCEEFF"/>
            </w:tcBorders>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20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w w:val="99"/>
              </w:rPr>
              <w:t>11,568,105</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3,760,109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2"/>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240" w:type="dxa"/>
            <w:vAlign w:val="bottom"/>
            <w:vMerge w:val="continue"/>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23"/>
        <w:spacing w:after="0" w:line="262" w:lineRule="auto"/>
        <w:rPr>
          <w:sz w:val="20"/>
          <w:szCs w:val="20"/>
          <w:color w:val="auto"/>
        </w:rPr>
      </w:pPr>
      <w:r>
        <w:rPr>
          <w:rFonts w:ascii="Arial" w:cs="Arial" w:eastAsia="Arial" w:hAnsi="Arial"/>
          <w:sz w:val="18"/>
          <w:szCs w:val="18"/>
          <w:color w:val="auto"/>
        </w:rPr>
        <w:t>During each of the three months ended March 31, 2021 and 2020, we excluded the following securities from net loss per share as the effect of including them would have been anti-dilutive. The shares shown represent the number of shares of common stock which would be issued upon conversion in the respective years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240"/>
        </w:trPr>
        <w:tc>
          <w:tcPr>
            <w:tcW w:w="86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493,102</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Warrants outstanding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965,907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9"/>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4,844,928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493,102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ind w:firstLine="323"/>
        <w:spacing w:after="0" w:line="295" w:lineRule="auto"/>
        <w:rPr>
          <w:sz w:val="20"/>
          <w:szCs w:val="20"/>
          <w:color w:val="auto"/>
        </w:rPr>
      </w:pPr>
      <w:r>
        <w:rPr>
          <w:rFonts w:ascii="Arial" w:cs="Arial" w:eastAsia="Arial" w:hAnsi="Arial"/>
          <w:sz w:val="16"/>
          <w:szCs w:val="16"/>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our balance sheet and those lease costs are expensed on a straight-line basis over the respective term. Leases with a term greater than 12 months were reflected as non-current right-of-use (ROU) assets and current and non-current lease liabilities in our consolidated balance sheets. Current lease liabilities were classified as a component of accrued expenses and other current liabilities.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 w:name="page17"/>
    <w:bookmarkEnd w:id="16"/>
    <w:p>
      <w:pPr>
        <w:ind w:right="560" w:firstLine="323"/>
        <w:spacing w:after="0" w:line="340" w:lineRule="auto"/>
        <w:rPr>
          <w:sz w:val="20"/>
          <w:szCs w:val="20"/>
          <w:color w:val="auto"/>
        </w:rPr>
      </w:pPr>
      <w:r>
        <w:rPr>
          <w:rFonts w:ascii="Arial" w:cs="Arial" w:eastAsia="Arial" w:hAnsi="Arial"/>
          <w:sz w:val="16"/>
          <w:szCs w:val="16"/>
          <w:color w:val="auto"/>
        </w:rPr>
        <w:t>As the implicit interest rate in our leases was generally not known, we used our incremental borrowing rate as the discount rate for purposes of determining the present value of our lease liabilities. At March 31, 2021, our weighted average discount rate utilized for our leases was 8.1%.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When a contract contained lease and non-lease elements, both were accounted as a single lease component.</w:t>
      </w:r>
    </w:p>
    <w:p>
      <w:pPr>
        <w:spacing w:after="0" w:line="223" w:lineRule="exact"/>
        <w:rPr>
          <w:sz w:val="20"/>
          <w:szCs w:val="20"/>
          <w:color w:val="auto"/>
        </w:rPr>
      </w:pPr>
    </w:p>
    <w:p>
      <w:pPr>
        <w:ind w:firstLine="323"/>
        <w:spacing w:after="0" w:line="306" w:lineRule="auto"/>
        <w:rPr>
          <w:sz w:val="20"/>
          <w:szCs w:val="20"/>
          <w:color w:val="auto"/>
        </w:rPr>
      </w:pPr>
      <w:r>
        <w:rPr>
          <w:rFonts w:ascii="Arial" w:cs="Arial" w:eastAsia="Arial" w:hAnsi="Arial"/>
          <w:sz w:val="17"/>
          <w:szCs w:val="17"/>
          <w:color w:val="auto"/>
        </w:rPr>
        <w:t>The Company had several non-cancellable finance leases for machinery and equipment. During the three months ended March 31, 2021, the Company entered into two leases for premises in Georgia. Those leases had terms of more than a year and were accounted as operating leases.</w:t>
      </w:r>
    </w:p>
    <w:p>
      <w:pPr>
        <w:spacing w:after="0" w:line="147" w:lineRule="exact"/>
        <w:rPr>
          <w:sz w:val="20"/>
          <w:szCs w:val="20"/>
          <w:color w:val="auto"/>
        </w:rPr>
      </w:pPr>
    </w:p>
    <w:p>
      <w:pPr>
        <w:ind w:right="120" w:firstLine="323"/>
        <w:spacing w:after="0" w:line="258" w:lineRule="auto"/>
        <w:rPr>
          <w:sz w:val="20"/>
          <w:szCs w:val="20"/>
          <w:color w:val="auto"/>
        </w:rPr>
      </w:pPr>
      <w:r>
        <w:rPr>
          <w:rFonts w:ascii="Arial" w:cs="Arial" w:eastAsia="Arial" w:hAnsi="Arial"/>
          <w:sz w:val="18"/>
          <w:szCs w:val="18"/>
          <w:color w:val="auto"/>
        </w:rPr>
        <w:t>On February 5, 2021, the Company executed a sixty-two-month lease for office spaces in Billerica, MA. The Company will spend $193 on leasehold improvements and plans to occupy the space beginning June 1, 2021, which is when the lease will commence. The minimum lease liability for the initial lease term amounts to $530 (base lease and other operating fees). The Company has an option to extend the initial lease term by an additional five-year term.</w:t>
      </w:r>
    </w:p>
    <w:p>
      <w:pPr>
        <w:sectPr>
          <w:pgSz w:w="11900" w:h="16838" w:orient="portrait"/>
          <w:cols w:equalWidth="0" w:num="1">
            <w:col w:w="11140"/>
          </w:cols>
          <w:pgMar w:left="320" w:top="340" w:right="439" w:bottom="1440" w:gutter="0" w:footer="0" w:header="0"/>
        </w:sectPr>
      </w:pP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information of our lease activity, for the three months ended March 31, 2021 and 2020, is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95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Amortization of right-of-use assets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53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Short-term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9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6256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36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 finance leases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discount rate –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136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non- current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Finance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136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Finance lease liabilities, non- current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95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March 31,</w:t>
            </w:r>
          </w:p>
        </w:tc>
      </w:tr>
      <w:tr>
        <w:trPr>
          <w:trHeight w:val="240"/>
        </w:trPr>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00" w:type="dxa"/>
            <w:vAlign w:val="bottom"/>
          </w:tcPr>
          <w:p>
            <w:pPr>
              <w:jc w:val="right"/>
              <w:ind w:right="38"/>
              <w:spacing w:after="0"/>
              <w:rPr>
                <w:sz w:val="20"/>
                <w:szCs w:val="20"/>
                <w:color w:val="auto"/>
              </w:rPr>
            </w:pPr>
            <w:r>
              <w:rPr>
                <w:rFonts w:ascii="Arial" w:cs="Arial" w:eastAsia="Arial" w:hAnsi="Arial"/>
                <w:sz w:val="4"/>
                <w:szCs w:val="4"/>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02"/>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r>
      <w:tr>
        <w:trPr>
          <w:trHeight w:val="249"/>
        </w:trPr>
        <w:tc>
          <w:tcPr>
            <w:tcW w:w="140" w:type="dxa"/>
            <w:vAlign w:val="bottom"/>
            <w:gridSpan w:val="2"/>
          </w:tcPr>
          <w:p>
            <w:pPr>
              <w:jc w:val="right"/>
              <w:ind w:right="38"/>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16"/>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1.81 years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3.73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5"/>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9"/>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24"/>
                <w:szCs w:val="24"/>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40"/>
        </w:trPr>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r>
      <w:tr>
        <w:trPr>
          <w:trHeight w:val="431"/>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622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r>
      <w:tr>
        <w:trPr>
          <w:trHeight w:val="429"/>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r>
      <w:tr>
        <w:trPr>
          <w:trHeight w:val="249"/>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123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30"/>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151</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30"/>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r>
      <w:tr>
        <w:trPr>
          <w:trHeight w:val="27"/>
        </w:trPr>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r>
      <w:tr>
        <w:trPr>
          <w:trHeight w:val="249"/>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546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80" w:space="260"/>
            <w:col w:w="2500"/>
          </w:cols>
          <w:pgMar w:left="320" w:top="340" w:right="439" w:bottom="1440" w:gutter="0" w:footer="0" w:header="0"/>
          <w:type w:val="continuous"/>
        </w:sect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320" w:top="340" w:right="43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8"/>
          <w:szCs w:val="18"/>
          <w:color w:val="auto"/>
        </w:rPr>
        <w:t>As of March 31, 2021, the maturities of lease liabilities under non-cancellable finance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2"/>
              <w:spacing w:after="0"/>
              <w:rPr>
                <w:sz w:val="20"/>
                <w:szCs w:val="20"/>
                <w:color w:val="auto"/>
              </w:rPr>
            </w:pPr>
            <w:r>
              <w:rPr>
                <w:rFonts w:ascii="Arial" w:cs="Arial" w:eastAsia="Arial" w:hAnsi="Arial"/>
                <w:sz w:val="18"/>
                <w:szCs w:val="18"/>
                <w:b w:val="1"/>
                <w:bCs w:val="1"/>
                <w:color w:val="auto"/>
                <w:w w:val="96"/>
              </w:rPr>
              <w:t>Operating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2"/>
              <w:spacing w:after="0"/>
              <w:rPr>
                <w:sz w:val="20"/>
                <w:szCs w:val="20"/>
                <w:color w:val="auto"/>
              </w:rPr>
            </w:pPr>
            <w:r>
              <w:rPr>
                <w:rFonts w:ascii="Arial" w:cs="Arial" w:eastAsia="Arial" w:hAnsi="Arial"/>
                <w:sz w:val="18"/>
                <w:szCs w:val="18"/>
                <w:b w:val="1"/>
                <w:bCs w:val="1"/>
                <w:color w:val="auto"/>
                <w:w w:val="96"/>
              </w:rPr>
              <w:t>Finance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42"/>
              <w:spacing w:after="0"/>
              <w:rPr>
                <w:sz w:val="20"/>
                <w:szCs w:val="20"/>
                <w:color w:val="auto"/>
              </w:rPr>
            </w:pPr>
            <w:r>
              <w:rPr>
                <w:rFonts w:ascii="Arial" w:cs="Arial" w:eastAsia="Arial" w:hAnsi="Arial"/>
                <w:sz w:val="18"/>
                <w:szCs w:val="18"/>
                <w:b w:val="1"/>
                <w:bCs w:val="1"/>
                <w:color w:val="auto"/>
              </w:rPr>
              <w:t>lease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42"/>
              <w:spacing w:after="0"/>
              <w:rPr>
                <w:sz w:val="20"/>
                <w:szCs w:val="20"/>
                <w:color w:val="auto"/>
              </w:rPr>
            </w:pPr>
            <w:r>
              <w:rPr>
                <w:rFonts w:ascii="Arial" w:cs="Arial" w:eastAsia="Arial" w:hAnsi="Arial"/>
                <w:sz w:val="18"/>
                <w:szCs w:val="18"/>
                <w:b w:val="1"/>
                <w:bCs w:val="1"/>
                <w:color w:val="auto"/>
              </w:rPr>
              <w:t>lease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382"/>
              <w:spacing w:after="0"/>
              <w:rPr>
                <w:sz w:val="20"/>
                <w:szCs w:val="20"/>
                <w:color w:val="auto"/>
              </w:rPr>
            </w:pPr>
            <w:r>
              <w:rPr>
                <w:rFonts w:ascii="Arial" w:cs="Arial" w:eastAsia="Arial" w:hAnsi="Arial"/>
                <w:sz w:val="18"/>
                <w:szCs w:val="18"/>
                <w:b w:val="1"/>
                <w:bCs w:val="1"/>
                <w:color w:val="auto"/>
              </w:rPr>
              <w:t>Total</w:t>
            </w: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201</w:t>
            </w: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
              <w:spacing w:after="0"/>
              <w:rPr>
                <w:sz w:val="20"/>
                <w:szCs w:val="20"/>
                <w:color w:val="auto"/>
              </w:rPr>
            </w:pPr>
            <w:r>
              <w:rPr>
                <w:rFonts w:ascii="Arial" w:cs="Arial" w:eastAsia="Arial" w:hAnsi="Arial"/>
                <w:sz w:val="18"/>
                <w:szCs w:val="18"/>
                <w:color w:val="auto"/>
              </w:rPr>
              <w:t>241</w:t>
            </w: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168</w:t>
            </w: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2"/>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
              <w:spacing w:after="0"/>
              <w:rPr>
                <w:sz w:val="20"/>
                <w:szCs w:val="20"/>
                <w:color w:val="auto"/>
              </w:rPr>
            </w:pPr>
            <w:r>
              <w:rPr>
                <w:rFonts w:ascii="Arial" w:cs="Arial" w:eastAsia="Arial" w:hAnsi="Arial"/>
                <w:sz w:val="18"/>
                <w:szCs w:val="18"/>
                <w:color w:val="auto"/>
              </w:rPr>
              <w:t>91</w:t>
            </w:r>
          </w:p>
        </w:tc>
      </w:tr>
      <w:tr>
        <w:trPr>
          <w:trHeight w:val="215"/>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50</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6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
              <w:spacing w:after="0"/>
              <w:rPr>
                <w:sz w:val="20"/>
                <w:szCs w:val="20"/>
                <w:color w:val="auto"/>
              </w:rPr>
            </w:pPr>
            <w:r>
              <w:rPr>
                <w:rFonts w:ascii="Arial" w:cs="Arial" w:eastAsia="Arial" w:hAnsi="Arial"/>
                <w:sz w:val="18"/>
                <w:szCs w:val="18"/>
                <w:color w:val="auto"/>
              </w:rPr>
              <w:t>16</w:t>
            </w:r>
          </w:p>
        </w:tc>
      </w:tr>
      <w:tr>
        <w:trPr>
          <w:trHeight w:val="235"/>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9"/>
        </w:trPr>
        <w:tc>
          <w:tcPr>
            <w:tcW w:w="7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123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547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670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3" w:lineRule="exact"/>
        <w:rPr>
          <w:sz w:val="20"/>
          <w:szCs w:val="20"/>
          <w:color w:val="auto"/>
        </w:rPr>
      </w:pPr>
    </w:p>
    <w:p>
      <w:pPr>
        <w:ind w:right="20" w:firstLine="323"/>
        <w:spacing w:after="0" w:line="267" w:lineRule="auto"/>
        <w:rPr>
          <w:sz w:val="20"/>
          <w:szCs w:val="20"/>
          <w:color w:val="auto"/>
        </w:rPr>
      </w:pPr>
      <w:r>
        <w:rPr>
          <w:rFonts w:ascii="Arial" w:cs="Arial" w:eastAsia="Arial" w:hAnsi="Arial"/>
          <w:sz w:val="17"/>
          <w:szCs w:val="17"/>
          <w:color w:val="auto"/>
        </w:rPr>
        <w:t>On January 5, 2021, the Company received a demand letter from Nicholas Cooper and Richard Weinstein, two of its former employees (and one of Mr. Cooper’s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On March 10, 2021, the Company moved to dismiss all of Cooper and Weinstein’s claims, asserting that the claims failed to allege legal grounds for relief. On May 12, 2021, a Magistrate issued a preliminary Report and Recommendation, which recommended dismissal of certain of Cooper and Weinstein’s claims, and recommended others for additional factual discovery. The Company does not believe these claims have any merit and intends to vigorously defend against these claims.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Supply agreement with Mack Molding Co.</w:t>
      </w:r>
    </w:p>
    <w:p>
      <w:pPr>
        <w:spacing w:after="0" w:line="223" w:lineRule="exact"/>
        <w:rPr>
          <w:sz w:val="20"/>
          <w:szCs w:val="20"/>
          <w:color w:val="auto"/>
        </w:rPr>
      </w:pPr>
    </w:p>
    <w:p>
      <w:pPr>
        <w:ind w:right="80" w:firstLine="323"/>
        <w:spacing w:after="0" w:line="270" w:lineRule="auto"/>
        <w:rPr>
          <w:sz w:val="20"/>
          <w:szCs w:val="20"/>
          <w:color w:val="auto"/>
        </w:rPr>
      </w:pPr>
      <w:r>
        <w:rPr>
          <w:rFonts w:ascii="Arial" w:cs="Arial" w:eastAsia="Arial" w:hAnsi="Arial"/>
          <w:sz w:val="17"/>
          <w:szCs w:val="17"/>
          <w:color w:val="auto"/>
        </w:rPr>
        <w:t>In December 2020, the Company entered into a five-year supply agreement with Mack Molding Co. (“Mack”) pursuant to which Mack will become a key supplier of our AVFUs. In February 2021, the Company placed a purchase order with Mack amounting to approximately $5,200 towards initial production of AVFUs during 2021.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223" w:lineRule="exact"/>
        <w:rPr>
          <w:sz w:val="20"/>
          <w:szCs w:val="20"/>
          <w:color w:val="auto"/>
        </w:rPr>
      </w:pPr>
    </w:p>
    <w:p>
      <w:pPr>
        <w:ind w:right="80" w:firstLine="323"/>
        <w:spacing w:after="0" w:line="295" w:lineRule="auto"/>
        <w:rPr>
          <w:sz w:val="20"/>
          <w:szCs w:val="20"/>
          <w:color w:val="auto"/>
        </w:rPr>
      </w:pPr>
      <w:r>
        <w:rPr>
          <w:rFonts w:ascii="Arial" w:cs="Arial" w:eastAsia="Arial" w:hAnsi="Arial"/>
          <w:sz w:val="16"/>
          <w:szCs w:val="16"/>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one-year periods unless earlier terminated. In March 2021, the Company notified Bluezone of non-renewal of the agreement which means it will end on May 31, 2021. The Company exceeded the minimum purchase amount for the first year and purchased approximately $514 of the committed $660 second year purchases thru March 31, 2021. Bluezone is a related party to the Company.</w:t>
      </w:r>
    </w:p>
    <w:p>
      <w:pPr>
        <w:spacing w:after="0" w:line="161" w:lineRule="exact"/>
        <w:rPr>
          <w:sz w:val="20"/>
          <w:szCs w:val="20"/>
          <w:color w:val="auto"/>
        </w:rPr>
      </w:pPr>
    </w:p>
    <w:p>
      <w:pPr>
        <w:ind w:right="60" w:firstLine="323"/>
        <w:spacing w:after="0" w:line="295" w:lineRule="auto"/>
        <w:rPr>
          <w:sz w:val="20"/>
          <w:szCs w:val="20"/>
          <w:color w:val="auto"/>
        </w:rPr>
      </w:pPr>
      <w:r>
        <w:rPr>
          <w:rFonts w:ascii="Arial" w:cs="Arial" w:eastAsia="Arial" w:hAnsi="Arial"/>
          <w:sz w:val="16"/>
          <w:szCs w:val="16"/>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had no purchases of that Enozo product during the three months ended March 31, 2021 and 2020. Enozo is a related party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223" w:lineRule="exact"/>
        <w:rPr>
          <w:sz w:val="20"/>
          <w:szCs w:val="20"/>
          <w:color w:val="auto"/>
        </w:rPr>
      </w:pPr>
    </w:p>
    <w:p>
      <w:pPr>
        <w:ind w:right="60" w:firstLine="323"/>
        <w:spacing w:after="0" w:line="306"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 4D is a related party to the Company.</w:t>
      </w:r>
    </w:p>
    <w:p>
      <w:pPr>
        <w:spacing w:after="0" w:line="147" w:lineRule="exact"/>
        <w:rPr>
          <w:sz w:val="20"/>
          <w:szCs w:val="20"/>
          <w:color w:val="auto"/>
        </w:rPr>
      </w:pPr>
    </w:p>
    <w:p>
      <w:pPr>
        <w:ind w:right="200" w:firstLine="323"/>
        <w:spacing w:after="0" w:line="275" w:lineRule="auto"/>
        <w:rPr>
          <w:sz w:val="20"/>
          <w:szCs w:val="20"/>
          <w:color w:val="auto"/>
        </w:rPr>
      </w:pPr>
      <w:r>
        <w:rPr>
          <w:rFonts w:ascii="Arial" w:cs="Arial" w:eastAsia="Arial" w:hAnsi="Arial"/>
          <w:sz w:val="18"/>
          <w:szCs w:val="18"/>
          <w:color w:val="auto"/>
        </w:rPr>
        <w:t>For the year ended December 31, 2020, the Company’s purchase commitment totaled $1,904. The Company settled $1,056 and accrued $848 of such commitment, leaving no open committed purchases as of March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Parties</w:t>
      </w:r>
    </w:p>
    <w:p>
      <w:pPr>
        <w:spacing w:after="0" w:line="227" w:lineRule="exact"/>
        <w:rPr>
          <w:sz w:val="20"/>
          <w:szCs w:val="20"/>
          <w:color w:val="auto"/>
        </w:rPr>
      </w:pPr>
    </w:p>
    <w:p>
      <w:pPr>
        <w:ind w:right="220" w:firstLine="323"/>
        <w:spacing w:after="0" w:line="275"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describes the net purchasing (sales) activity with entities identified as related parties to the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r>
      <w:tr>
        <w:trPr>
          <w:trHeight w:val="240"/>
        </w:trPr>
        <w:tc>
          <w:tcPr>
            <w:tcW w:w="8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r>
      <w:tr>
        <w:trPr>
          <w:trHeight w:val="215"/>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680" w:type="dxa"/>
            <w:vAlign w:val="bottom"/>
            <w:gridSpan w:val="2"/>
          </w:tcPr>
          <w:p>
            <w:pPr>
              <w:spacing w:after="0"/>
              <w:rPr>
                <w:sz w:val="20"/>
                <w:szCs w:val="20"/>
                <w:color w:val="auto"/>
              </w:rPr>
            </w:pPr>
            <w:r>
              <w:rPr>
                <w:rFonts w:ascii="Arial" w:cs="Arial" w:eastAsia="Arial" w:hAnsi="Arial"/>
                <w:sz w:val="18"/>
                <w:szCs w:val="18"/>
                <w:color w:val="auto"/>
              </w:rPr>
              <w:t>4D Bios *</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5"/>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Valiant Americas, LLC.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Living Greens farm</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bl>
    <w:p>
      <w:pPr>
        <w:spacing w:after="0" w:line="186" w:lineRule="exact"/>
        <w:rPr>
          <w:sz w:val="20"/>
          <w:szCs w:val="20"/>
          <w:color w:val="auto"/>
        </w:rPr>
      </w:pPr>
    </w:p>
    <w:p>
      <w:pPr>
        <w:ind w:left="340" w:right="2500" w:hanging="332"/>
        <w:spacing w:after="0" w:line="558"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Purchases from 4D for the three months ended March 31, 2021 include $384 of down payment on inventory orders. The following table summarizes net related party (payable) receivable as of March 31, 2021 and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4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9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Bluezone</w:t>
            </w:r>
          </w:p>
        </w:tc>
        <w:tc>
          <w:tcPr>
            <w:tcW w:w="4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4D Bios</w:t>
            </w:r>
          </w:p>
        </w:tc>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Valiant Americas, LLC.</w:t>
            </w:r>
          </w:p>
        </w:tc>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(4,246)</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Living Greens Farm</w:t>
            </w:r>
          </w:p>
        </w:tc>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853"/>
        </w:trPr>
        <w:tc>
          <w:tcPr>
            <w:tcW w:w="36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The information contained in this Form 10-Q is intended to update the information contained in our Annual Report on Form 10-K for the year ended December 31, 2020 filed with the Securities and Exchange Commission on April 2, 2021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Form 10-Q.</w:t>
      </w:r>
    </w:p>
    <w:p>
      <w:pPr>
        <w:spacing w:after="0" w:line="188"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6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i w:val="1"/>
          <w:iCs w:val="1"/>
          <w:color w:val="auto"/>
        </w:rPr>
        <w:t>Except as otherwise indicated herein or as the context otherwise requires, references in this offering circular to “we,” “us,” “our,” “Company,” and “Agrify” refer to Agrify Corporation, a Nevada corporation.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As described elsewhere in this report, all share and per share amounts set forth below have been presented on a retroactive basis to reflect a 1-for-1.581804 reverse stock split of our outstanding common stock implemented on January 12,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right="140" w:firstLine="323"/>
        <w:spacing w:after="0" w:line="292" w:lineRule="auto"/>
        <w:rPr>
          <w:sz w:val="20"/>
          <w:szCs w:val="20"/>
          <w:color w:val="auto"/>
        </w:rPr>
      </w:pPr>
      <w:r>
        <w:rPr>
          <w:rFonts w:ascii="Arial" w:cs="Arial" w:eastAsia="Arial" w:hAnsi="Arial"/>
          <w:sz w:val="16"/>
          <w:szCs w:val="16"/>
          <w:color w:val="auto"/>
        </w:rPr>
        <w:t>We are a developer of highly advanced and proprietary precision hardware and software grow solutions for the indoor agriculture marketplace. We believe we are the only company with an automated and fully integrated grow solution in the industry. We believe our Agrify “Precision Elevated™”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64" w:lineRule="exact"/>
        <w:rPr>
          <w:sz w:val="20"/>
          <w:szCs w:val="20"/>
          <w:color w:val="auto"/>
        </w:rPr>
      </w:pPr>
    </w:p>
    <w:p>
      <w:pPr>
        <w:ind w:right="20" w:firstLine="323"/>
        <w:spacing w:after="0" w:line="253" w:lineRule="auto"/>
        <w:rPr>
          <w:sz w:val="20"/>
          <w:szCs w:val="20"/>
          <w:color w:val="auto"/>
        </w:rPr>
      </w:pPr>
      <w:r>
        <w:rPr>
          <w:rFonts w:ascii="Arial" w:cs="Arial" w:eastAsia="Arial" w:hAnsi="Arial"/>
          <w:sz w:val="18"/>
          <w:szCs w:val="18"/>
          <w:color w:val="auto"/>
        </w:rPr>
        <w:t>We have five wholly-owned subsidiaries, AGM Service Corp LLC,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and Agxiom, LLC. We also own 50% of Teejan Podponics International LLC (“TPI”) since December 2018; 60% of Agrify-Valiant,LLC, formed in December 2019 and 75% of Agrify Brands LLC (formerly TriGrow Brands LLC, which was acquired as part of the January 2020 acquisition of TriGrow). For further details about the January 2020 and July 2020 acquisitions please refer to our Annual Report on Form 10-K for the year ended December 31, 2020 filed with the U.S. Securities and Exchange Commission (“SEC”) on April 2,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Initial Public Offering</w:t>
      </w:r>
    </w:p>
    <w:p>
      <w:pPr>
        <w:spacing w:after="0" w:line="223" w:lineRule="exact"/>
        <w:rPr>
          <w:sz w:val="20"/>
          <w:szCs w:val="20"/>
          <w:color w:val="auto"/>
        </w:rPr>
      </w:pPr>
    </w:p>
    <w:p>
      <w:pPr>
        <w:ind w:right="20" w:firstLine="323"/>
        <w:spacing w:after="0" w:line="288" w:lineRule="auto"/>
        <w:rPr>
          <w:sz w:val="20"/>
          <w:szCs w:val="20"/>
          <w:color w:val="auto"/>
        </w:rPr>
      </w:pPr>
      <w:r>
        <w:rPr>
          <w:rFonts w:ascii="Arial" w:cs="Arial" w:eastAsia="Arial" w:hAnsi="Arial"/>
          <w:sz w:val="16"/>
          <w:szCs w:val="16"/>
          <w:color w:val="auto"/>
        </w:rPr>
        <w:t>On February 1, 2021, we completed an initial public offering (“IPO”) for the sale of 5,400,000 shares of our common stock at a price of $10.00 per share. We also granted the underwriters: (a) a 45-day option to purchase up to 810,000 additional shares of common stock on the same terms and conditions for the purpose of covering any over-allotments in connection with the IPO, and (b) warrants to purchase 162,000 shares of common stock (equal to 3% of the aggregate number of shares of common stock issued in the IPO) at an exercise price of $12.50 per share (which is equal to 125% of the IPO price). Subsequently, the underwriters exercised the over-allotment option, and on February 4, 2021, we closed on the sale of an additional 810,000 shares of common stock for a price of $10.00 per share and granted to the underwriters warrants to purchase 24,300 additional shares of common stock (equal to 3% of the amount of shares issued as part of the exercise of the over-allotment option) at an exercise price of $12.50 per share. The exercise of the over-allotment option brought the total number of shares of common stock sold by us in connection with the IPO to 6,210,000 shares and the total net proceeds received in connection with the IPO to approximately $57 million, after deducting underwriting discounts and estimated offering expenses.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i w:val="1"/>
          <w:iCs w:val="1"/>
          <w:color w:val="auto"/>
        </w:rPr>
        <w:t>Subsequent Public Offering</w:t>
      </w:r>
    </w:p>
    <w:p>
      <w:pPr>
        <w:spacing w:after="0" w:line="223" w:lineRule="exact"/>
        <w:rPr>
          <w:sz w:val="20"/>
          <w:szCs w:val="20"/>
          <w:color w:val="auto"/>
        </w:rPr>
      </w:pPr>
    </w:p>
    <w:p>
      <w:pPr>
        <w:ind w:right="60" w:firstLine="368"/>
        <w:spacing w:after="0" w:line="268" w:lineRule="auto"/>
        <w:rPr>
          <w:sz w:val="20"/>
          <w:szCs w:val="20"/>
          <w:color w:val="auto"/>
        </w:rPr>
      </w:pPr>
      <w:r>
        <w:rPr>
          <w:rFonts w:ascii="Arial" w:cs="Arial" w:eastAsia="Arial" w:hAnsi="Arial"/>
          <w:sz w:val="17"/>
          <w:szCs w:val="17"/>
          <w:color w:val="auto"/>
        </w:rPr>
        <w:t>On February 19, 2021, we consummated a secondary public offering (the “February Offering”) for the sale of 5,555,555 shares of our common stock for a price of $13.50 per share. We also granted the underwriters: (a) a 45-day option to purchase up to 833,333 additional shares of common stock on the same terms and conditions for the purpose of covering any over-allotments in connection with the February Offering, and (b) warrants to purchase 166,667 shares of common stock (equal to 3% of the aggregate number of shares of common stock issued in the February Offering) at an exercise price of $16.875 per share (which is equal to 125% of the February Offering). Subsequently, the underwriters exercised the over-allotment option, and on March 22, 2021, we closed on the sale of an additional 833,333 shares of common stock for a price of $13.50 per share and granted to the underwriters warrants to purchase 25,000 additional shares of common stock (equal to 3% of the amount of shares issued as part of the exercised of the over-allotment option) at an exercise price of $16.875 per share. The exercise of the over-allotment option brought the total number of shares of common stock sold by us in connection with the February Offering to 6,388,888 shares and the total net proceeds received in connection with the February Offering to approximately $80 million, after deducting underwriting discounts and estimated offering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3" w:lineRule="exact"/>
        <w:rPr>
          <w:sz w:val="20"/>
          <w:szCs w:val="20"/>
          <w:color w:val="auto"/>
        </w:rPr>
      </w:pPr>
    </w:p>
    <w:p>
      <w:pPr>
        <w:ind w:right="400" w:firstLine="323"/>
        <w:spacing w:after="0" w:line="300" w:lineRule="auto"/>
        <w:rPr>
          <w:sz w:val="20"/>
          <w:szCs w:val="20"/>
          <w:color w:val="auto"/>
        </w:rPr>
      </w:pPr>
      <w:r>
        <w:rPr>
          <w:rFonts w:ascii="Arial" w:cs="Arial" w:eastAsia="Arial" w:hAnsi="Arial"/>
          <w:sz w:val="16"/>
          <w:szCs w:val="16"/>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 All outstanding shares of Series A Preferred Stock automatically converted immediately prior to the closing of our IPO into 1,373,038 shares of common stock at a conversion price of $7.72 per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223" w:lineRule="exact"/>
        <w:rPr>
          <w:sz w:val="20"/>
          <w:szCs w:val="20"/>
          <w:color w:val="auto"/>
        </w:rPr>
      </w:pPr>
    </w:p>
    <w:p>
      <w:pPr>
        <w:ind w:firstLine="323"/>
        <w:spacing w:after="0" w:line="290" w:lineRule="auto"/>
        <w:rPr>
          <w:sz w:val="20"/>
          <w:szCs w:val="20"/>
          <w:color w:val="auto"/>
        </w:rPr>
      </w:pPr>
      <w:r>
        <w:rPr>
          <w:rFonts w:ascii="Arial" w:cs="Arial" w:eastAsia="Arial" w:hAnsi="Arial"/>
          <w:sz w:val="16"/>
          <w:szCs w:val="16"/>
          <w:color w:val="auto"/>
        </w:rPr>
        <w:t>The novel coronavirus (“COVID-19”) was first identified in people in late 2019. COVID-19 spread rapidly throughout the world and, in March 2020, the World Health Organization characterized COVID-19 as a pandemic. COVID-19 is a pandemic of respiratory disease spreading from person-to-person that poses a serious public health risk. It has significantly disrupted supply chains and businesses around the world. The extent and duration of the COVID-19 impact, on our operations and financial position and on the global economy, is uncertain. Uncertainty remains regarding the length of time it will take for the COVID-19 pandemic to subside, including the time it will take for vaccines to be broadly distributed and accepted in the United States and the rest of the world, and the effectiveness of such vaccines in slowing or stopping the spread of COVID-19 and mitigating the economic effects of the pandemic. We continue to service our customers amid uncertainty and disruption linked to COVID-19 and are actively managing our business to respond to the impact.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ind w:right="80" w:firstLine="323"/>
        <w:spacing w:after="0" w:line="274"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3" w:lineRule="exact"/>
        <w:rPr>
          <w:sz w:val="20"/>
          <w:szCs w:val="20"/>
          <w:color w:val="auto"/>
        </w:rPr>
      </w:pPr>
    </w:p>
    <w:p>
      <w:pPr>
        <w:ind w:right="40" w:firstLine="323"/>
        <w:spacing w:after="0" w:line="292"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ind w:right="140" w:firstLine="323"/>
        <w:spacing w:after="0" w:line="258" w:lineRule="auto"/>
        <w:rPr>
          <w:sz w:val="20"/>
          <w:szCs w:val="20"/>
          <w:color w:val="auto"/>
        </w:rPr>
      </w:pPr>
      <w:r>
        <w:rPr>
          <w:rFonts w:ascii="Arial" w:cs="Arial" w:eastAsia="Arial" w:hAnsi="Arial"/>
          <w:sz w:val="18"/>
          <w:szCs w:val="18"/>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223" w:lineRule="exact"/>
        <w:rPr>
          <w:sz w:val="20"/>
          <w:szCs w:val="20"/>
          <w:color w:val="auto"/>
        </w:rPr>
      </w:pPr>
    </w:p>
    <w:p>
      <w:pPr>
        <w:ind w:right="200" w:firstLine="323"/>
        <w:spacing w:after="0" w:line="310" w:lineRule="auto"/>
        <w:rPr>
          <w:sz w:val="20"/>
          <w:szCs w:val="20"/>
          <w:color w:val="auto"/>
        </w:rPr>
      </w:pPr>
      <w:r>
        <w:rPr>
          <w:rFonts w:ascii="Arial" w:cs="Arial" w:eastAsia="Arial" w:hAnsi="Arial"/>
          <w:sz w:val="16"/>
          <w:szCs w:val="16"/>
          <w:color w:val="auto"/>
        </w:rPr>
        <w:t>We sell our equipment and services to customers under a combination of a contract and purchase order. Equipment revenue includes sales from proprietary products designed and engineered by us such as vertical farming units, container farms, integrated grow racks, and LED grow lights, and non-proprietary products designed, engineered, and manufactured by third parties such as air cleaning systems and pesticide-free surface protection.</w:t>
      </w:r>
    </w:p>
    <w:p>
      <w:pPr>
        <w:spacing w:after="0" w:line="148"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two main sub-contractors to execute the construction contracts.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2" w:name="page23"/>
    <w:bookmarkEnd w:id="22"/>
    <w:p>
      <w:pPr>
        <w:ind w:right="80" w:firstLine="323"/>
        <w:spacing w:after="0" w:line="258"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At March 31, 2021, we had no product warranty accrual our de minimis historical financial warranty experience.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27" w:lineRule="exact"/>
        <w:rPr>
          <w:sz w:val="20"/>
          <w:szCs w:val="20"/>
          <w:color w:val="auto"/>
        </w:rPr>
      </w:pPr>
    </w:p>
    <w:p>
      <w:pPr>
        <w:ind w:right="220" w:firstLine="323"/>
        <w:spacing w:after="0" w:line="310"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48" w:lineRule="exact"/>
        <w:rPr>
          <w:sz w:val="20"/>
          <w:szCs w:val="20"/>
          <w:color w:val="auto"/>
        </w:rPr>
      </w:pPr>
    </w:p>
    <w:p>
      <w:pPr>
        <w:ind w:firstLine="323"/>
        <w:spacing w:after="0" w:line="262"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83" w:lineRule="exact"/>
        <w:rPr>
          <w:sz w:val="20"/>
          <w:szCs w:val="20"/>
          <w:color w:val="auto"/>
        </w:rPr>
      </w:pPr>
    </w:p>
    <w:p>
      <w:pPr>
        <w:ind w:right="20" w:firstLine="323"/>
        <w:spacing w:after="0" w:line="269"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3" w:name="page24"/>
    <w:bookmarkEnd w:id="23"/>
    <w:p>
      <w:pPr>
        <w:ind w:right="40" w:firstLine="323"/>
        <w:spacing w:after="0" w:line="272" w:lineRule="auto"/>
        <w:rPr>
          <w:sz w:val="20"/>
          <w:szCs w:val="20"/>
          <w:color w:val="auto"/>
        </w:rPr>
      </w:pPr>
      <w:r>
        <w:rPr>
          <w:rFonts w:ascii="Arial" w:cs="Arial" w:eastAsia="Arial" w:hAnsi="Arial"/>
          <w:sz w:val="17"/>
          <w:szCs w:val="17"/>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 is important that the discussion of our operating results that follows be read in conjunction with the critical accounting policies disclosed above.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common stock</w:t>
      </w:r>
    </w:p>
    <w:p>
      <w:pPr>
        <w:spacing w:after="0" w:line="227" w:lineRule="exact"/>
        <w:rPr>
          <w:sz w:val="20"/>
          <w:szCs w:val="20"/>
          <w:color w:val="auto"/>
        </w:rPr>
      </w:pPr>
    </w:p>
    <w:p>
      <w:pPr>
        <w:ind w:right="20" w:firstLine="323"/>
        <w:spacing w:after="0" w:line="270" w:lineRule="auto"/>
        <w:rPr>
          <w:sz w:val="20"/>
          <w:szCs w:val="20"/>
          <w:color w:val="auto"/>
        </w:rPr>
      </w:pPr>
      <w:r>
        <w:rPr>
          <w:rFonts w:ascii="Arial" w:cs="Arial" w:eastAsia="Arial" w:hAnsi="Arial"/>
          <w:sz w:val="17"/>
          <w:szCs w:val="17"/>
          <w:color w:val="auto"/>
        </w:rPr>
        <w:t>Historically, for all periods prior to our IPO,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78" w:lineRule="exact"/>
        <w:rPr>
          <w:sz w:val="20"/>
          <w:szCs w:val="20"/>
          <w:color w:val="auto"/>
        </w:rPr>
      </w:pPr>
    </w:p>
    <w:p>
      <w:pPr>
        <w:ind w:right="120" w:firstLine="323"/>
        <w:spacing w:after="0" w:line="278" w:lineRule="auto"/>
        <w:rPr>
          <w:sz w:val="20"/>
          <w:szCs w:val="20"/>
          <w:color w:val="auto"/>
        </w:rPr>
      </w:pPr>
      <w:r>
        <w:rPr>
          <w:rFonts w:ascii="Arial" w:cs="Arial" w:eastAsia="Arial" w:hAnsi="Arial"/>
          <w:sz w:val="17"/>
          <w:szCs w:val="17"/>
          <w:color w:val="auto"/>
        </w:rPr>
        <w:t>For our valuation performed on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70" w:lineRule="exact"/>
        <w:rPr>
          <w:sz w:val="20"/>
          <w:szCs w:val="20"/>
          <w:color w:val="auto"/>
        </w:rPr>
      </w:pPr>
    </w:p>
    <w:p>
      <w:pPr>
        <w:ind w:right="360" w:firstLine="323"/>
        <w:spacing w:after="0" w:line="262"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48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goods sold</w:t>
            </w:r>
          </w:p>
        </w:tc>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7,548,000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972,000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882,000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1,200,000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5,074,000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2,290,000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3,490,000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Loss from operations</w:t>
            </w:r>
          </w:p>
        </w:tc>
        <w:tc>
          <w:tcPr>
            <w:tcW w:w="3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(6,496,000</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(3,449,000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(32,000)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notes payable</w:t>
            </w:r>
          </w:p>
        </w:tc>
        <w:tc>
          <w:tcPr>
            <w:tcW w:w="3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2,685,000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top w:val="single" w:sz="8" w:color="CCEEFF"/>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net</w:t>
            </w:r>
          </w:p>
        </w:tc>
        <w:tc>
          <w:tcPr>
            <w:tcW w:w="3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2,653,000</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(3,843,000)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33,000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3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vMerge w:val="continue"/>
            <w:shd w:val="clear" w:color="auto" w:fill="CCEEFF"/>
          </w:tcPr>
          <w:p>
            <w:pPr>
              <w:spacing w:after="0"/>
              <w:rPr>
                <w:sz w:val="21"/>
                <w:szCs w:val="21"/>
                <w:color w:val="auto"/>
              </w:rPr>
            </w:pPr>
          </w:p>
        </w:tc>
        <w:tc>
          <w:tcPr>
            <w:tcW w:w="3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(3,810,000</w:t>
            </w:r>
          </w:p>
        </w:tc>
        <w:tc>
          <w:tcPr>
            <w:tcW w:w="140" w:type="dxa"/>
            <w:vAlign w:val="bottom"/>
            <w:vMerge w:val="continue"/>
            <w:shd w:val="clear" w:color="auto" w:fill="CCEEFF"/>
          </w:tcPr>
          <w:p>
            <w:pPr>
              <w:spacing w:after="0"/>
              <w:rPr>
                <w:sz w:val="21"/>
                <w:szCs w:val="21"/>
                <w:color w:val="auto"/>
              </w:rPr>
            </w:pP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(3,413,000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0"/>
              </w:rPr>
              <w:t>Net loss per share attributable to common stockholders – basic and diluted</w:t>
            </w:r>
          </w:p>
        </w:tc>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vMerge w:val="continue"/>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Weighted average common shares outstanding – basic and diluted</w:t>
            </w:r>
          </w:p>
        </w:tc>
        <w:tc>
          <w:tcPr>
            <w:tcW w:w="3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11,568,105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3,760,109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40" w:type="dxa"/>
            <w:vAlign w:val="bottom"/>
            <w:vMerge w:val="restart"/>
          </w:tcPr>
          <w:p>
            <w:pPr>
              <w:jc w:val="right"/>
              <w:ind w:right="287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8"/>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3" w:lineRule="exact"/>
        <w:rPr>
          <w:sz w:val="20"/>
          <w:szCs w:val="20"/>
          <w:color w:val="auto"/>
        </w:rPr>
      </w:pPr>
    </w:p>
    <w:p>
      <w:pPr>
        <w:ind w:right="360" w:firstLine="323"/>
        <w:spacing w:after="0" w:line="262"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and 2021 are supplemented with environmental control products, grow lights, and facility build-out services.</w:t>
      </w:r>
    </w:p>
    <w:p>
      <w:pPr>
        <w:spacing w:after="0" w:line="183" w:lineRule="exact"/>
        <w:rPr>
          <w:sz w:val="20"/>
          <w:szCs w:val="20"/>
          <w:color w:val="auto"/>
        </w:rPr>
      </w:pPr>
    </w:p>
    <w:p>
      <w:pPr>
        <w:jc w:val="both"/>
        <w:ind w:right="60" w:firstLine="323"/>
        <w:spacing w:after="0" w:line="262"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83" w:lineRule="exact"/>
        <w:rPr>
          <w:sz w:val="20"/>
          <w:szCs w:val="20"/>
          <w:color w:val="auto"/>
        </w:rPr>
      </w:pPr>
    </w:p>
    <w:p>
      <w:pPr>
        <w:jc w:val="both"/>
        <w:ind w:right="200" w:firstLine="323"/>
        <w:spacing w:after="0" w:line="278" w:lineRule="auto"/>
        <w:rPr>
          <w:sz w:val="20"/>
          <w:szCs w:val="20"/>
          <w:color w:val="auto"/>
        </w:rPr>
      </w:pPr>
      <w:r>
        <w:rPr>
          <w:rFonts w:ascii="Arial" w:cs="Arial" w:eastAsia="Arial" w:hAnsi="Arial"/>
          <w:sz w:val="17"/>
          <w:szCs w:val="17"/>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w w:val="93"/>
              </w:rPr>
              <w:t>The following table provides a breakdown of our revenue for the three months ended March 31, 2021 and 2020: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2"/>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0"/>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1,009,000</w:t>
            </w:r>
          </w:p>
        </w:tc>
        <w:tc>
          <w:tcPr>
            <w:tcW w:w="100" w:type="dxa"/>
            <w:vAlign w:val="bottom"/>
            <w:shd w:val="clear" w:color="auto" w:fill="CCEEFF"/>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Agrify Insights software</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Facility build-outs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9"/>
        </w:trPr>
        <w:tc>
          <w:tcPr>
            <w:tcW w:w="86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7,008,000</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1,013,000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both"/>
        <w:ind w:right="20" w:firstLine="323"/>
        <w:spacing w:after="0" w:line="275" w:lineRule="auto"/>
        <w:rPr>
          <w:sz w:val="20"/>
          <w:szCs w:val="20"/>
          <w:color w:val="auto"/>
        </w:rPr>
      </w:pPr>
      <w:r>
        <w:rPr>
          <w:rFonts w:ascii="Arial" w:cs="Arial" w:eastAsia="Arial" w:hAnsi="Arial"/>
          <w:sz w:val="18"/>
          <w:szCs w:val="18"/>
          <w:color w:val="auto"/>
        </w:rPr>
        <w:t>Revenue for the three months ended March 31, 2021 and 2020 was generated mainly from facility build outs and cultivation solutions, respectively. For the three months ended March 31, 2021 and 2020, we sold 4 and 179 AVFUs, respectively.</w:t>
      </w:r>
    </w:p>
    <w:p>
      <w:pPr>
        <w:spacing w:after="0" w:line="171" w:lineRule="exact"/>
        <w:rPr>
          <w:sz w:val="20"/>
          <w:szCs w:val="20"/>
          <w:color w:val="auto"/>
        </w:rPr>
      </w:pPr>
    </w:p>
    <w:p>
      <w:pPr>
        <w:ind w:right="380" w:firstLine="323"/>
        <w:spacing w:after="0" w:line="285" w:lineRule="auto"/>
        <w:rPr>
          <w:sz w:val="20"/>
          <w:szCs w:val="20"/>
          <w:color w:val="auto"/>
        </w:rPr>
      </w:pPr>
      <w:r>
        <w:rPr>
          <w:rFonts w:ascii="Arial" w:cs="Arial" w:eastAsia="Arial" w:hAnsi="Arial"/>
          <w:sz w:val="17"/>
          <w:szCs w:val="17"/>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Cost of goods sold include direct cost of parts and outsourced assembly and installation services that are necessary for delivery of our products.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breakdown of our cost of revenue for the three months ended March 31, 2021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0"/>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1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972,000</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Facility build-outs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6,779,000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9"/>
        </w:trPr>
        <w:tc>
          <w:tcPr>
            <w:tcW w:w="86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7,548,000</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ind w:right="20" w:firstLine="323"/>
        <w:spacing w:after="0" w:line="287"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In February 2021, the Company placed a purchase order with Mack amounting to approximately $5,200,000 towards initial production of AVFUs during 2021.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3" w:lineRule="exact"/>
        <w:rPr>
          <w:sz w:val="20"/>
          <w:szCs w:val="20"/>
          <w:color w:val="auto"/>
        </w:rPr>
      </w:pPr>
    </w:p>
    <w:p>
      <w:pPr>
        <w:ind w:right="40" w:firstLine="323"/>
        <w:spacing w:after="0" w:line="262" w:lineRule="auto"/>
        <w:rPr>
          <w:sz w:val="20"/>
          <w:szCs w:val="20"/>
          <w:color w:val="auto"/>
        </w:rPr>
      </w:pPr>
      <w:r>
        <w:rPr>
          <w:rFonts w:ascii="Arial" w:cs="Arial" w:eastAsia="Arial" w:hAnsi="Arial"/>
          <w:sz w:val="18"/>
          <w:szCs w:val="18"/>
          <w:color w:val="auto"/>
        </w:rPr>
        <w:t>Our gross profit (loss) represents total revenue less the cost of goods sold, and gross margin percentage is gross profit (loss) expressed as a percentage of total revenue. For the three months ended March 31, 2021, our gross loss was $540,000 compared to a gross profit of $41,000 for the three months ended March 31, 2020.</w:t>
      </w:r>
    </w:p>
    <w:p>
      <w:pPr>
        <w:spacing w:after="0" w:line="183" w:lineRule="exact"/>
        <w:rPr>
          <w:sz w:val="20"/>
          <w:szCs w:val="20"/>
          <w:color w:val="auto"/>
        </w:rPr>
      </w:pPr>
    </w:p>
    <w:p>
      <w:pPr>
        <w:ind w:right="300" w:firstLine="323"/>
        <w:spacing w:after="0" w:line="295" w:lineRule="auto"/>
        <w:rPr>
          <w:sz w:val="20"/>
          <w:szCs w:val="20"/>
          <w:color w:val="auto"/>
        </w:rPr>
      </w:pPr>
      <w:r>
        <w:rPr>
          <w:rFonts w:ascii="Arial" w:cs="Arial" w:eastAsia="Arial" w:hAnsi="Arial"/>
          <w:sz w:val="16"/>
          <w:szCs w:val="16"/>
          <w:color w:val="auto"/>
        </w:rPr>
        <w:t>Our gross profit (loss) margin percentage decreased to (7.7)% for the three months ended March 31, 2021 compared to 4.0% in the same period in 2020. The decrease (increase) in gross profit (loss) was primarily related to (i) inventory obsolescence reserve during the three months ended March 31, 2021 in the amount of $113,000 due to change in design as we transition to our more advanced AVFUs model, (ii) employee-related expenses, including salaries, benefits, and stock-based compensation of $345,000 related to production and assembling operation in HMH which was acquired in the third quarter of 2020, and (ii) a lower gross profit margin from construction revenue compared to sale of our AVFU.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420" w:firstLine="323"/>
        <w:spacing w:after="0" w:line="275"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171" w:lineRule="exact"/>
        <w:rPr>
          <w:sz w:val="20"/>
          <w:szCs w:val="20"/>
          <w:color w:val="auto"/>
        </w:rPr>
      </w:pPr>
    </w:p>
    <w:p>
      <w:pPr>
        <w:ind w:left="660" w:hanging="330"/>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expenses incurred by subcontractor under agreements to provide engineering work related to the development of our next generation VFUs;</w:t>
      </w:r>
    </w:p>
    <w:p>
      <w:pPr>
        <w:spacing w:after="0" w:line="235" w:lineRule="exact"/>
        <w:rPr>
          <w:rFonts w:ascii="Arial" w:cs="Arial" w:eastAsia="Arial" w:hAnsi="Arial"/>
          <w:sz w:val="17"/>
          <w:szCs w:val="17"/>
          <w:color w:val="auto"/>
        </w:rPr>
      </w:pPr>
    </w:p>
    <w:p>
      <w:pPr>
        <w:ind w:left="660" w:right="580" w:hanging="330"/>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our facilities, depreciation, and other expenses, which include direct and allocated expenses for rent and maintenance of facilities, insurance and other supplies.</w:t>
      </w:r>
    </w:p>
    <w:p>
      <w:pPr>
        <w:spacing w:after="0" w:line="171" w:lineRule="exact"/>
        <w:rPr>
          <w:sz w:val="20"/>
          <w:szCs w:val="20"/>
          <w:color w:val="auto"/>
        </w:rPr>
      </w:pPr>
    </w:p>
    <w:p>
      <w:pPr>
        <w:ind w:right="120" w:firstLine="323"/>
        <w:spacing w:after="0" w:line="254" w:lineRule="auto"/>
        <w:rPr>
          <w:sz w:val="20"/>
          <w:szCs w:val="20"/>
          <w:color w:val="auto"/>
        </w:rPr>
      </w:pPr>
      <w:r>
        <w:rPr>
          <w:rFonts w:ascii="Arial" w:cs="Arial" w:eastAsia="Arial" w:hAnsi="Arial"/>
          <w:sz w:val="18"/>
          <w:szCs w:val="18"/>
          <w:color w:val="auto"/>
        </w:rPr>
        <w:t>For the three months ended March 31, 2021 compared to the three months ended March 31, 2020, research and development expenses were $882,000 and $1,200,000, respectively. The decrease of $318,000 is primarily attributable to halted development of hardware solution for deployment of rapid grow solution of $662,000 in the first quarter of fiscal 2020 and decrease in consulting fees of $134,000. The decrease in expenses was offset by an increase in payroll and related expenses in the amount of approximately $180,000, increase in other costs amounting to $54,000 and an increase in stock-based compensation in the amount of $244,000, including a non-recurring expense of $176,000 related to vesting acceleration of options upon the consummation of our IPO.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6" w:name="page27"/>
    <w:bookmarkEnd w:id="26"/>
    <w:p>
      <w:pPr>
        <w:ind w:right="60" w:firstLine="323"/>
        <w:spacing w:after="0" w:line="258" w:lineRule="auto"/>
        <w:rPr>
          <w:sz w:val="20"/>
          <w:szCs w:val="20"/>
          <w:color w:val="auto"/>
        </w:rPr>
      </w:pPr>
      <w:r>
        <w:rPr>
          <w:rFonts w:ascii="Arial" w:cs="Arial" w:eastAsia="Arial" w:hAnsi="Arial"/>
          <w:sz w:val="18"/>
          <w:szCs w:val="18"/>
          <w:color w:val="auto"/>
        </w:rPr>
        <w:t>As a percentage of net revenue, research and development expenses were 12.6% from total revenue for the three months ended March 31, 2021, compared to 118.5% (or 53.1% when excluding the one-time halted cost) for the three months ended March 31, 2020. We expect to continue to invest in future developments of our AVFUs and Agrify Insights™. In the coming years, we believe that research and development expenses measured as percentage of revenue will decrease due to an increase in our total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ind w:right="120" w:firstLine="323"/>
        <w:spacing w:after="0" w:line="262"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83" w:lineRule="exact"/>
        <w:rPr>
          <w:sz w:val="20"/>
          <w:szCs w:val="20"/>
          <w:color w:val="auto"/>
        </w:rPr>
      </w:pPr>
    </w:p>
    <w:p>
      <w:pPr>
        <w:ind w:firstLine="323"/>
        <w:spacing w:after="0" w:line="271" w:lineRule="auto"/>
        <w:rPr>
          <w:sz w:val="20"/>
          <w:szCs w:val="20"/>
          <w:color w:val="auto"/>
        </w:rPr>
      </w:pPr>
      <w:r>
        <w:rPr>
          <w:rFonts w:ascii="Arial" w:cs="Arial" w:eastAsia="Arial" w:hAnsi="Arial"/>
          <w:sz w:val="17"/>
          <w:szCs w:val="17"/>
          <w:color w:val="auto"/>
        </w:rPr>
        <w:t>For the three months ended March 31, 2021 compared to the three months ended March 31, 2020, general and administrative expenses were $5,074,000 and $2,290,000, respectively. The increase is attributable mainly to payroll and related expenses of approximately $330,000, stock-based compensation in the amount of $1,732,000, insurance expenses of approximately $445,000, legal expenses of approximately $208,000 and depreciation and amortization expenses of approximately $81,000. To support our long-term growth plan and our initial public offering, we have granted stock options to officers, directors and employees with several vesting conditions, including an event-based vesting acceleration (defined as a change in control, including an initial public offering). As a result of the consummation of our IPO during the three months ended March 31, 2021, our Selling, General and Administrative Expenses included a non-recurring expense of $1,248,000.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ind w:right="80" w:firstLine="323"/>
        <w:spacing w:after="0" w:line="285" w:lineRule="auto"/>
        <w:rPr>
          <w:sz w:val="20"/>
          <w:szCs w:val="20"/>
          <w:color w:val="auto"/>
        </w:rPr>
      </w:pPr>
      <w:r>
        <w:rPr>
          <w:rFonts w:ascii="Arial" w:cs="Arial" w:eastAsia="Arial" w:hAnsi="Arial"/>
          <w:sz w:val="17"/>
          <w:szCs w:val="17"/>
          <w:color w:val="auto"/>
        </w:rPr>
        <w:t>Interest expense was $32,000 for the three months ended March 31, 2021 compared to interest income of $5,000 for the three months ended March 31, 2020, reflecting a change of $37,000. The increase in interest expense is attributable mainly to the amortization of debt discount related to the issuance of convertible promissory notes in the amount of $20,000 and interest on operating and capital leases amounting to $13,000.</w:t>
      </w:r>
    </w:p>
    <w:p>
      <w:pPr>
        <w:spacing w:after="0" w:line="165" w:lineRule="exact"/>
        <w:rPr>
          <w:sz w:val="20"/>
          <w:szCs w:val="20"/>
          <w:color w:val="auto"/>
        </w:rPr>
      </w:pPr>
    </w:p>
    <w:p>
      <w:pPr>
        <w:ind w:right="420" w:firstLine="323"/>
        <w:spacing w:after="0" w:line="275" w:lineRule="auto"/>
        <w:rPr>
          <w:sz w:val="20"/>
          <w:szCs w:val="20"/>
          <w:color w:val="auto"/>
        </w:rPr>
      </w:pPr>
      <w:r>
        <w:rPr>
          <w:rFonts w:ascii="Arial" w:cs="Arial" w:eastAsia="Arial" w:hAnsi="Arial"/>
          <w:sz w:val="18"/>
          <w:szCs w:val="18"/>
          <w:color w:val="auto"/>
        </w:rPr>
        <w:t>Gain on extinguishment of notes payable was $2,685,000 for the three months ended March 31, 2021 compared to null for the three months ended March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223" w:lineRule="exact"/>
        <w:rPr>
          <w:sz w:val="20"/>
          <w:szCs w:val="20"/>
          <w:color w:val="auto"/>
        </w:rPr>
      </w:pPr>
    </w:p>
    <w:p>
      <w:pPr>
        <w:ind w:right="140" w:firstLine="323"/>
        <w:spacing w:after="0" w:line="271"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77" w:lineRule="exact"/>
        <w:rPr>
          <w:sz w:val="20"/>
          <w:szCs w:val="20"/>
          <w:color w:val="auto"/>
        </w:rPr>
      </w:pPr>
    </w:p>
    <w:p>
      <w:pPr>
        <w:ind w:right="480" w:firstLine="323"/>
        <w:spacing w:after="0" w:line="275"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180" w:firstLine="323"/>
        <w:spacing w:after="0" w:line="292" w:lineRule="auto"/>
        <w:rPr>
          <w:sz w:val="20"/>
          <w:szCs w:val="20"/>
          <w:color w:val="auto"/>
        </w:rPr>
      </w:pPr>
      <w:r>
        <w:rPr>
          <w:rFonts w:ascii="Arial" w:cs="Arial" w:eastAsia="Arial" w:hAnsi="Arial"/>
          <w:sz w:val="16"/>
          <w:szCs w:val="16"/>
          <w:color w:val="auto"/>
        </w:rPr>
        <w:t>Upon the closing of the February Offering, we had approximately $139 million in cash and cash equivalents. We believe such amount, together with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64" w:lineRule="exact"/>
        <w:rPr>
          <w:sz w:val="20"/>
          <w:szCs w:val="20"/>
          <w:color w:val="auto"/>
        </w:rPr>
      </w:pPr>
    </w:p>
    <w:p>
      <w:pPr>
        <w:ind w:right="260" w:firstLine="323"/>
        <w:spacing w:after="0" w:line="258"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7" w:lineRule="exact"/>
        <w:rPr>
          <w:sz w:val="20"/>
          <w:szCs w:val="20"/>
          <w:color w:val="auto"/>
        </w:rPr>
      </w:pPr>
    </w:p>
    <w:p>
      <w:pPr>
        <w:ind w:right="60" w:firstLine="323"/>
        <w:spacing w:after="0" w:line="271" w:lineRule="auto"/>
        <w:rPr>
          <w:sz w:val="20"/>
          <w:szCs w:val="20"/>
          <w:color w:val="auto"/>
        </w:rPr>
      </w:pPr>
      <w:r>
        <w:rPr>
          <w:rFonts w:ascii="Arial" w:cs="Arial" w:eastAsia="Arial" w:hAnsi="Arial"/>
          <w:sz w:val="17"/>
          <w:szCs w:val="17"/>
          <w:color w:val="auto"/>
        </w:rPr>
        <w:t>We entered into two Loan Agreements and Promissory Notes (collectively the “PPP Loan”) with Bank of America pursuant to the Paycheck Protection Program (the “PPP”) under the recently enacted Coronavirus Aid, Relief, and Economic Security Act (“CARES Act”) administered by the U.S. Small Business Administration. We received total proceeds of $823,410 from the unsecured PPP Loans which are scheduled to mature during 2022 and 2025.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ind w:right="360" w:firstLine="323"/>
        <w:spacing w:after="0" w:line="275"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three months ended March 31, 2021, and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40"/>
        </w:trPr>
        <w:tc>
          <w:tcPr>
            <w:tcW w:w="37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Cash (used in) provided by:</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5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(3,920)</w:t>
            </w:r>
          </w:p>
        </w:tc>
      </w:tr>
      <w:tr>
        <w:trPr>
          <w:trHeight w:val="215"/>
        </w:trPr>
        <w:tc>
          <w:tcPr>
            <w:tcW w:w="376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5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r>
      <w:tr>
        <w:trPr>
          <w:trHeight w:val="215"/>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5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137,197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6,080</w:t>
            </w:r>
          </w:p>
        </w:tc>
      </w:tr>
      <w:tr>
        <w:trPr>
          <w:trHeight w:val="653"/>
        </w:trPr>
        <w:tc>
          <w:tcPr>
            <w:tcW w:w="37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3" w:lineRule="exact"/>
        <w:rPr>
          <w:sz w:val="20"/>
          <w:szCs w:val="20"/>
          <w:color w:val="auto"/>
        </w:rPr>
      </w:pPr>
    </w:p>
    <w:p>
      <w:pPr>
        <w:ind w:right="120" w:firstLine="323"/>
        <w:spacing w:after="0" w:line="292" w:lineRule="auto"/>
        <w:rPr>
          <w:sz w:val="20"/>
          <w:szCs w:val="20"/>
          <w:color w:val="auto"/>
        </w:rPr>
      </w:pPr>
      <w:r>
        <w:rPr>
          <w:rFonts w:ascii="Arial" w:cs="Arial" w:eastAsia="Arial" w:hAnsi="Arial"/>
          <w:sz w:val="16"/>
          <w:szCs w:val="16"/>
          <w:color w:val="auto"/>
        </w:rPr>
        <w:t>For the three months ended March 31, 2021, we incurred a net loss of $3,810,000, which includes non-cash expenses of $147,000 related to depreciation and amortization, $2,135,000 in connection with the issuance and acceleration of stock options, non-cash interest expenses of $33,000 related to leases and the issuance of notes payable, partially offset by gain of $2,685,000 related to extinguishment of notes payable, loss attributed to non-controlling interest in the amount of $33,000. Net cash was reduced by a $5,218,000 increase in accounts receivable, a $3,330,000 increase in prepaid inventory due to demand forecast, a $2,155,000 increase in prepaid expenses, a $96,000 decrease in deferred revenue, partially offset by $7,360,000 increase in accrued expenses ($6,000,000 related to construction cots), and a $181,000 decrease in accounts payable.</w:t>
      </w:r>
    </w:p>
    <w:p>
      <w:pPr>
        <w:spacing w:after="0" w:line="164" w:lineRule="exact"/>
        <w:rPr>
          <w:sz w:val="20"/>
          <w:szCs w:val="20"/>
          <w:color w:val="auto"/>
        </w:rPr>
      </w:pPr>
    </w:p>
    <w:p>
      <w:pPr>
        <w:ind w:right="20" w:firstLine="323"/>
        <w:spacing w:after="0" w:line="258" w:lineRule="auto"/>
        <w:rPr>
          <w:sz w:val="20"/>
          <w:szCs w:val="20"/>
          <w:color w:val="auto"/>
        </w:rPr>
      </w:pPr>
      <w:r>
        <w:rPr>
          <w:rFonts w:ascii="Arial" w:cs="Arial" w:eastAsia="Arial" w:hAnsi="Arial"/>
          <w:sz w:val="18"/>
          <w:szCs w:val="18"/>
          <w:color w:val="auto"/>
        </w:rPr>
        <w:t>For the three months ended March 31, 2020, we reported a net loss of $3,413,000, which includes non-cash expenses of $66,000 related to depreciation and amortization, and $61,000 in connection with issuance of stock options. Net cash was reduced by a $1,250,000 increase in inventory due to demand forecast, a $80,000 increase in prepaid expenses and other receivables, and a $193,000 decrease in accounts payable, partially offset by a $92,000 increase in accrued expenses, and an $891,000 increase in deferred revenue.</w:t>
      </w:r>
    </w:p>
    <w:p>
      <w:pPr>
        <w:spacing w:after="0" w:line="186" w:lineRule="exact"/>
        <w:rPr>
          <w:sz w:val="20"/>
          <w:szCs w:val="20"/>
          <w:color w:val="auto"/>
        </w:rPr>
      </w:pPr>
    </w:p>
    <w:p>
      <w:pPr>
        <w:jc w:val="both"/>
        <w:ind w:right="40" w:firstLine="323"/>
        <w:spacing w:after="0" w:line="310" w:lineRule="auto"/>
        <w:rPr>
          <w:sz w:val="20"/>
          <w:szCs w:val="20"/>
          <w:color w:val="auto"/>
        </w:rPr>
      </w:pPr>
      <w:r>
        <w:rPr>
          <w:rFonts w:ascii="Arial" w:cs="Arial" w:eastAsia="Arial" w:hAnsi="Arial"/>
          <w:sz w:val="16"/>
          <w:szCs w:val="16"/>
          <w:color w:val="auto"/>
        </w:rPr>
        <w:t>For the three months ended March 31, 2021 and 2020, depreciation and amortization expense was $147,000, and $66,000, respectively. The increase in depreciation and amortization expenses is related to assets acquired from HMH. We anticipate that our depreciation and amortization expense will increase in fiscal 2021 due to investment in capital expenditures in fiscal 2021 on property and equipment to expand research, development and testing capabilities.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three months ended March 31, 2021 and 2020, compensation in connection with issuance of stock options was $2,135,000 (of which</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$1,502,000 related to the acceleration of stock option vesting due to our IPO) and $61,000, respectively. As of March 31, 2021, there was $12,847,000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total unrecognized compensation expense related to unvested options granted under our options plans, which will be recognized periodically through fiscal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23" w:lineRule="exact"/>
        <w:rPr>
          <w:sz w:val="20"/>
          <w:szCs w:val="20"/>
          <w:color w:val="auto"/>
        </w:rPr>
      </w:pPr>
    </w:p>
    <w:p>
      <w:pPr>
        <w:ind w:right="260" w:firstLine="323"/>
        <w:spacing w:after="0" w:line="275" w:lineRule="auto"/>
        <w:rPr>
          <w:sz w:val="20"/>
          <w:szCs w:val="20"/>
          <w:color w:val="auto"/>
        </w:rPr>
      </w:pPr>
      <w:r>
        <w:rPr>
          <w:rFonts w:ascii="Arial" w:cs="Arial" w:eastAsia="Arial" w:hAnsi="Arial"/>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71" w:lineRule="exact"/>
        <w:rPr>
          <w:sz w:val="20"/>
          <w:szCs w:val="20"/>
          <w:color w:val="auto"/>
        </w:rPr>
      </w:pPr>
    </w:p>
    <w:p>
      <w:pPr>
        <w:ind w:right="440" w:firstLine="323"/>
        <w:spacing w:after="0" w:line="275" w:lineRule="auto"/>
        <w:rPr>
          <w:sz w:val="20"/>
          <w:szCs w:val="20"/>
          <w:color w:val="auto"/>
        </w:rPr>
      </w:pPr>
      <w:r>
        <w:rPr>
          <w:rFonts w:ascii="Arial" w:cs="Arial" w:eastAsia="Arial" w:hAnsi="Arial"/>
          <w:sz w:val="18"/>
          <w:szCs w:val="18"/>
          <w:color w:val="auto"/>
        </w:rPr>
        <w:t>For the three months ended March 31, 2021, net cash used in investing activities was $142,000 for leasehold improvements, purchasing computer equipment and small machinery.</w:t>
      </w:r>
    </w:p>
    <w:p>
      <w:pPr>
        <w:spacing w:after="0" w:line="171" w:lineRule="exact"/>
        <w:rPr>
          <w:sz w:val="20"/>
          <w:szCs w:val="20"/>
          <w:color w:val="auto"/>
        </w:rPr>
      </w:pPr>
    </w:p>
    <w:p>
      <w:pPr>
        <w:ind w:right="240" w:firstLine="323"/>
        <w:spacing w:after="0" w:line="275" w:lineRule="auto"/>
        <w:rPr>
          <w:sz w:val="20"/>
          <w:szCs w:val="20"/>
          <w:color w:val="auto"/>
        </w:rPr>
      </w:pPr>
      <w:r>
        <w:rPr>
          <w:rFonts w:ascii="Arial" w:cs="Arial" w:eastAsia="Arial" w:hAnsi="Arial"/>
          <w:sz w:val="18"/>
          <w:szCs w:val="18"/>
          <w:color w:val="auto"/>
        </w:rPr>
        <w:t>For the three months ended March 31, 2020, net cash used in investing activities was $1,155,000 which includes $1,096,000 paid in connection with the acquisition of TriGrow and a $59,000 cash outflow for purchasing computer equipment and small machinery.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23" w:lineRule="exact"/>
        <w:rPr>
          <w:sz w:val="20"/>
          <w:szCs w:val="20"/>
          <w:color w:val="auto"/>
        </w:rPr>
      </w:pPr>
    </w:p>
    <w:p>
      <w:pPr>
        <w:ind w:firstLine="323"/>
        <w:spacing w:after="0" w:line="262" w:lineRule="auto"/>
        <w:rPr>
          <w:sz w:val="20"/>
          <w:szCs w:val="20"/>
          <w:color w:val="auto"/>
        </w:rPr>
      </w:pPr>
      <w:r>
        <w:rPr>
          <w:rFonts w:ascii="Arial" w:cs="Arial" w:eastAsia="Arial" w:hAnsi="Arial"/>
          <w:sz w:val="18"/>
          <w:szCs w:val="18"/>
          <w:color w:val="auto"/>
        </w:rPr>
        <w:t>For the three months ended March 31, 2021, net cash provided by financing activities was $137,000,000, attributable to $57,000,000 proceeds from our initial IPO, $80,000,000 from our secondary public offering, both net of fees, and proceeds from the exercise of options and warrants of $444,000, slightly off set by $47,000 payments of financing leases.</w:t>
      </w:r>
    </w:p>
    <w:p>
      <w:pPr>
        <w:spacing w:after="0" w:line="183" w:lineRule="exact"/>
        <w:rPr>
          <w:sz w:val="20"/>
          <w:szCs w:val="20"/>
          <w:color w:val="auto"/>
        </w:rPr>
      </w:pPr>
    </w:p>
    <w:p>
      <w:pPr>
        <w:jc w:val="both"/>
        <w:ind w:right="340" w:firstLine="323"/>
        <w:spacing w:after="0" w:line="262" w:lineRule="auto"/>
        <w:rPr>
          <w:sz w:val="20"/>
          <w:szCs w:val="20"/>
          <w:color w:val="auto"/>
        </w:rPr>
      </w:pPr>
      <w:r>
        <w:rPr>
          <w:rFonts w:ascii="Arial" w:cs="Arial" w:eastAsia="Arial" w:hAnsi="Arial"/>
          <w:sz w:val="18"/>
          <w:szCs w:val="18"/>
          <w:color w:val="auto"/>
        </w:rPr>
        <w:t>For the three months ended March 31, 2020, net cash provided by financing activities was $6,080,000, consisting of $6,000,000 proceeds from the issuance of our series A Preferred Stock, $40,000 in capital contributions from the issuance of our common stock to an investor and a $40,000 minority interest investment in Agrify Valiant.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“smaller reporting company” as defined by Item 10 of Regulation S-K, the Company is not required to provide information required by this Item.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80" w:firstLine="323"/>
        <w:spacing w:after="0" w:line="289" w:lineRule="auto"/>
        <w:rPr>
          <w:sz w:val="20"/>
          <w:szCs w:val="20"/>
          <w:color w:val="auto"/>
        </w:rPr>
      </w:pPr>
      <w:r>
        <w:rPr>
          <w:rFonts w:ascii="Arial" w:cs="Arial" w:eastAsia="Arial" w:hAnsi="Arial"/>
          <w:sz w:val="16"/>
          <w:szCs w:val="16"/>
          <w:color w:val="auto"/>
        </w:rPr>
        <w:t>We maintain disclosure controls and procedures (as defined in paragraph (e) of Rules 13a-15 and 15d-15 under the Exchange Act) designed to ensure that the information we are required to disclose in reports that we file or submit under the Exchange Act is recorded, processed, summarized and reported within the time periods specified under the rules and forms of the SEC. Disclosure controls and procedures include, without limitation, controls and procedures designed to ensure that such information is accumulated and communicated to our management, including our Chief Executive Officer and our Chief Financial Officer, as appropriate to allow timely decisions regarding required disclosures. As required by paragraph (b) of Rules 13a-15 and 15d-15 under the Exchange Act, our Chief Executive Officer and our Chief Financial Officer carried out an evaluation of the effectiveness of the design and operation of our disclosure controls and procedures as of March 31, 2021. Based on this evaluation, our Chief Executive Officer and our Chief Financial Officer concluded that our disclosure controls and procedures were not effective at the reasonable assurance level as of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As discussed above, we are implementing certain measures to remediate the material weaknesses identified in the design and operation of our internal control over financial reporting. Other than those measures, there have been no changes in our internal control over financial reporting (as such term is defined in Rules 13a-15(f) and 15d-15(f) under the Exchange Act)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336"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firstLine="323"/>
        <w:spacing w:after="0" w:line="270" w:lineRule="auto"/>
        <w:rPr>
          <w:sz w:val="20"/>
          <w:szCs w:val="20"/>
          <w:color w:val="auto"/>
        </w:rPr>
      </w:pPr>
      <w:r>
        <w:rPr>
          <w:rFonts w:ascii="Arial" w:cs="Arial" w:eastAsia="Arial" w:hAnsi="Arial"/>
          <w:sz w:val="17"/>
          <w:szCs w:val="17"/>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Systems, Inc.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78" w:lineRule="exact"/>
        <w:rPr>
          <w:sz w:val="20"/>
          <w:szCs w:val="20"/>
          <w:color w:val="auto"/>
        </w:rPr>
      </w:pPr>
    </w:p>
    <w:p>
      <w:pPr>
        <w:ind w:right="180" w:firstLine="323"/>
        <w:spacing w:after="0" w:line="290" w:lineRule="auto"/>
        <w:rPr>
          <w:sz w:val="20"/>
          <w:szCs w:val="20"/>
          <w:color w:val="auto"/>
        </w:rPr>
      </w:pPr>
      <w:r>
        <w:rPr>
          <w:rFonts w:ascii="Arial" w:cs="Arial" w:eastAsia="Arial" w:hAnsi="Arial"/>
          <w:sz w:val="16"/>
          <w:szCs w:val="16"/>
          <w:color w:val="auto"/>
        </w:rPr>
        <w:t>On January 19, 2021, Messrs. Cooper and Weinstein filed a lawsuit against us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On March 10, 2021, we moved to dismiss all of Cooper and Weinstein’s claims, asserting that the claims failed to allege legal grounds for relief. On May 12, 2021, a Magistrate issued a preliminary Report and Recommendation, which recommended dismissal of certain of Cooper and Weinstein’s claims, and recommended others for additional factual discovery. We do not believe these claims have any merit and intend to vigorously defend against these claims (see Note 14,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160" w:firstLine="323"/>
        <w:spacing w:after="0" w:line="275"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and are not required to provide the information under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sales of our equity securities during the period covered by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27" w:lineRule="exact"/>
        <w:rPr>
          <w:sz w:val="20"/>
          <w:szCs w:val="20"/>
          <w:color w:val="auto"/>
        </w:rPr>
      </w:pPr>
    </w:p>
    <w:p>
      <w:pPr>
        <w:ind w:right="20" w:firstLine="323"/>
        <w:spacing w:after="0" w:line="274" w:lineRule="auto"/>
        <w:rPr>
          <w:sz w:val="20"/>
          <w:szCs w:val="20"/>
          <w:color w:val="auto"/>
        </w:rPr>
      </w:pPr>
      <w:r>
        <w:rPr>
          <w:rFonts w:ascii="Arial" w:cs="Arial" w:eastAsia="Arial" w:hAnsi="Arial"/>
          <w:sz w:val="17"/>
          <w:szCs w:val="17"/>
          <w:color w:val="auto"/>
        </w:rPr>
        <w:t>On February 1, 2021, we closed our initial public offering, or IPO, of 6,210,000 shares of common stock (inclusive of 810,000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Maxim Group LLC and Roth Capital Partners acted as the underwriters. The public offering price of the shares sold in the offering was $10.00 per share. The total gross proceeds from the offering were $62,100,000.</w:t>
      </w:r>
    </w:p>
    <w:p>
      <w:pPr>
        <w:spacing w:after="0" w:line="176" w:lineRule="exact"/>
        <w:rPr>
          <w:sz w:val="20"/>
          <w:szCs w:val="20"/>
          <w:color w:val="auto"/>
        </w:rPr>
      </w:pPr>
    </w:p>
    <w:p>
      <w:pPr>
        <w:ind w:right="100" w:firstLine="323"/>
        <w:spacing w:after="0" w:line="275" w:lineRule="auto"/>
        <w:rPr>
          <w:sz w:val="20"/>
          <w:szCs w:val="20"/>
          <w:color w:val="auto"/>
        </w:rPr>
      </w:pPr>
      <w:r>
        <w:rPr>
          <w:rFonts w:ascii="Arial" w:cs="Arial" w:eastAsia="Arial" w:hAnsi="Arial"/>
          <w:sz w:val="18"/>
          <w:szCs w:val="18"/>
          <w:color w:val="auto"/>
        </w:rPr>
        <w:t>After deducting underwriting discounts and commissions of $4,000,000 and offering expenses paid or payable by us of approximately $1,000,000, the net proceeds from the offering were approximately $57,000,000.</w:t>
      </w:r>
    </w:p>
    <w:p>
      <w:pPr>
        <w:spacing w:after="0" w:line="171" w:lineRule="exact"/>
        <w:rPr>
          <w:sz w:val="20"/>
          <w:szCs w:val="20"/>
          <w:color w:val="auto"/>
        </w:rPr>
      </w:pPr>
    </w:p>
    <w:p>
      <w:pPr>
        <w:ind w:right="60" w:firstLine="323"/>
        <w:spacing w:after="0" w:line="262"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IPO prospectus filed with the SEC on January 29, 2021 pursuant to rule 424(b) of the Securities Act. We invested the funds received in short-term and long-term, interest-bearing securities and government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00" w:type="dxa"/>
            <w:vAlign w:val="bottom"/>
            <w:gridSpan w:val="6"/>
          </w:tcPr>
          <w:p>
            <w:pPr>
              <w:ind w:left="1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160" w:type="dxa"/>
            <w:vAlign w:val="bottom"/>
            <w:tcBorders>
              <w:top w:val="single" w:sz="8" w:color="auto"/>
              <w:bottom w:val="single" w:sz="8" w:color="0000EE"/>
            </w:tcBorders>
            <w:gridSpan w:val="3"/>
            <w:shd w:val="clear" w:color="auto" w:fill="CCEEFF"/>
          </w:tcPr>
          <w:p>
            <w:pPr>
              <w:spacing w:after="0" w:line="175"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Rule 13(a)-14(a)/15(d)-14(a) Certification of principal executive officer</w:t>
              </w:r>
            </w:hyperlink>
          </w:p>
        </w:tc>
        <w:tc>
          <w:tcPr>
            <w:tcW w:w="49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tcPr>
          <w:p>
            <w:pPr>
              <w:spacing w:after="0" w:line="175" w:lineRule="exact"/>
              <w:rPr>
                <w:sz w:val="20"/>
                <w:szCs w:val="20"/>
                <w:color w:val="auto"/>
              </w:rPr>
            </w:pPr>
            <w:r>
              <w:rPr>
                <w:rFonts w:ascii="Arial" w:cs="Arial" w:eastAsia="Arial" w:hAnsi="Arial"/>
                <w:sz w:val="18"/>
                <w:szCs w:val="18"/>
                <w:color w:val="auto"/>
              </w:rPr>
              <w:t>31.2</w:t>
            </w:r>
          </w:p>
        </w:tc>
        <w:tc>
          <w:tcPr>
            <w:tcW w:w="10200" w:type="dxa"/>
            <w:vAlign w:val="bottom"/>
            <w:gridSpan w:val="6"/>
          </w:tcPr>
          <w:p>
            <w:pPr>
              <w:ind w:left="100"/>
              <w:spacing w:after="0" w:line="175" w:lineRule="exact"/>
              <w:rPr>
                <w:rFonts w:ascii="Arial" w:cs="Arial" w:eastAsia="Arial" w:hAnsi="Arial"/>
                <w:sz w:val="18"/>
                <w:szCs w:val="18"/>
                <w:color w:val="0000EE"/>
              </w:rPr>
            </w:pPr>
            <w:hyperlink w:anchor="page35">
              <w:r>
                <w:rPr>
                  <w:rFonts w:ascii="Arial" w:cs="Arial" w:eastAsia="Arial" w:hAnsi="Arial"/>
                  <w:sz w:val="18"/>
                  <w:szCs w:val="18"/>
                  <w:color w:val="0000EE"/>
                </w:rPr>
                <w:t>Rule 13(a)-14(a)/15(d)-14(a) Certification of principal financial and accounting officer</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32.1</w:t>
            </w:r>
          </w:p>
        </w:tc>
        <w:tc>
          <w:tcPr>
            <w:tcW w:w="10200" w:type="dxa"/>
            <w:vAlign w:val="bottom"/>
            <w:gridSpan w:val="6"/>
            <w:shd w:val="clear" w:color="auto" w:fill="CCEEFF"/>
          </w:tcPr>
          <w:p>
            <w:pPr>
              <w:ind w:left="100"/>
              <w:spacing w:after="0" w:line="175" w:lineRule="exact"/>
              <w:rPr>
                <w:rFonts w:ascii="Arial" w:cs="Arial" w:eastAsia="Arial" w:hAnsi="Arial"/>
                <w:sz w:val="18"/>
                <w:szCs w:val="18"/>
                <w:color w:val="0000EE"/>
              </w:rPr>
            </w:pPr>
            <w:hyperlink w:anchor="page36">
              <w:r>
                <w:rPr>
                  <w:rFonts w:ascii="Arial" w:cs="Arial" w:eastAsia="Arial" w:hAnsi="Arial"/>
                  <w:sz w:val="18"/>
                  <w:szCs w:val="18"/>
                  <w:color w:val="0000EE"/>
                </w:rPr>
                <w:t>Section 1350 Certification of principal executive officer</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tcPr>
          <w:p>
            <w:pPr>
              <w:spacing w:after="0" w:line="175" w:lineRule="exact"/>
              <w:rPr>
                <w:sz w:val="20"/>
                <w:szCs w:val="20"/>
                <w:color w:val="auto"/>
              </w:rPr>
            </w:pPr>
            <w:r>
              <w:rPr>
                <w:rFonts w:ascii="Arial" w:cs="Arial" w:eastAsia="Arial" w:hAnsi="Arial"/>
                <w:sz w:val="18"/>
                <w:szCs w:val="18"/>
                <w:color w:val="auto"/>
              </w:rPr>
              <w:t>32.2</w:t>
            </w:r>
          </w:p>
        </w:tc>
        <w:tc>
          <w:tcPr>
            <w:tcW w:w="10200" w:type="dxa"/>
            <w:vAlign w:val="bottom"/>
            <w:gridSpan w:val="6"/>
          </w:tcPr>
          <w:p>
            <w:pPr>
              <w:ind w:left="100"/>
              <w:spacing w:after="0" w:line="175" w:lineRule="exact"/>
              <w:rPr>
                <w:rFonts w:ascii="Arial" w:cs="Arial" w:eastAsia="Arial" w:hAnsi="Arial"/>
                <w:sz w:val="18"/>
                <w:szCs w:val="18"/>
                <w:color w:val="0000EE"/>
              </w:rPr>
            </w:pPr>
            <w:hyperlink w:anchor="page37">
              <w:r>
                <w:rPr>
                  <w:rFonts w:ascii="Arial" w:cs="Arial" w:eastAsia="Arial" w:hAnsi="Arial"/>
                  <w:sz w:val="18"/>
                  <w:szCs w:val="18"/>
                  <w:color w:val="0000EE"/>
                </w:rPr>
                <w:t>Section 1350 Certification of principal financial and accounting officer</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6"/>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638"/>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3"/>
          </w:tcPr>
          <w:p>
            <w:pPr>
              <w:ind w:left="4500"/>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14605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14605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Niv Krikov</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2021</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336"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Raymond Chang,</w:t>
      </w:r>
      <w:r>
        <w:rPr>
          <w:rFonts w:ascii="Arial" w:cs="Arial" w:eastAsia="Arial" w:hAnsi="Arial"/>
          <w:sz w:val="18"/>
          <w:szCs w:val="18"/>
          <w:color w:val="auto"/>
        </w:rPr>
        <w:t xml:space="preserve"> certify that:</w:t>
      </w:r>
    </w:p>
    <w:p>
      <w:pPr>
        <w:spacing w:after="0" w:line="22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Agrify Corporation (the “Company”) for the quarter ended March 31, 2021;</w:t>
      </w:r>
    </w:p>
    <w:p>
      <w:pPr>
        <w:spacing w:after="0" w:line="223" w:lineRule="exact"/>
        <w:rPr>
          <w:rFonts w:ascii="Arial" w:cs="Arial" w:eastAsia="Arial" w:hAnsi="Arial"/>
          <w:sz w:val="18"/>
          <w:szCs w:val="18"/>
          <w:color w:val="auto"/>
        </w:rPr>
      </w:pPr>
    </w:p>
    <w:p>
      <w:pPr>
        <w:ind w:right="40" w:firstLine="8"/>
        <w:spacing w:after="0" w:line="340" w:lineRule="auto"/>
        <w:tabs>
          <w:tab w:leader="none" w:pos="179"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580" w:firstLine="8"/>
        <w:spacing w:after="0" w:line="306" w:lineRule="auto"/>
        <w:tabs>
          <w:tab w:leader="none" w:pos="179"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right="60" w:firstLine="8"/>
        <w:spacing w:after="0" w:line="262"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20" w:hanging="330"/>
        <w:spacing w:after="0" w:line="262"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80" w:hanging="330"/>
        <w:spacing w:after="0" w:line="262"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900" w:hanging="330"/>
        <w:spacing w:after="0" w:line="340" w:lineRule="auto"/>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660" w:right="120" w:hanging="330"/>
        <w:spacing w:after="0" w:line="262"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right="520" w:firstLine="8"/>
        <w:spacing w:after="0" w:line="306" w:lineRule="auto"/>
        <w:tabs>
          <w:tab w:leader="none" w:pos="17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20" w:hanging="330"/>
        <w:spacing w:after="0" w:line="306"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280" w:hanging="330"/>
        <w:spacing w:after="0" w:line="275"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Date: May 17, 2021</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1"/>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5"/>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Niv Krikov</w:t>
      </w:r>
      <w:r>
        <w:rPr>
          <w:rFonts w:ascii="Arial" w:cs="Arial" w:eastAsia="Arial" w:hAnsi="Arial"/>
          <w:sz w:val="18"/>
          <w:szCs w:val="18"/>
          <w:color w:val="auto"/>
        </w:rPr>
        <w:t>, certify that:</w:t>
      </w:r>
    </w:p>
    <w:p>
      <w:pPr>
        <w:spacing w:after="0" w:line="22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Agrify Corporation (the “Company”) for the quarter ended March 31, 2021;</w:t>
      </w:r>
    </w:p>
    <w:p>
      <w:pPr>
        <w:spacing w:after="0" w:line="223" w:lineRule="exact"/>
        <w:rPr>
          <w:rFonts w:ascii="Arial" w:cs="Arial" w:eastAsia="Arial" w:hAnsi="Arial"/>
          <w:sz w:val="18"/>
          <w:szCs w:val="18"/>
          <w:color w:val="auto"/>
        </w:rPr>
      </w:pPr>
    </w:p>
    <w:p>
      <w:pPr>
        <w:ind w:right="40" w:firstLine="8"/>
        <w:spacing w:after="0" w:line="340" w:lineRule="auto"/>
        <w:tabs>
          <w:tab w:leader="none" w:pos="17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580" w:firstLine="8"/>
        <w:spacing w:after="0" w:line="306" w:lineRule="auto"/>
        <w:tabs>
          <w:tab w:leader="none" w:pos="179"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right="60" w:firstLine="8"/>
        <w:spacing w:after="0" w:line="262"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20" w:hanging="330"/>
        <w:spacing w:after="0" w:line="262"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80" w:hanging="330"/>
        <w:spacing w:after="0" w:line="262"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900" w:hanging="330"/>
        <w:spacing w:after="0" w:line="340"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660" w:right="120" w:hanging="330"/>
        <w:spacing w:after="0" w:line="262"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right="520" w:firstLine="8"/>
        <w:spacing w:after="0" w:line="306" w:lineRule="auto"/>
        <w:tabs>
          <w:tab w:leader="none" w:pos="17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20" w:hanging="330"/>
        <w:spacing w:after="0" w:line="30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280" w:hanging="330"/>
        <w:spacing w:after="0" w:line="275"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Date: May 17, 2021</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1"/>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15"/>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In connection with the Quarterly Report of Agrify Corporation (the “Company”) on Form 10-Q for the period ending March 31, 2021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900" w:hanging="2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900" w:hanging="247"/>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Date: May 17, 2021</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1"/>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15"/>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In connection with the Quarterly Report of Agrify Corporation (the “Company”) on Form 10-Q for the period ending March 31, 2021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5" w:lineRule="exact"/>
        <w:rPr>
          <w:sz w:val="20"/>
          <w:szCs w:val="20"/>
          <w:color w:val="auto"/>
        </w:rPr>
      </w:pPr>
    </w:p>
    <w:p>
      <w:pPr>
        <w:ind w:left="900" w:hanging="2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900" w:hanging="24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Date: May 17, 2021</w:t>
            </w:r>
          </w:p>
        </w:tc>
        <w:tc>
          <w:tcPr>
            <w:tcW w:w="3220" w:type="dxa"/>
            <w:vAlign w:val="bottom"/>
          </w:tcPr>
          <w:p>
            <w:pPr>
              <w:ind w:left="2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1"/>
        </w:trPr>
        <w:tc>
          <w:tcPr>
            <w:tcW w:w="4100" w:type="dxa"/>
            <w:vAlign w:val="bottom"/>
          </w:tcPr>
          <w:p>
            <w:pPr>
              <w:spacing w:after="0"/>
              <w:rPr>
                <w:sz w:val="17"/>
                <w:szCs w:val="17"/>
                <w:color w:val="auto"/>
              </w:rPr>
            </w:pPr>
          </w:p>
        </w:tc>
        <w:tc>
          <w:tcPr>
            <w:tcW w:w="322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15"/>
        </w:trPr>
        <w:tc>
          <w:tcPr>
            <w:tcW w:w="4100" w:type="dxa"/>
            <w:vAlign w:val="bottom"/>
          </w:tcPr>
          <w:p>
            <w:pPr>
              <w:spacing w:after="0"/>
              <w:rPr>
                <w:sz w:val="18"/>
                <w:szCs w:val="18"/>
                <w:color w:val="auto"/>
              </w:rPr>
            </w:pPr>
          </w:p>
        </w:tc>
        <w:tc>
          <w:tcPr>
            <w:tcW w:w="3220" w:type="dxa"/>
            <w:vAlign w:val="bottom"/>
          </w:tcPr>
          <w:p>
            <w:pPr>
              <w:ind w:left="2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42"/>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2021-05-17T16:08:44Z</dcterms:created>
  <dcterms:modified xsi:type="dcterms:W3CDTF">2021-05-17T16:08:44Z</dcterms:modified>
</cp:coreProperties>
</file>