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95-8k_rythm.htm"/>
      <w:bookmarkStart w:id="1" w:name="ksea02994958k_rythm"/>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04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RYTHM,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804"/>
            <w:bookmarkEnd w:id="6"/>
            <w:r>
              <w:rPr>
                <w:b/>
                <w:sz w:val="20"/>
              </w:rPr>
              <w:t>001-39946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30-0943453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2220 Hicks Road, </w:t>
            </w:r>
            <w:bookmarkStart w:id="9" w:name="xdx_90F_edei--EntityAddressAddressLine2_"/>
            <w:bookmarkEnd w:id="9"/>
            <w:r>
              <w:rPr>
                <w:b/>
                <w:sz w:val="20"/>
              </w:rPr>
              <w:t>Suite 210</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b/>
                <w:sz w:val="20"/>
              </w:rPr>
            </w:pPr>
            <w:bookmarkStart w:id="10" w:name="xdx_90D_edei--EntityAddressCityOrTown_c2"/>
            <w:bookmarkEnd w:id="10"/>
            <w:r>
              <w:rPr>
                <w:b/>
                <w:sz w:val="20"/>
              </w:rPr>
              <w:t xml:space="preserve">Rolling Meadows, </w:t>
            </w:r>
            <w:bookmarkStart w:id="11" w:name="xdx_90C_edei--EntityAddressStateOrProvin"/>
            <w:bookmarkEnd w:id="11"/>
            <w:r>
              <w:rPr>
                <w:b/>
                <w:sz w:val="20"/>
              </w:rPr>
              <w:t>IL</w:t>
            </w:r>
          </w:p>
        </w:tc>
        <w:tc>
          <w:tcPr>
            <w:tcW w:w="60" w:type="dxa"/>
            <w:tcBorders/>
            <w:vAlign w:val="center"/>
          </w:tcPr>
          <w:p>
            <w:pPr>
              <w:pStyle w:val="TableContents"/>
              <w:bidi w:val="0"/>
              <w:spacing w:before="0" w:after="283"/>
              <w:jc w:val="center"/>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5_edei--EntityAddressPostalZipCode"/>
            <w:bookmarkEnd w:id="12"/>
            <w:r>
              <w:rPr>
                <w:b/>
                <w:sz w:val="20"/>
              </w:rPr>
              <w:t>60068</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0804__20"/>
      <w:bookmarkEnd w:id="13"/>
      <w:r>
        <w:rPr>
          <w:rFonts w:ascii="Times New Roman;Times;Serif" w:hAnsi="Times New Roman;Times;Serif"/>
          <w:b/>
          <w:i w:val="false"/>
          <w:caps w:val="false"/>
          <w:smallCaps w:val="false"/>
          <w:sz w:val="20"/>
        </w:rPr>
        <w:t>855) </w:t>
      </w:r>
      <w:bookmarkStart w:id="14" w:name="xdx_906_edei--LocalPhoneNumber_c20260804"/>
      <w:bookmarkEnd w:id="14"/>
      <w:r>
        <w:rPr>
          <w:rFonts w:ascii="Times New Roman;Times;Serif" w:hAnsi="Times New Roman;Times;Serif"/>
          <w:b/>
          <w:i w:val="false"/>
          <w:caps w:val="false"/>
          <w:smallCaps w:val="false"/>
          <w:sz w:val="20"/>
        </w:rPr>
        <w:t>420-0020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E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sz w:val="20"/>
              </w:rPr>
            </w:pPr>
            <w:bookmarkStart w:id="19" w:name="xdx_90A_edei--Security12bTitle_c20260804"/>
            <w:bookmarkEnd w:id="19"/>
            <w:r>
              <w:rPr>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sz w:val="20"/>
              </w:rPr>
            </w:pPr>
            <w:bookmarkStart w:id="20" w:name="xdx_908_edei--TradingSymbol_c20260804__2"/>
            <w:bookmarkEnd w:id="20"/>
            <w:r>
              <w:rPr>
                <w:sz w:val="20"/>
              </w:rPr>
              <w:t>RYM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4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RYTHM, Inc. (the “Company”) issued a press release announcing financial results for the quarter ended June 30, 2026. A copy of the release is attached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28" w:type="dxa"/>
          <w:right w:w="0" w:type="dxa"/>
        </w:tblCellMar>
      </w:tblPr>
      <w:tblGrid>
        <w:gridCol w:w="680"/>
        <w:gridCol w:w="60"/>
        <w:gridCol w:w="6530"/>
      </w:tblGrid>
      <w:tr>
        <w:trPr/>
        <w:tc>
          <w:tcPr>
            <w:tcW w:w="680" w:type="dxa"/>
            <w:tcBorders>
              <w:bottom w:val="single" w:sz="12" w:space="0" w:color="000000"/>
            </w:tcBorders>
            <w:shd w:fill="FFFFFF" w:val="clear"/>
            <w:vAlign w:val="center"/>
          </w:tcPr>
          <w:p>
            <w:pPr>
              <w:pStyle w:val="TableContents"/>
              <w:bidi w:val="0"/>
              <w:spacing w:before="0" w:after="283"/>
              <w:jc w:val="left"/>
              <w:rPr>
                <w:sz w:val="20"/>
              </w:rPr>
            </w:pPr>
            <w:r>
              <w:rPr>
                <w:sz w:val="20"/>
              </w:rPr>
              <w:t>Exhibit</w:t>
              <w:b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shd w:fill="FFFFFF" w:val="clear"/>
            <w:vAlign w:val="center"/>
          </w:tcPr>
          <w:p>
            <w:pPr>
              <w:pStyle w:val="TableContents"/>
              <w:bidi w:val="0"/>
              <w:spacing w:before="0" w:after="283"/>
              <w:jc w:val="left"/>
              <w:rPr>
                <w:sz w:val="20"/>
              </w:rPr>
            </w:pPr>
            <w:r>
              <w:rPr>
                <w:sz w:val="20"/>
              </w:rPr>
              <w:t>Title</w:t>
            </w:r>
          </w:p>
        </w:tc>
      </w:tr>
      <w:tr>
        <w:trPr/>
        <w:tc>
          <w:tcPr>
            <w:tcW w:w="68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949501ex99-1.htm">
              <w:r>
                <w:rPr>
                  <w:rStyle w:val="InternetLink"/>
                  <w:sz w:val="20"/>
                </w:rPr>
                <w:t>Press Release of RYTHM, Inc. dated August 4, 2026</w:t>
              </w:r>
            </w:hyperlink>
          </w:p>
        </w:tc>
      </w:tr>
      <w:tr>
        <w:trPr/>
        <w:tc>
          <w:tcPr>
            <w:tcW w:w="68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760"/>
        <w:gridCol w:w="320"/>
        <w:gridCol w:w="1895"/>
      </w:tblGrid>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b/>
                <w:sz w:val="20"/>
              </w:rPr>
            </w:pPr>
            <w:r>
              <w:rPr>
                <w:b/>
                <w:sz w:val="20"/>
              </w:rPr>
              <w:t>RYTHM,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4, 2026</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 Asher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Brad Asher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right"/>
        <w:rPr>
          <w:rFonts w:ascii="Times New Roman;Times;Serif" w:hAnsi="Times New Roman;Times;Serif"/>
          <w:b/>
        </w:rPr>
      </w:pPr>
      <w:bookmarkStart w:id="24" w:name="ea029949501ex99-1.htm"/>
      <w:bookmarkStart w:id="25" w:name="ksea029949501ex991"/>
      <w:bookmarkEnd w:id="24"/>
      <w:bookmarkEnd w:id="25"/>
      <w:r>
        <w:rPr>
          <w:rFonts w:ascii="Times New Roman;Times;Serif" w:hAnsi="Times New Roman;Times;Serif"/>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574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552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 Reports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ROLLING MEADOWS, IL, August 4, 2026 (GLOBE NEWSWIRE) – RYTHM, Inc. (Nasdaq: RYM) (“RYTHM” or the “Company”), America’s THC Company whose portfolio of trusted THC brands includes RYTHM, Señorita, incredibles, Beboe, and Dogwalkers, today announced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for the second quarter ended June 30, 2026:</w:t>
      </w:r>
    </w:p>
    <w:p>
      <w:pPr>
        <w:pStyle w:val="TextBody"/>
        <w:bidi w:val="0"/>
        <w:spacing w:before="0" w:after="0"/>
        <w:ind w:left="540" w:right="0" w:hanging="36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from continuing operations of $23.0 million, up 73% from $13.3 million in the prior quarter.</w:t>
            </w:r>
          </w:p>
        </w:tc>
      </w:tr>
    </w:tbl>
    <w:p>
      <w:pPr>
        <w:pStyle w:val="TextBody"/>
        <w:bidi w:val="0"/>
        <w:spacing w:before="0" w:after="0"/>
        <w:ind w:left="547" w:right="0" w:hanging="36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increased to $41.9 million driven by cash flow from operations of $8.7 million.</w:t>
            </w:r>
          </w:p>
        </w:tc>
      </w:tr>
    </w:tbl>
    <w:p>
      <w:pPr>
        <w:pStyle w:val="TextBody"/>
        <w:bidi w:val="0"/>
        <w:spacing w:before="0" w:after="0"/>
        <w:ind w:left="547" w:right="0" w:hanging="36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of $1.2 million.</w:t>
            </w:r>
          </w:p>
        </w:tc>
      </w:tr>
    </w:tbl>
    <w:p>
      <w:pPr>
        <w:pStyle w:val="TextBody"/>
        <w:bidi w:val="0"/>
        <w:spacing w:before="0" w:after="0"/>
        <w:ind w:left="547" w:right="0" w:hanging="36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of $6.4 million compared to approximately breakeven in the prior quarter.</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quarter end, the Company had approximately 2.2 million shares outstanding, as well as 11.0 million warrants outstanding and 3.0 million shares issuable upon conversion of outstanding convertible notes (excluding shares issuable upon conversion from accrued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See definitions and reconciliation of non-GAAP measures elsewhere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annual cash licensing fees of $70 million from Green Thumb Industries Inc. took effect April 1, 2026.</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Señorita named the official THC beverage partner of Lollapalooza music festival and Opry Entertainment Group venues, and RYTHM the official THC beverage partner of Chicago’s Navy Pier, expanding the Company’s existing brand presence at premier live entertainment destinations across the country.</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THC beverage depletions</w:t>
            </w:r>
            <w:r>
              <w:rPr>
                <w:rFonts w:ascii="Times New Roman;Times;Serif" w:hAnsi="Times New Roman;Times;Serif"/>
                <w:position w:val="8"/>
                <w:sz w:val="19"/>
              </w:rPr>
              <w:t>1</w:t>
            </w:r>
            <w:r>
              <w:rPr>
                <w:rFonts w:ascii="Times New Roman;Times;Serif" w:hAnsi="Times New Roman;Times;Serif"/>
              </w:rPr>
              <w:t xml:space="preserve"> increased to a record of approximately 25,000 cases across 18 states in the month of June, compared to approximately 7,000 in June 2025.</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Hemp-derived product revenue increased 67% sequentially, driven by continued growth in THC beverage distribution and direct-to-consumer channels.</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uncertainty stemming from forthcoming changes in federal law affecting hemp-derived THC products, scheduled to take effect November 12, 2026, the Company is not providing an outlook for the third quarter of 2026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 delivered a record second quarter, with revenue growing 73% sequentially and exceeding prior guidance of 65% growth. This performance reflects accelerating momentum in THC beverages and the first full quarter of our amended licensing agreement with Green Thumb Industries,” said RYTHM, Inc. Chairman and Interim Chief Executive Officer Ben Kovler. “That strength was underscored by robust depletion growth across the category, a clear signal of real consumer demand for THC beverages sold in traditional retail channels, including liquor, convenience, and grocery.”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Depletions represent U.S. distributor shipments of the Company’s branded THC beverages to retailers, measured in 24-can case equivalents, based on third-party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quarter was also defined by the growing role of THC beverages in premier live entertainment venues, as we continued to expand our partnership roster. New collaborations with Lollapalooza music festival, Opry Entertainment Group and Chicago’s Navy Pier bring Señorita and RYTHM to some of the most storied stages in America, reflecting a broader shift in how leading venues and concessionaires are responding to evolving consumer preferences for a non-alcoholic alternative. As America’s THC Company, we are meeting consumers wherever they gather — from everyday moments to memorable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move through the summer season, we recognize the regulatory environment for THC beverages remains uncertain, with limited near-term visibility. That said, there is no wavering in our conviction on the long-term viability of this category and the durability of the demand behind it. In this dynamic operating environment, we remain focused on the factors within our control: executing with discipline and continuing to build iconic brands that consumers trust. With a scalable platform now in place, the Company has multiple paths to realize the long-term value of America’s leading portfolio of THC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available direct to consumers at the following websites: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7"/>
        <w:gridCol w:w="9842"/>
      </w:tblGrid>
      <w:tr>
        <w:trPr/>
        <w:tc>
          <w:tcPr>
            <w:tcW w:w="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Señorita THC Margaritas: https://www.senoritadrinks.com/</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1777 by Señorita: https://www.1777spirit.com</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RYTHM Beverages: https://rythmdrinks.com/</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80"/>
        <w:gridCol w:w="363"/>
        <w:gridCol w:w="9762"/>
      </w:tblGrid>
      <w:tr>
        <w:trPr/>
        <w:tc>
          <w:tcPr>
            <w:tcW w:w="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incredibles Edibles: https://iloveincredibles.com/</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Beboe Edibles: https://beboe.com/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non-GAAP financial measures as defined by the U.S. Securities and Exchange Commission. Reconciliations of these non-GAAP financial measures to the most directly comparable financial measure calculated and presented in accordance with generally accepted accounting principles (“GAAP”) are included in the financial schedules attached to this press release. This information should be considered as supplemental in nature and not as a substitute for, or superior to, any measure of performance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Income (loss) from continuing operations before: net interest (expense) income, provision for income taxes, and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EBITDA before stock-based compensation, change in fair value of warrant liabilities and exceptional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RYTHM,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Inc.’s portfolio of THC brands includes the most recognized and trusted names in the cannabis and hemp industries, including RYTHM, incredibles, Dogwalkers, Beboe, Señorita THC Margaritas, &amp;Shine, Doctor Solomon’s, and Good Green. With products available in thousands of physical locations and online, supported by an iconic lineup of brands rooted in quality and safety, RYTHM, Inc. is cementing its position as America’s THC Company. Through a focus on innovation, the Company is continually shaping THC experiences to meet the evolving preferences of consumers across the country. Learn more and explore the full brand portfolio at https://rythminc.com/.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RYTHM, Inc. and other matters. All statements contained in this press release that do not relate to matters of historical fact should be considered forward-looking statements including, without limitation, statements regarding future financial results, regulatory trends, potential annual licensing revenue, continued momentum for hemp-derived beverages, potential trends in the hemp-derived beverage and alcohol markets, and consumer trends. In some cases, you can identify forward-looking statements by terms such as “may,” “will,” “should,” “expects,” “plans,” “anticipates,” “could,” “intends,” “targets,” “projects,” “contemplates,” “believes,” “estimates,” “predicts,” “potential,” “opportunity,” “looms”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the risk that Congress does not amend or repeal the pending federal prohibition on hemp-derived THC products prior to its November 2026 effective date as well as those described in our filings with the Securities and Exchange Commission (“SEC”), including under the caption “Risk Factors” in our most recent Annual Report on Form 10-K,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IR@RYTHMinc.com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Media@RYTHMinc.com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Unaudited Condensed Consolidated Statements of Operations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 Except for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9"/>
        <w:gridCol w:w="60"/>
        <w:gridCol w:w="143"/>
        <w:gridCol w:w="1007"/>
        <w:gridCol w:w="95"/>
        <w:gridCol w:w="60"/>
        <w:gridCol w:w="143"/>
        <w:gridCol w:w="1007"/>
        <w:gridCol w:w="95"/>
        <w:gridCol w:w="60"/>
        <w:gridCol w:w="143"/>
        <w:gridCol w:w="1007"/>
        <w:gridCol w:w="95"/>
        <w:gridCol w:w="60"/>
        <w:gridCol w:w="143"/>
        <w:gridCol w:w="1007"/>
        <w:gridCol w:w="101"/>
      </w:tblGrid>
      <w:tr>
        <w:trPr/>
        <w:tc>
          <w:tcPr>
            <w:tcW w:w="497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4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1" w:type="dxa"/>
            <w:tcBorders/>
            <w:vAlign w:val="center"/>
          </w:tcPr>
          <w:p>
            <w:pPr>
              <w:pStyle w:val="TableContents"/>
              <w:bidi w:val="0"/>
              <w:spacing w:before="0" w:after="283"/>
              <w:ind w:left="0" w:right="0" w:hanging="180"/>
              <w:jc w:val="center"/>
              <w:rPr/>
            </w:pPr>
            <w:r>
              <w:rPr/>
              <w:t> </w:t>
            </w:r>
          </w:p>
        </w:tc>
      </w:tr>
      <w:tr>
        <w:trPr/>
        <w:tc>
          <w:tcPr>
            <w:tcW w:w="49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ind w:left="0" w:right="0" w:hanging="180"/>
              <w:jc w:val="center"/>
              <w:rPr/>
            </w:pPr>
            <w:r>
              <w:rPr/>
              <w:t> </w:t>
            </w:r>
          </w:p>
        </w:tc>
      </w:tr>
      <w:tr>
        <w:trPr/>
        <w:tc>
          <w:tcPr>
            <w:tcW w:w="49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i/>
              </w:rPr>
            </w:pPr>
            <w:r>
              <w:rPr>
                <w:i/>
              </w:rPr>
              <w:t>(Unaudited)</w:t>
            </w:r>
          </w:p>
        </w:tc>
        <w:tc>
          <w:tcPr>
            <w:tcW w:w="101" w:type="dxa"/>
            <w:tcBorders/>
            <w:vAlign w:val="center"/>
          </w:tcPr>
          <w:p>
            <w:pPr>
              <w:pStyle w:val="TableContents"/>
              <w:bidi w:val="0"/>
              <w:spacing w:before="0" w:after="283"/>
              <w:ind w:left="0" w:right="0" w:hanging="180"/>
              <w:jc w:val="center"/>
              <w:rPr/>
            </w:pPr>
            <w:r>
              <w:rPr/>
              <w:t> </w:t>
            </w:r>
          </w:p>
        </w:tc>
      </w:tr>
      <w:tr>
        <w:trPr/>
        <w:tc>
          <w:tcPr>
            <w:tcW w:w="497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23,021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36,307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2,580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7,374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1,808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979"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18,536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28,933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772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7,480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31,031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11,271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979" w:type="dxa"/>
            <w:tcBorders/>
            <w:shd w:fill="CCEEFF" w:val="clear"/>
            <w:vAlign w:val="center"/>
          </w:tcPr>
          <w:p>
            <w:pPr>
              <w:pStyle w:val="TableContents"/>
              <w:bidi w:val="0"/>
              <w:spacing w:before="0" w:after="283"/>
              <w:jc w:val="left"/>
              <w:rPr>
                <w:b/>
              </w:rPr>
            </w:pPr>
            <w:r>
              <w:rPr>
                <w:b/>
              </w:rPr>
              <w:t>Operating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(6,798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(10,499</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9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979" w:type="dxa"/>
            <w:tcBorders/>
            <w:shd w:fill="CCEEFF" w:val="clear"/>
            <w:vAlign w:val="center"/>
          </w:tcPr>
          <w:p>
            <w:pPr>
              <w:pStyle w:val="TableContents"/>
              <w:bidi w:val="0"/>
              <w:spacing w:before="0" w:after="283"/>
              <w:jc w:val="left"/>
              <w:rPr>
                <w:b/>
              </w:rPr>
            </w:pPr>
            <w:r>
              <w:rPr>
                <w:b/>
              </w:rPr>
              <w:t>Other (expense) income, net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(3,594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(7,205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(10,479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26,798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Income (loss) from continuing operations, net of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(7,205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(10,479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b/>
              </w:rPr>
            </w:pPr>
            <w:r>
              <w:rPr>
                <w:b/>
              </w:rPr>
              <w:t>Income (loss)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1,493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(7,360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21,106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(8,986</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b/>
              </w:rPr>
            </w:pPr>
            <w:r>
              <w:rPr>
                <w:b/>
              </w:rPr>
              <w:t>Basic income (loss) per share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(5.35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Net income (loss) per share attributable to Common Stockholders – basic</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(4.59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b/>
              </w:rPr>
            </w:pPr>
            <w:r>
              <w:rPr>
                <w:b/>
              </w:rPr>
              <w:t>Diluted income (loss) per share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(5.35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Net income (loss) per share attributable to Common Stockholders – diluted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(4.59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979" w:type="dxa"/>
            <w:tcBorders/>
            <w:shd w:fill="CCEEFF" w:val="clear"/>
            <w:vAlign w:val="center"/>
          </w:tcPr>
          <w:p>
            <w:pPr>
              <w:pStyle w:val="TableContents"/>
              <w:bidi w:val="0"/>
              <w:spacing w:before="0" w:after="283"/>
              <w:jc w:val="left"/>
              <w:rPr>
                <w:b/>
              </w:rPr>
            </w:pPr>
            <w:r>
              <w:rPr>
                <w:b/>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2,155,721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1,965,425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2,152,443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1,958,724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979" w:type="dxa"/>
            <w:tcBorders/>
            <w:shd w:fill="FFFFFF" w:val="clear"/>
            <w:vAlign w:val="center"/>
          </w:tcPr>
          <w:p>
            <w:pPr>
              <w:pStyle w:val="TableContents"/>
              <w:bidi w:val="0"/>
              <w:spacing w:before="0" w:after="283"/>
              <w:jc w:val="left"/>
              <w:rPr>
                <w:b/>
              </w:rPr>
            </w:pPr>
            <w:r>
              <w:rPr>
                <w:b/>
              </w:rPr>
              <w:t>Weighted 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2,283,971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1,965,425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5,252,126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1,958,724</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Unaudited Condensed Consolidated Balance Sheet</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spacing w:before="0" w:after="0"/>
        <w:ind w:left="0" w:right="0" w:hanging="0"/>
        <w:jc w:val="left"/>
        <w:rPr>
          <w:caps w:val="false"/>
          <w:smallCaps w:val="false"/>
        </w:rPr>
      </w:pPr>
      <w:r>
        <w:rPr>
          <w:caps w:val="false"/>
          <w:smallCaps w:val="false"/>
        </w:rPr>
        <w:t> </w:t>
      </w:r>
    </w:p>
    <w:tbl>
      <w:tblPr>
        <w:tblW w:w="6759" w:type="dxa"/>
        <w:jc w:val="left"/>
        <w:tblInd w:w="0" w:type="dxa"/>
        <w:tblLayout w:type="fixed"/>
        <w:tblCellMar>
          <w:top w:w="0" w:type="dxa"/>
          <w:left w:w="0" w:type="dxa"/>
          <w:bottom w:w="0" w:type="dxa"/>
          <w:right w:w="0" w:type="dxa"/>
        </w:tblCellMar>
      </w:tblPr>
      <w:tblGrid>
        <w:gridCol w:w="5450"/>
        <w:gridCol w:w="60"/>
        <w:gridCol w:w="174"/>
        <w:gridCol w:w="1000"/>
        <w:gridCol w:w="75"/>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i/>
              </w:rPr>
            </w:pPr>
            <w:r>
              <w:rPr>
                <w:i/>
              </w:rPr>
              <w:t>(Unaudited)</w:t>
            </w:r>
          </w:p>
        </w:tc>
        <w:tc>
          <w:tcPr>
            <w:tcW w:w="75"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41,915</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14,480</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9,713</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Intangible assets and related party prepaid license rights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42,475</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26,798</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135,381</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12,804</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Related party debt, current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72,000</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Long-term debt, current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8,623</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Current liabilities associated with discontinued operations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2,043</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824</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39,087</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135,381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the Condensed Consolidated Statement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spacing w:before="0" w:after="0"/>
        <w:ind w:left="0" w:right="0" w:hanging="0"/>
        <w:jc w:val="left"/>
        <w:rPr>
          <w:caps w:val="false"/>
          <w:smallCaps w:val="false"/>
        </w:rPr>
      </w:pPr>
      <w:r>
        <w:rPr>
          <w:caps w:val="false"/>
          <w:smallCaps w:val="false"/>
        </w:rPr>
        <w:t> </w:t>
      </w:r>
    </w:p>
    <w:tbl>
      <w:tblPr>
        <w:tblW w:w="6734" w:type="dxa"/>
        <w:jc w:val="left"/>
        <w:tblInd w:w="0" w:type="dxa"/>
        <w:tblLayout w:type="fixed"/>
        <w:tblCellMar>
          <w:top w:w="0" w:type="dxa"/>
          <w:left w:w="0" w:type="dxa"/>
          <w:bottom w:w="0" w:type="dxa"/>
          <w:right w:w="0" w:type="dxa"/>
        </w:tblCellMar>
      </w:tblPr>
      <w:tblGrid>
        <w:gridCol w:w="4205"/>
        <w:gridCol w:w="60"/>
        <w:gridCol w:w="223"/>
        <w:gridCol w:w="892"/>
        <w:gridCol w:w="65"/>
        <w:gridCol w:w="65"/>
        <w:gridCol w:w="173"/>
        <w:gridCol w:w="941"/>
        <w:gridCol w:w="110"/>
      </w:tblGrid>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(unaudited)</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114" w:type="dxa"/>
            <w:gridSpan w:val="2"/>
            <w:tcBorders/>
            <w:vAlign w:val="center"/>
          </w:tcPr>
          <w:p>
            <w:pPr>
              <w:pStyle w:val="TableContents"/>
              <w:bidi w:val="0"/>
              <w:spacing w:before="0" w:after="283"/>
              <w:jc w:val="center"/>
              <w:rPr>
                <w:i/>
              </w:rPr>
            </w:pPr>
            <w:r>
              <w:rPr>
                <w:i/>
              </w:rPr>
              <w:t>(unaudited)</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b/>
              </w:rPr>
            </w:pPr>
            <w:r>
              <w:rPr>
                <w:b/>
              </w:rPr>
              <w:t>Cash flows (used in) provided by</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9,697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(15,138</w:t>
            </w:r>
          </w:p>
        </w:tc>
        <w:tc>
          <w:tcPr>
            <w:tcW w:w="110" w:type="dxa"/>
            <w:tcBorders/>
            <w:shd w:fill="CCEEFF" w:val="clear"/>
            <w:vAlign w:val="center"/>
          </w:tcPr>
          <w:p>
            <w:pPr>
              <w:pStyle w:val="TableContents"/>
              <w:bidi w:val="0"/>
              <w:spacing w:before="0" w:after="283"/>
              <w:jc w:val="left"/>
              <w:rPr/>
            </w:pPr>
            <w:r>
              <w:rPr/>
              <w:t>)</w:t>
            </w:r>
          </w:p>
        </w:tc>
      </w:tr>
      <w:tr>
        <w:trPr/>
        <w:tc>
          <w:tcPr>
            <w:tcW w:w="420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89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(5,075</w:t>
            </w:r>
          </w:p>
        </w:tc>
        <w:tc>
          <w:tcPr>
            <w:tcW w:w="110" w:type="dxa"/>
            <w:tcBorders/>
            <w:shd w:fill="FFFFFF" w:val="clear"/>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29,999</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bidi w:val="0"/>
              <w:spacing w:before="0" w:after="283"/>
              <w:jc w:val="right"/>
              <w:rPr/>
            </w:pPr>
            <w:r>
              <w:rPr/>
              <w:t>9,697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FFFFFF" w:val="clear"/>
            <w:tcMar>
              <w:bottom w:w="28" w:type="dxa"/>
            </w:tcMar>
            <w:vAlign w:val="center"/>
          </w:tcPr>
          <w:p>
            <w:pPr>
              <w:pStyle w:val="TableContents"/>
              <w:bidi w:val="0"/>
              <w:spacing w:before="0" w:after="283"/>
              <w:jc w:val="right"/>
              <w:rPr/>
            </w:pPr>
            <w:r>
              <w:rPr/>
              <w:t>9,786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(Unaudited) Regarding Non-GAAP Financial Measures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9"/>
        <w:gridCol w:w="60"/>
        <w:gridCol w:w="193"/>
        <w:gridCol w:w="883"/>
        <w:gridCol w:w="108"/>
        <w:gridCol w:w="68"/>
        <w:gridCol w:w="193"/>
        <w:gridCol w:w="883"/>
        <w:gridCol w:w="95"/>
        <w:gridCol w:w="60"/>
        <w:gridCol w:w="167"/>
        <w:gridCol w:w="909"/>
        <w:gridCol w:w="95"/>
        <w:gridCol w:w="60"/>
        <w:gridCol w:w="167"/>
        <w:gridCol w:w="909"/>
        <w:gridCol w:w="116"/>
      </w:tblGrid>
      <w:tr>
        <w:trPr/>
        <w:tc>
          <w:tcPr>
            <w:tcW w:w="523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3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6" w:type="dxa"/>
            <w:tcBorders/>
            <w:vAlign w:val="center"/>
          </w:tcPr>
          <w:p>
            <w:pPr>
              <w:pStyle w:val="TableContents"/>
              <w:bidi w:val="0"/>
              <w:spacing w:before="0" w:after="283"/>
              <w:ind w:left="0" w:right="0" w:hanging="180"/>
              <w:jc w:val="center"/>
              <w:rPr/>
            </w:pPr>
            <w:r>
              <w:rPr/>
              <w:t> </w:t>
            </w:r>
          </w:p>
        </w:tc>
      </w:tr>
      <w:tr>
        <w:trPr/>
        <w:tc>
          <w:tcPr>
            <w:tcW w:w="5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ind w:left="0" w:right="0" w:hanging="180"/>
              <w:jc w:val="center"/>
              <w:rPr/>
            </w:pPr>
            <w:r>
              <w:rPr/>
              <w:t> </w:t>
            </w:r>
          </w:p>
        </w:tc>
      </w:tr>
      <w:tr>
        <w:trPr/>
        <w:tc>
          <w:tcPr>
            <w:tcW w:w="5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vAlign w:val="center"/>
          </w:tcPr>
          <w:p>
            <w:pPr>
              <w:pStyle w:val="TableContents"/>
              <w:bidi w:val="0"/>
              <w:spacing w:before="0" w:after="283"/>
              <w:jc w:val="center"/>
              <w:rPr>
                <w:i/>
              </w:rPr>
            </w:pPr>
            <w:r>
              <w:rPr>
                <w:i/>
              </w:rPr>
              <w:t>(unaudited)</w:t>
            </w:r>
          </w:p>
        </w:tc>
        <w:tc>
          <w:tcPr>
            <w:tcW w:w="10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076"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6" w:type="dxa"/>
            <w:gridSpan w:val="2"/>
            <w:tcBorders/>
            <w:vAlign w:val="center"/>
          </w:tcPr>
          <w:p>
            <w:pPr>
              <w:pStyle w:val="TableContents"/>
              <w:bidi w:val="0"/>
              <w:spacing w:before="0" w:after="283"/>
              <w:jc w:val="center"/>
              <w:rPr>
                <w:i/>
              </w:rPr>
            </w:pPr>
            <w:r>
              <w:rPr>
                <w:i/>
              </w:rPr>
              <w:t>(unaudited)</w:t>
            </w:r>
          </w:p>
        </w:tc>
        <w:tc>
          <w:tcPr>
            <w:tcW w:w="116" w:type="dxa"/>
            <w:tcBorders/>
            <w:vAlign w:val="center"/>
          </w:tcPr>
          <w:p>
            <w:pPr>
              <w:pStyle w:val="TableContents"/>
              <w:bidi w:val="0"/>
              <w:spacing w:before="0" w:after="283"/>
              <w:ind w:left="0" w:right="0" w:hanging="180"/>
              <w:jc w:val="center"/>
              <w:rPr/>
            </w:pPr>
            <w:r>
              <w:rPr/>
              <w:t> </w:t>
            </w:r>
          </w:p>
        </w:tc>
      </w:tr>
      <w:tr>
        <w:trPr/>
        <w:tc>
          <w:tcPr>
            <w:tcW w:w="5239"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1,184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(7,205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21,106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(10,479</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239"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1,727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3,469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290</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239"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(1,205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(26,798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23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3,481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6,925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735</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239" w:type="dxa"/>
            <w:tcBorders/>
            <w:shd w:fill="CCEEFF" w:val="clear"/>
            <w:vAlign w:val="center"/>
          </w:tcPr>
          <w:p>
            <w:pPr>
              <w:pStyle w:val="TableContents"/>
              <w:bidi w:val="0"/>
              <w:spacing w:before="0" w:after="283"/>
              <w:jc w:val="left"/>
              <w:rPr/>
            </w:pPr>
            <w:r>
              <w:rPr/>
              <w:t>Earnings before interest, taxes, depreciation and amortization (EBITDA) (non-GAAP measure)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5,187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(6,515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4,702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(9,454</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239"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578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1,104</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239"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232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(292</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Exceptional items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437</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239" w:type="dxa"/>
            <w:tcBorders/>
            <w:shd w:fill="CCEEFF" w:val="clear"/>
            <w:vAlign w:val="center"/>
          </w:tcPr>
          <w:p>
            <w:pPr>
              <w:pStyle w:val="TableContents"/>
              <w:bidi w:val="0"/>
              <w:spacing w:before="0" w:after="283"/>
              <w:jc w:val="left"/>
              <w:rPr>
                <w:b/>
              </w:rPr>
            </w:pPr>
            <w:r>
              <w:rPr>
                <w:b/>
              </w:rPr>
              <w:t>Adjusted EBITDA (non-GAAP measure)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283"/>
              <w:jc w:val="right"/>
              <w:rPr/>
            </w:pPr>
            <w:r>
              <w:rPr/>
              <w:t>6,357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283"/>
              <w:jc w:val="right"/>
              <w:rPr/>
            </w:pPr>
            <w:r>
              <w:rPr/>
              <w:t>(5,448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10" w:space="0" w:color="000000"/>
            </w:tcBorders>
            <w:shd w:fill="CCEEFF" w:val="clear"/>
            <w:tcMar>
              <w:bottom w:w="28" w:type="dxa"/>
            </w:tcMar>
            <w:vAlign w:val="center"/>
          </w:tcPr>
          <w:p>
            <w:pPr>
              <w:pStyle w:val="TableContents"/>
              <w:bidi w:val="0"/>
              <w:spacing w:before="0" w:after="283"/>
              <w:jc w:val="right"/>
              <w:rPr/>
            </w:pPr>
            <w:r>
              <w:rPr/>
              <w:t>6,337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10" w:space="0" w:color="000000"/>
            </w:tcBorders>
            <w:shd w:fill="CCEEFF" w:val="clear"/>
            <w:tcMar>
              <w:bottom w:w="28" w:type="dxa"/>
            </w:tcMar>
            <w:vAlign w:val="center"/>
          </w:tcPr>
          <w:p>
            <w:pPr>
              <w:pStyle w:val="TableContents"/>
              <w:bidi w:val="0"/>
              <w:spacing w:before="0" w:after="283"/>
              <w:jc w:val="right"/>
              <w:rPr/>
            </w:pPr>
            <w:r>
              <w:rPr/>
              <w:t>(8,205</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left"/>
              <w:rPr/>
            </w:pPr>
            <w:r>
              <w:rPr/>
              <w:t>Exceptional items correspond to costs incurred outside the ordinary course of business, including transition, restructuring, or other dislocation costs arising from or related to resizing initiatives, distributor termination fees, and other similar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2290</Words>
  <Characters>13115</Characters>
  <CharactersWithSpaces>15574</CharactersWithSpaces>
  <Paragraphs>1005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