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052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Chang Raymond Nobu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0"/>
        <w:spacing w:after="0" w:line="365" w:lineRule="auto"/>
        <w:rPr>
          <w:sz w:val="20"/>
          <w:szCs w:val="20"/>
          <w:color w:val="auto"/>
        </w:rPr>
      </w:pPr>
      <w:r>
        <w:rPr>
          <w:rFonts w:ascii="Times New Roman" w:cs="Times New Roman" w:eastAsia="Times New Roman" w:hAnsi="Times New Roman"/>
          <w:sz w:val="17"/>
          <w:szCs w:val="17"/>
          <w:color w:val="0000FF"/>
        </w:rPr>
        <w:t>C/O AGRIFY CORPORATION 2468 INDUSTRIAL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12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48084</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7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02/28/2024</w:t>
            </w: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20" w:type="dxa"/>
            <w:vAlign w:val="bottom"/>
            <w:gridSpan w:val="3"/>
            <w:vMerge w:val="continue"/>
          </w:tcPr>
          <w:p>
            <w:pPr>
              <w:spacing w:after="0"/>
              <w:rPr>
                <w:sz w:val="11"/>
                <w:szCs w:val="11"/>
                <w:color w:val="auto"/>
              </w:rPr>
            </w:pPr>
          </w:p>
        </w:tc>
        <w:tc>
          <w:tcPr>
            <w:tcW w:w="2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CEO and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0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9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02/28/2024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9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1,842,104</w:t>
            </w:r>
            <w:r>
              <w:rPr>
                <w:rFonts w:ascii="Times New Roman" w:cs="Times New Roman" w:eastAsia="Times New Roman" w:hAnsi="Times New Roman"/>
                <w:sz w:val="22"/>
                <w:szCs w:val="22"/>
                <w:color w:val="008000"/>
                <w:vertAlign w:val="superscript"/>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0.38</w:t>
            </w:r>
            <w:r>
              <w:rPr>
                <w:rFonts w:ascii="Times New Roman" w:cs="Times New Roman" w:eastAsia="Times New Roman" w:hAnsi="Times New Roman"/>
                <w:sz w:val="22"/>
                <w:szCs w:val="22"/>
                <w:color w:val="008000"/>
                <w:w w:val="92"/>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3,295,998</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NXT3J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648</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9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575</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263,157 shares of common stock were purchased directly by RTC3 2020 Irrevocable Family Trust using trust assets and (ii) 1,578,947 shares of common stock were initially purchased by Chinwei Wang as an agent of RTC3 2020 Irrevocable Family Trust and subsequently transferred to RTC3 2020 Irrevocable Family Trust for estate planning purposes.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purchased by the reporting person at a purchase price of $0.38 per share of common stock in connection with the issuer's public offering that closed on February 28,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2020 Irrevocable Family Trust,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Raymond Nobu Chang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2024-03-01T15:34:58Z</dcterms:created>
  <dcterms:modified xsi:type="dcterms:W3CDTF">2024-03-01T15:34:58Z</dcterms:modified>
</cp:coreProperties>
</file>