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Harrison Robert Reed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Agrify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AGFY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 w:right="1617"/>
        <w:spacing w:after="0" w:line="3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101 MIDDLESEX TURNPIKE, SUITE 6, PMB 326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BURLINGTON MA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01803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2172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7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05/06/2030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13,401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2.28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07/20/2030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71,944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2.28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10/19/2030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68,856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4.86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-902335</wp:posOffset>
            </wp:positionV>
            <wp:extent cx="6927850" cy="7435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0" w:right="46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25% of the options will vest on 5/6/21 and the balance vests in 36 equal monthly installments thereafter. This option grant provides for accelerated vesting in the event of a change of control transaction or an initial public offering under which 50% of such options (assuming none have previously vested) will vest immediately prior to such event.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400" w:firstLine="5"/>
        <w:spacing w:after="0" w:line="290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25% of the options will vest on 7/20/21 and the balance vests in 36 equal monthly installments thereafter. This option grant provides for accelerated vesting in the event of a change of control transaction or an initial public offering under which 50% of such options (assuming none have previously vested) will vest immediately prior to such event.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32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25% of the options will vest on 10/19/21 and the balance vests in 36 equal monthly installments thereafter. This option grant provides for accelerated vesting in the event of a change of control transaction or an initial public offering under which 50% of such options (assuming none have previously vested) will vest immediately prior to such event.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Robert Harrison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0" Type="http://schemas.openxmlformats.org/officeDocument/2006/relationships/hyperlink" Target="http://www.sec.gov/cgi-bin/browse-edgar?action=getcompany&amp;CIK=0001833268" TargetMode="External"/><Relationship Id="rId11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2021-01-27T20:06:07Z</dcterms:created>
  <dcterms:modified xsi:type="dcterms:W3CDTF">2021-01-27T20:06:07Z</dcterms:modified>
</cp:coreProperties>
</file>