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OAKES TIMOTHY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Agrify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AGFY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 w:right="1617"/>
        <w:spacing w:after="0" w:line="3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101 MIDDLESEX TURNPIKE, SUITE 6, PMB 326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BURLINGTON MA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01803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67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10/19/2030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41,120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4.86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-406400</wp:posOffset>
            </wp:positionV>
            <wp:extent cx="6927850" cy="247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 w:right="6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25% of the options will vest on 10/19/21 and the balance vests in 36 equal monthly installments thereafter. This stock option grant provides for accelerated vesting in the event of a change of control transaction or an initial public offering under which 50% of such options (assuming none have previously vested) will vest immediately prior to such event.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Timothy Oakes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0" Type="http://schemas.openxmlformats.org/officeDocument/2006/relationships/hyperlink" Target="http://www.sec.gov/cgi-bin/browse-edgar?action=getcompany&amp;CIK=0001440688" TargetMode="External"/><Relationship Id="rId11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2021-01-27T20:12:38Z</dcterms:created>
  <dcterms:modified xsi:type="dcterms:W3CDTF">2021-01-27T20:12:38Z</dcterms:modified>
</cp:coreProperties>
</file>