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12,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AGRIFY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Nevada</w:t>
            </w:r>
          </w:p>
        </w:tc>
        <w:tc>
          <w:tcPr>
            <w:tcW w:w="2920" w:type="dxa"/>
            <w:vAlign w:val="bottom"/>
            <w:gridSpan w:val="3"/>
          </w:tcPr>
          <w:p>
            <w:pPr>
              <w:jc w:val="right"/>
              <w:ind w:right="1080"/>
              <w:spacing w:after="0"/>
              <w:rPr>
                <w:sz w:val="20"/>
                <w:szCs w:val="20"/>
                <w:color w:val="auto"/>
              </w:rPr>
            </w:pPr>
            <w:r>
              <w:rPr>
                <w:rFonts w:ascii="Arial" w:cs="Arial" w:eastAsia="Arial" w:hAnsi="Arial"/>
                <w:sz w:val="18"/>
                <w:szCs w:val="18"/>
                <w:b w:val="1"/>
                <w:bCs w:val="1"/>
                <w:color w:val="auto"/>
              </w:rPr>
              <w:t>001-39946</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b w:val="1"/>
                <w:bCs w:val="1"/>
                <w:color w:val="auto"/>
              </w:rPr>
              <w:t>30-0943453</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40" w:type="dxa"/>
            <w:vAlign w:val="bottom"/>
          </w:tcPr>
          <w:p>
            <w:pPr>
              <w:spacing w:after="0"/>
              <w:rPr>
                <w:sz w:val="19"/>
                <w:szCs w:val="19"/>
                <w:color w:val="auto"/>
              </w:rPr>
            </w:pPr>
          </w:p>
        </w:tc>
        <w:tc>
          <w:tcPr>
            <w:tcW w:w="292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(Commission File Number)</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615"/>
        </w:trPr>
        <w:tc>
          <w:tcPr>
            <w:tcW w:w="4520" w:type="dxa"/>
            <w:vAlign w:val="bottom"/>
            <w:gridSpan w:val="2"/>
          </w:tcPr>
          <w:p>
            <w:pPr>
              <w:jc w:val="center"/>
              <w:ind w:left="1030"/>
              <w:spacing w:after="0"/>
              <w:rPr>
                <w:sz w:val="20"/>
                <w:szCs w:val="20"/>
                <w:color w:val="auto"/>
              </w:rPr>
            </w:pPr>
            <w:r>
              <w:rPr>
                <w:rFonts w:ascii="Arial" w:cs="Arial" w:eastAsia="Arial" w:hAnsi="Arial"/>
                <w:sz w:val="18"/>
                <w:szCs w:val="18"/>
                <w:b w:val="1"/>
                <w:bCs w:val="1"/>
                <w:color w:val="auto"/>
                <w:w w:val="91"/>
              </w:rPr>
              <w:t>76 Treble Cove Rd.</w:t>
            </w: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520" w:type="dxa"/>
            <w:vAlign w:val="bottom"/>
            <w:gridSpan w:val="2"/>
          </w:tcPr>
          <w:p>
            <w:pPr>
              <w:jc w:val="center"/>
              <w:ind w:left="1030"/>
              <w:spacing w:after="0"/>
              <w:rPr>
                <w:sz w:val="20"/>
                <w:szCs w:val="20"/>
                <w:color w:val="auto"/>
              </w:rPr>
            </w:pPr>
            <w:r>
              <w:rPr>
                <w:rFonts w:ascii="Arial" w:cs="Arial" w:eastAsia="Arial" w:hAnsi="Arial"/>
                <w:sz w:val="18"/>
                <w:szCs w:val="18"/>
                <w:b w:val="1"/>
                <w:bCs w:val="1"/>
                <w:color w:val="auto"/>
                <w:w w:val="91"/>
              </w:rPr>
              <w:t>Building 3</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452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b w:val="1"/>
                <w:bCs w:val="1"/>
                <w:color w:val="auto"/>
                <w:w w:val="93"/>
              </w:rPr>
              <w:t>Billerica, MA 01862</w:t>
            </w:r>
          </w:p>
        </w:tc>
        <w:tc>
          <w:tcPr>
            <w:tcW w:w="11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270"/>
              <w:spacing w:after="0"/>
              <w:rPr>
                <w:sz w:val="20"/>
                <w:szCs w:val="20"/>
                <w:color w:val="auto"/>
              </w:rPr>
            </w:pPr>
            <w:r>
              <w:rPr>
                <w:rFonts w:ascii="Arial" w:cs="Arial" w:eastAsia="Arial" w:hAnsi="Arial"/>
                <w:sz w:val="18"/>
                <w:szCs w:val="18"/>
                <w:b w:val="1"/>
                <w:bCs w:val="1"/>
                <w:color w:val="auto"/>
              </w:rPr>
              <w:t>01862</w:t>
            </w:r>
          </w:p>
        </w:tc>
      </w:tr>
      <w:tr>
        <w:trPr>
          <w:trHeight w:val="224"/>
        </w:trPr>
        <w:tc>
          <w:tcPr>
            <w:tcW w:w="4520" w:type="dxa"/>
            <w:vAlign w:val="bottom"/>
            <w:gridSpan w:val="2"/>
          </w:tcPr>
          <w:p>
            <w:pPr>
              <w:jc w:val="center"/>
              <w:ind w:left="1050"/>
              <w:spacing w:after="0"/>
              <w:rPr>
                <w:sz w:val="20"/>
                <w:szCs w:val="20"/>
                <w:color w:val="auto"/>
              </w:rPr>
            </w:pPr>
            <w:r>
              <w:rPr>
                <w:rFonts w:ascii="Arial" w:cs="Arial" w:eastAsia="Arial" w:hAnsi="Arial"/>
                <w:sz w:val="18"/>
                <w:szCs w:val="18"/>
                <w:color w:val="auto"/>
                <w:w w:val="92"/>
              </w:rPr>
              <w:t>(Address of principal executive offices)</w:t>
            </w: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47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896-5243</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49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4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AGFY</w:t>
            </w:r>
          </w:p>
        </w:tc>
        <w:tc>
          <w:tcPr>
            <w:tcW w:w="100" w:type="dxa"/>
            <w:vAlign w:val="bottom"/>
            <w:tcBorders>
              <w:top w:val="single" w:sz="8" w:color="CCEEFF"/>
            </w:tcBorders>
            <w:shd w:val="clear" w:color="auto" w:fill="CCEEFF"/>
          </w:tcPr>
          <w:p>
            <w:pPr>
              <w:spacing w:after="0"/>
              <w:rPr>
                <w:sz w:val="18"/>
                <w:szCs w:val="18"/>
                <w:color w:val="auto"/>
              </w:rPr>
            </w:pPr>
          </w:p>
        </w:tc>
        <w:tc>
          <w:tcPr>
            <w:tcW w:w="4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 w:name="page2"/>
    <w:bookmarkEnd w:id="1"/>
    <w:p>
      <w:pPr>
        <w:jc w:val="both"/>
        <w:ind w:left="1700" w:hanging="1686"/>
        <w:spacing w:after="0" w:line="282" w:lineRule="auto"/>
        <w:tabs>
          <w:tab w:leader="none" w:pos="16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12, 2021, the Board of Directors (the “Board”) of Agrify Corporation (the “Company”) appointed Barry Turkanis as a member of the Board to fill the vacancy created by the previously disclosed resignation of Timothy Oakes from the Board in connection with Mr. Oakes’ appointment as the Company’s Chief Financial Officer in November 2021. Mr. Turkanis will serve until the Company’s 2022 Annual Meeting of Stockholders and until his successor is elected and qualified or his earlier resignation or removal.</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Board has determined that Mr. Turkanis is independent under the rules of The Nasdaq Capital Market. In connection with the appointment of Mr. Turkanis to the Board, the Board appointed Mr. Turkanis as a member of the Audit Committee and the Nominating and Corporate Governance Committee of the Board, and as the chairman of the Mergers &amp; Acquisitions Committee of the Board. As a non-employee director of the Company, Mr. Turkanis will receive compensation in the same manner as the Company’s other non-employee directors, as described in the section entitled “Non-Executive Director Compensation” in the Company’s Annual Report on Form 10-K filed with the Securities and Exchange Commission on April 2, 2021.</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Mr. Turkanis, age 67, is the co-founder of Ocean Gate Capital Management, an investment management firm founded in 2004, and he also serves as a principal at Ocean Gate Realty Advisors, a private equity real estate platform. Additionally, Mr. Turkanis is a co-founder and has served as a Managing Director since 2016 of NXT Ventures Management, a venture capital firm with investments in over 40 portfolio companies. Mr. Turkanis joined Salomon Brothers in 1982 as an institutional salesperson. In 1988, he moved to Goldman, Sachs &amp; Co. for more than fifteen years until he retired as a Managing Director in June 2004. While at Goldman Sachs, he served in various positions, including as the Global Sales Manager for Goldman Sachs’ Mortgage Securities Department and Co-Head of Goldman Sachs’ Mortgage Sales and Trading Division. His responsibilities included oversight of trading, risk management, sales, research, structured finance and compliance for the department. In addition, Mr. Turkanis co-managed a large institutional Life Settlement Fund from 2007-2011. Mr. Turkanis received a J.D. from Boston College Law School and a B.S. from Syracuse University.</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no arrangements or understandings between Mr. Turkanis and any other person pursuant to which Mr. Turkanis was appointed as a director of the Company. Since the beginning of the Company’s last fiscal year, the Company has not engaged in any transactions, and there are no proposed transactions, or series of similar transactions, in which Mr. Turkanis was or is to be a participant and in which any related person had a direct or indirect material interest in which the amount involved exceeds or exceeded $120,000.</w:t>
      </w:r>
    </w:p>
    <w:p>
      <w:pPr>
        <w:spacing w:after="0" w:line="18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14, 2021, the Company issued a press release announcing the appointment of Mr. Turkanis to the Board. A copy of the press release is furnished as Exhibit 99.1 to this Current Report on Form 8-K and is incorporated herein by reference.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furnished herein,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appointment of Mr. Turkanis to the Board, the Board reconstituted the composition of its existing standing committees as described below.</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now consists of Krishnan Varier, Timothy Mahoney and Barry Turkanis, with Mr. Varier serving as the chairman. The Board has affirmatively determined that Messrs. Varier, Mahoney and Turkanis meet the definition of “independent director” for purposes of serving on an audit committee under Rule 10A-3 and Nasdaq rules. The Board has determined that Mr. Varier qualifies as an “audit committee financial expert,” as such term is defined in Item 407(d)(5) of Regulation S-K.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consists of Timothy Mahoney, Stuart Wilcox and Krishnan Varier, with Mr. Mahoney serving as the chairman.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Nominating and Corporate Governance Committee consists of Stuart Wilcox, Barry Turkanis and Timothy Mahoney, with Mr. Wilcox serving as the chairman.</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purpose of the Mergers &amp; Acquisitions Committee is to assist the Board and the Audit Committee in evaluating any related party transactions that the Company may consider from time to time. The Mergers &amp; Acquisitions Committee consists of Barry Turkanis, Timothy Mahoney and Stuart Wilcox, with Mr. Turkanis serving as chairman.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will continue to evaluate the composition of its committees and make further changes as necessary. The Board may also establish other committees as it deems necessary or appropriate from time to time.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furnishes the following exhibits:</w:t>
      </w:r>
    </w:p>
    <w:p>
      <w:pPr>
        <w:spacing w:after="0" w:line="225" w:lineRule="exact"/>
        <w:rPr>
          <w:sz w:val="20"/>
          <w:szCs w:val="20"/>
          <w:color w:val="auto"/>
        </w:rPr>
      </w:pPr>
    </w:p>
    <w:p>
      <w:pPr>
        <w:ind w:left="100"/>
        <w:spacing w:after="0"/>
        <w:tabs>
          <w:tab w:leader="none" w:pos="7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of the Company, dated as of December 14,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5560" w:right="4720" w:hanging="5458"/>
        <w:spacing w:after="0" w:line="688" w:lineRule="auto"/>
        <w:tabs>
          <w:tab w:leader="none" w:pos="754" w:val="left"/>
        </w:tabs>
        <w:numPr>
          <w:ilvl w:val="0"/>
          <w:numId w:val="2"/>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AGRIFY CORPORATION</w:t>
      </w:r>
    </w:p>
    <w:p>
      <w:pPr>
        <w:spacing w:after="0" w:line="200" w:lineRule="exact"/>
        <w:rPr>
          <w:sz w:val="20"/>
          <w:szCs w:val="20"/>
          <w:color w:val="auto"/>
        </w:rPr>
      </w:pP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140" w:type="dxa"/>
            <w:vAlign w:val="bottom"/>
          </w:tcPr>
          <w:p>
            <w:pPr>
              <w:ind w:left="680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 Timothy R. Oakes</w:t>
            </w:r>
          </w:p>
        </w:tc>
      </w:tr>
      <w:tr>
        <w:trPr>
          <w:trHeight w:val="195"/>
        </w:trPr>
        <w:tc>
          <w:tcPr>
            <w:tcW w:w="7140" w:type="dxa"/>
            <w:vAlign w:val="bottom"/>
          </w:tcPr>
          <w:p>
            <w:pPr>
              <w:spacing w:after="0" w:line="195" w:lineRule="exact"/>
              <w:rPr>
                <w:sz w:val="20"/>
                <w:szCs w:val="20"/>
                <w:color w:val="auto"/>
              </w:rPr>
            </w:pPr>
            <w:r>
              <w:rPr>
                <w:rFonts w:ascii="Arial" w:cs="Arial" w:eastAsia="Arial" w:hAnsi="Arial"/>
                <w:sz w:val="18"/>
                <w:szCs w:val="18"/>
                <w:color w:val="auto"/>
              </w:rPr>
              <w:t>Date: December 14, 2021</w:t>
            </w:r>
          </w:p>
        </w:tc>
        <w:tc>
          <w:tcPr>
            <w:tcW w:w="4040" w:type="dxa"/>
            <w:vAlign w:val="bottom"/>
          </w:tcPr>
          <w:p>
            <w:pPr>
              <w:ind w:left="540"/>
              <w:spacing w:after="0" w:line="195" w:lineRule="exact"/>
              <w:rPr>
                <w:sz w:val="20"/>
                <w:szCs w:val="20"/>
                <w:color w:val="auto"/>
              </w:rPr>
            </w:pPr>
            <w:r>
              <w:rPr>
                <w:rFonts w:ascii="Arial" w:cs="Arial" w:eastAsia="Arial" w:hAnsi="Arial"/>
                <w:sz w:val="18"/>
                <w:szCs w:val="18"/>
                <w:color w:val="auto"/>
              </w:rPr>
              <w:t>Timothy R. Oakes</w:t>
            </w:r>
          </w:p>
        </w:tc>
      </w:tr>
      <w:tr>
        <w:trPr>
          <w:trHeight w:val="230"/>
        </w:trPr>
        <w:tc>
          <w:tcPr>
            <w:tcW w:w="7140" w:type="dxa"/>
            <w:vAlign w:val="bottom"/>
          </w:tcPr>
          <w:p>
            <w:pPr>
              <w:spacing w:after="0"/>
              <w:rPr>
                <w:sz w:val="20"/>
                <w:szCs w:val="20"/>
                <w:color w:val="auto"/>
              </w:rPr>
            </w:pPr>
          </w:p>
        </w:tc>
        <w:tc>
          <w:tcPr>
            <w:tcW w:w="4040" w:type="dxa"/>
            <w:vAlign w:val="bottom"/>
          </w:tcPr>
          <w:p>
            <w:pPr>
              <w:ind w:left="54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Adds Former Goldman Sachs Executive to Board of Directors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Barry Turkanis Brings Significant Finance, Private Equity, Venture Capital, and Real Estate Experience to Agrify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BILLERICA, Mass., December 14, 2021 – Agrify Corporation (Nasdaq:AGFY) (“Agrify” or the “Company”), the most innovative and vertically integrated provider of premium cultivation and extraction solutions for the cannabis and hemp industry, today announced the appointment of Barry Turkanis as an independent director on its Board of Directors. Mr. Turkanis replaces Timothy Oakes, who recently resigned from the Board of Directors in order to become the Company’s Chief Financial Officer. Mr. Turkanis will also serve on the Board of Directors’ Audit Committee as well as its Nominating and Corporate Governance Committee.</w:t>
      </w:r>
    </w:p>
    <w:p>
      <w:pPr>
        <w:spacing w:after="0" w:line="1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we continue to gain momentum and mobilize for our next phase of accelerated growth, we have made it the highest priority to align ourselves with the right partners, and Barry’s addition to Agrify’s Board of Directors is another example of our commitment to assembling a truly exemplary support system,” said Raymond Chang, Chairman and CEO of Agrify. “Barry has had a long and illustrious career including over 15 years at Goldman Sachs, and his vast accomplishments across finance, private equity, venture capital, and real estate will make him a tremendous resource to our team. Furthermore, Barry’s expansive knowledge around asset and mortgage-backed securities should be instrumental in helping us improve the execution around future Agrify Total Turn-Key Solution deals in a variety of ways including structuring, compliance, alternative third-party financing, securitization, and ongoing management and support.”</w:t>
      </w:r>
    </w:p>
    <w:p>
      <w:pPr>
        <w:spacing w:after="0" w:line="19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Mr. Turkanis has had a highly successful career in institutional sales and trading with over 22 years of experience at Salomon Brothers and Goldman Sachs. At Goldman Sachs, Mr. Turkanis held multiple leadership positions during his more than 15 years of service, including Managing Director in the Fixed Income, Currency and Commodities Division and Co-Head of the Mortgage-Backed Securities Department. Mr. Turkanis subsequently co-founded Ocean Gate Capital Management, which is engaged in money management, private equity investing, and real estate development, and he continues to serve as a principal with the firm to this day. More recently, Mr. Turkanis co-founded NXT Ventures Management, a venture capital firm with investments in over 40 portfolio companies. Mr. Turkanis is a board member or board observer for several emerging companies, and he is also actively involved with a number of charitable organizations in the Boston area. Mr. Turkanis earned a B.S. from Syracuse University and a J.D. from Boston College Law School.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Agrify (Nasdaq:AGFY)</w:t>
      </w:r>
    </w:p>
    <w:p>
      <w:pPr>
        <w:spacing w:after="0" w:line="229" w:lineRule="exact"/>
        <w:rPr>
          <w:sz w:val="20"/>
          <w:szCs w:val="20"/>
          <w:color w:val="auto"/>
        </w:rPr>
      </w:pPr>
    </w:p>
    <w:p>
      <w:pPr>
        <w:jc w:val="both"/>
        <w:ind w:right="240"/>
        <w:spacing w:after="0" w:line="287" w:lineRule="auto"/>
        <w:rPr>
          <w:sz w:val="20"/>
          <w:szCs w:val="20"/>
          <w:color w:val="auto"/>
        </w:rPr>
      </w:pPr>
      <w:r>
        <w:rPr>
          <w:rFonts w:ascii="Arial" w:cs="Arial" w:eastAsia="Arial" w:hAnsi="Arial"/>
          <w:sz w:val="16"/>
          <w:szCs w:val="16"/>
          <w:color w:val="auto"/>
        </w:rPr>
        <w:t>Agrify is the most innovative and vertically integrated provider of premium cultivation and extraction solutions for the cannabis and hemp industry. Our proprietary micro-environment-controlled Vertical Farming Units (VFUs) enable our customers to produce the highest quality products with unmatched consistency, yield, and ROI at scale. Agrify brings data, science, and technology to its customers for unparalleled control over cultivation and extraction.</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please visit Agrify at http://www.agrify.com, and Precision Extraction, a division of Agrify, at http://www.precisionextraction.com.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our revenue growth, profitability, future prospects and financial performance.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2020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Agrify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Timothy Oakes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tim.oakes@agrify.com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(351) 777-6585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Anna Kate Heller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agrify@icrinc.com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2021-12-14T06:02:37Z</dcterms:created>
  <dcterms:modified xsi:type="dcterms:W3CDTF">2021-12-14T06:02:37Z</dcterms:modified>
</cp:coreProperties>
</file>