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4"/>
          <w:szCs w:val="24"/>
          <w:color w:val="auto"/>
        </w:rPr>
      </w:pPr>
      <w:r>
        <w:rPr>
          <w:sz w:val="24"/>
          <w:szCs w:val="24"/>
          <w:color w:val="auto"/>
        </w:rPr>
        <w:br w:type="column"/>
      </w:r>
    </w:p>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Filed Pursuant to Rule 424(b)(1)</w:t>
      </w:r>
    </w:p>
    <w:p>
      <w:pPr>
        <w:spacing w:after="0" w:line="39" w:lineRule="exact"/>
        <w:rPr>
          <w:sz w:val="24"/>
          <w:szCs w:val="24"/>
          <w:color w:val="auto"/>
        </w:rPr>
      </w:pPr>
    </w:p>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Registration No. 333-276724</w:t>
      </w:r>
    </w:p>
    <w:p>
      <w:pPr>
        <w:spacing w:after="0" w:line="200" w:lineRule="exact"/>
        <w:rPr>
          <w:sz w:val="24"/>
          <w:szCs w:val="24"/>
          <w:color w:val="auto"/>
        </w:rPr>
      </w:pPr>
    </w:p>
    <w:p>
      <w:pPr>
        <w:sectPr>
          <w:pgSz w:w="11900" w:h="16840" w:orient="portrait"/>
          <w:cols w:equalWidth="0" w:num="2">
            <w:col w:w="5260" w:space="720"/>
            <w:col w:w="3040"/>
          </w:cols>
          <w:pgMar w:left="1440" w:top="555" w:right="1440" w:bottom="1440" w:gutter="0" w:footer="0" w:header="0"/>
        </w:sectPr>
      </w:pP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2,760,000 Shares of Common Stock and Pre-</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Funded Warrants to Purchase 3,963,684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836295</wp:posOffset>
            </wp:positionV>
            <wp:extent cx="4573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73270" cy="762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74295</wp:posOffset>
            </wp:positionV>
            <wp:extent cx="739140"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91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both"/>
        <w:ind w:left="900" w:right="920"/>
        <w:spacing w:after="0" w:line="281" w:lineRule="auto"/>
        <w:rPr>
          <w:sz w:val="20"/>
          <w:szCs w:val="20"/>
          <w:color w:val="auto"/>
        </w:rPr>
      </w:pPr>
      <w:r>
        <w:rPr>
          <w:rFonts w:ascii="Times New Roman" w:cs="Times New Roman" w:eastAsia="Times New Roman" w:hAnsi="Times New Roman"/>
          <w:sz w:val="14"/>
          <w:szCs w:val="14"/>
          <w:color w:val="auto"/>
        </w:rPr>
        <w:t>We are offering up to 6,723,684 shares of common stock, including shares of common stock underlying Pre-Funded Warrants that we may issue as described below, at a purchase price of $ 0.38 per share of common stock pursuant to this prospectus.</w:t>
      </w:r>
    </w:p>
    <w:p>
      <w:pPr>
        <w:spacing w:after="0" w:line="151" w:lineRule="exact"/>
        <w:rPr>
          <w:sz w:val="24"/>
          <w:szCs w:val="24"/>
          <w:color w:val="auto"/>
        </w:rPr>
      </w:pPr>
    </w:p>
    <w:p>
      <w:pPr>
        <w:jc w:val="both"/>
        <w:ind w:left="900" w:right="920"/>
        <w:spacing w:after="0" w:line="257" w:lineRule="auto"/>
        <w:rPr>
          <w:sz w:val="20"/>
          <w:szCs w:val="20"/>
          <w:color w:val="auto"/>
        </w:rPr>
      </w:pPr>
      <w:r>
        <w:rPr>
          <w:rFonts w:ascii="Times New Roman" w:cs="Times New Roman" w:eastAsia="Times New Roman" w:hAnsi="Times New Roman"/>
          <w:sz w:val="14"/>
          <w:szCs w:val="14"/>
          <w:color w:val="auto"/>
        </w:rPr>
        <w:t>We are also offering to certain purchasers whose purchase of shares of common stock in this offering would otherwise result in the purchaser, together with its affiliates and certain related parties, beneficially owning more than 4.99% (or such other percentage as may be required by the investor) of our outstanding common stock immediately following the consummation of this offering, the opportunity to purchase, if any such purchaser so chooses, Pre-Funded Warrants in lieu of shares of common stock. The offering price for each Pre-Funded Warrant is $0.379.</w:t>
      </w:r>
    </w:p>
    <w:p>
      <w:pPr>
        <w:spacing w:after="0" w:line="2" w:lineRule="exact"/>
        <w:rPr>
          <w:sz w:val="24"/>
          <w:szCs w:val="24"/>
          <w:color w:val="auto"/>
        </w:rPr>
      </w:pPr>
    </w:p>
    <w:p>
      <w:pPr>
        <w:jc w:val="both"/>
        <w:ind w:left="900" w:right="940"/>
        <w:spacing w:after="0" w:line="268" w:lineRule="auto"/>
        <w:rPr>
          <w:sz w:val="20"/>
          <w:szCs w:val="20"/>
          <w:color w:val="auto"/>
        </w:rPr>
      </w:pPr>
      <w:r>
        <w:rPr>
          <w:rFonts w:ascii="Times New Roman" w:cs="Times New Roman" w:eastAsia="Times New Roman" w:hAnsi="Times New Roman"/>
          <w:sz w:val="14"/>
          <w:szCs w:val="14"/>
          <w:color w:val="auto"/>
        </w:rPr>
        <w:t>The Pre-Funded Warrants will not have an expiration date and will be exercisable immediately. The exercise price for the Pre-Funded Warrants will be equal to $0.001.</w:t>
      </w:r>
    </w:p>
    <w:p>
      <w:pPr>
        <w:spacing w:after="0" w:line="1" w:lineRule="exact"/>
        <w:rPr>
          <w:sz w:val="24"/>
          <w:szCs w:val="24"/>
          <w:color w:val="auto"/>
        </w:rPr>
      </w:pPr>
    </w:p>
    <w:p>
      <w:pPr>
        <w:jc w:val="both"/>
        <w:ind w:left="900" w:right="920"/>
        <w:spacing w:after="0" w:line="268" w:lineRule="auto"/>
        <w:rPr>
          <w:sz w:val="20"/>
          <w:szCs w:val="20"/>
          <w:color w:val="auto"/>
        </w:rPr>
      </w:pPr>
      <w:r>
        <w:rPr>
          <w:rFonts w:ascii="Times New Roman" w:cs="Times New Roman" w:eastAsia="Times New Roman" w:hAnsi="Times New Roman"/>
          <w:sz w:val="14"/>
          <w:szCs w:val="14"/>
          <w:color w:val="auto"/>
        </w:rPr>
        <w:t>We have also registered for public sale 67,237 shares of common stock, issuable to the placement agent upon the exercise of a warrant to be issued to the placement agent.</w:t>
      </w:r>
    </w:p>
    <w:p>
      <w:pPr>
        <w:spacing w:after="0" w:line="1" w:lineRule="exact"/>
        <w:rPr>
          <w:sz w:val="24"/>
          <w:szCs w:val="24"/>
          <w:color w:val="auto"/>
        </w:rPr>
      </w:pPr>
    </w:p>
    <w:p>
      <w:pPr>
        <w:jc w:val="both"/>
        <w:ind w:left="900" w:right="900"/>
        <w:spacing w:after="0" w:line="268" w:lineRule="auto"/>
        <w:rPr>
          <w:sz w:val="20"/>
          <w:szCs w:val="20"/>
          <w:color w:val="auto"/>
        </w:rPr>
      </w:pPr>
      <w:r>
        <w:rPr>
          <w:rFonts w:ascii="Times New Roman" w:cs="Times New Roman" w:eastAsia="Times New Roman" w:hAnsi="Times New Roman"/>
          <w:sz w:val="14"/>
          <w:szCs w:val="14"/>
          <w:color w:val="auto"/>
        </w:rPr>
        <w:t>Our common stock is listed on The Nasdaq Capital Market under the symbol “AGFY.” On February 27, 2024, the last reported sale price of our common stock on The Nasdaq Capital Market was $0.5171 per share.</w:t>
      </w:r>
    </w:p>
    <w:p>
      <w:pPr>
        <w:spacing w:after="0" w:line="1" w:lineRule="exact"/>
        <w:rPr>
          <w:sz w:val="24"/>
          <w:szCs w:val="24"/>
          <w:color w:val="auto"/>
        </w:rPr>
      </w:pPr>
    </w:p>
    <w:p>
      <w:pPr>
        <w:jc w:val="both"/>
        <w:ind w:left="900" w:right="920"/>
        <w:spacing w:after="0" w:line="259" w:lineRule="auto"/>
        <w:rPr>
          <w:sz w:val="20"/>
          <w:szCs w:val="20"/>
          <w:color w:val="auto"/>
        </w:rPr>
      </w:pPr>
      <w:r>
        <w:rPr>
          <w:rFonts w:ascii="Times New Roman" w:cs="Times New Roman" w:eastAsia="Times New Roman" w:hAnsi="Times New Roman"/>
          <w:sz w:val="14"/>
          <w:szCs w:val="14"/>
          <w:color w:val="auto"/>
        </w:rPr>
        <w:t>There is no established public trading market for the Pre-Funded Warrants, and we do not expect a market to develop. In addition, we do not intend to apply for the listing of the Pre-Funded Warrants on any national securities exchange or other nationally recognized trading system. Without an active trading market, we expect the liquidity of the Pre-Funded Warrants will be limited.</w:t>
      </w:r>
    </w:p>
    <w:p>
      <w:pPr>
        <w:spacing w:after="0" w:line="1" w:lineRule="exact"/>
        <w:rPr>
          <w:sz w:val="24"/>
          <w:szCs w:val="24"/>
          <w:color w:val="auto"/>
        </w:rPr>
      </w:pPr>
    </w:p>
    <w:p>
      <w:pPr>
        <w:jc w:val="both"/>
        <w:ind w:left="900" w:right="920"/>
        <w:spacing w:after="0" w:line="268" w:lineRule="auto"/>
        <w:rPr>
          <w:sz w:val="20"/>
          <w:szCs w:val="20"/>
          <w:color w:val="auto"/>
        </w:rPr>
      </w:pPr>
      <w:r>
        <w:rPr>
          <w:rFonts w:ascii="Times New Roman" w:cs="Times New Roman" w:eastAsia="Times New Roman" w:hAnsi="Times New Roman"/>
          <w:sz w:val="14"/>
          <w:szCs w:val="14"/>
          <w:color w:val="auto"/>
        </w:rPr>
        <w:t>We are an “emerging growth company” and a “smaller reporting company” as those terms are defined under the federal securities laws and, as such, have elected to comply with certain reduced public company reporting requirements.</w:t>
      </w:r>
    </w:p>
    <w:p>
      <w:pPr>
        <w:spacing w:after="0" w:line="1" w:lineRule="exact"/>
        <w:rPr>
          <w:sz w:val="24"/>
          <w:szCs w:val="24"/>
          <w:color w:val="auto"/>
        </w:rPr>
      </w:pPr>
    </w:p>
    <w:p>
      <w:pPr>
        <w:jc w:val="both"/>
        <w:ind w:left="900" w:right="940"/>
        <w:spacing w:after="0" w:line="267" w:lineRule="auto"/>
        <w:rPr>
          <w:sz w:val="20"/>
          <w:szCs w:val="20"/>
          <w:color w:val="auto"/>
        </w:rPr>
      </w:pPr>
      <w:r>
        <w:rPr>
          <w:rFonts w:ascii="Times New Roman" w:cs="Times New Roman" w:eastAsia="Times New Roman" w:hAnsi="Times New Roman"/>
          <w:sz w:val="14"/>
          <w:szCs w:val="14"/>
          <w:color w:val="auto"/>
        </w:rPr>
        <w:t>You should read this prospectus, together with additional information described under the heading “Where You Can Find More Information,” carefully before you invest in our common stock.</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1" w:lineRule="exact"/>
        <w:rPr>
          <w:sz w:val="24"/>
          <w:szCs w:val="24"/>
          <w:color w:val="auto"/>
        </w:rPr>
      </w:pPr>
    </w:p>
    <w:p>
      <w:pPr>
        <w:jc w:val="both"/>
        <w:ind w:left="900" w:right="900"/>
        <w:spacing w:after="0" w:line="259" w:lineRule="auto"/>
        <w:rPr>
          <w:sz w:val="20"/>
          <w:szCs w:val="20"/>
          <w:color w:val="auto"/>
        </w:rPr>
      </w:pPr>
      <w:r>
        <w:rPr>
          <w:rFonts w:ascii="Times New Roman" w:cs="Times New Roman" w:eastAsia="Times New Roman" w:hAnsi="Times New Roman"/>
          <w:sz w:val="14"/>
          <w:szCs w:val="14"/>
          <w:b w:val="1"/>
          <w:bCs w:val="1"/>
          <w:color w:val="auto"/>
        </w:rPr>
        <w:t>Investing in our securities involves a high degree of risk. See “Risk Factors” beginning on page 14 of this prospectus, and under similar headings in the other documents that are incorporated by reference into this prospectus, for a discussion of information that should be considered in connection with an investment in our securities.</w:t>
      </w:r>
    </w:p>
    <w:p>
      <w:pPr>
        <w:spacing w:after="0" w:line="1" w:lineRule="exact"/>
        <w:rPr>
          <w:sz w:val="24"/>
          <w:szCs w:val="24"/>
          <w:color w:val="auto"/>
        </w:rPr>
      </w:pPr>
    </w:p>
    <w:p>
      <w:pPr>
        <w:jc w:val="both"/>
        <w:ind w:left="900" w:right="920"/>
        <w:spacing w:after="0" w:line="262"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2360" w:type="dxa"/>
            <w:vAlign w:val="bottom"/>
            <w:gridSpan w:val="3"/>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306"/>
        </w:trPr>
        <w:tc>
          <w:tcPr>
            <w:tcW w:w="2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2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
        </w:trPr>
        <w:tc>
          <w:tcPr>
            <w:tcW w:w="24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price</w:t>
            </w:r>
          </w:p>
        </w:tc>
        <w:tc>
          <w:tcPr>
            <w:tcW w:w="1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2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0.379</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2,551,036.24</w:t>
            </w:r>
          </w:p>
        </w:tc>
      </w:tr>
      <w:tr>
        <w:trPr>
          <w:trHeight w:val="26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Placement agent fees</w:t>
            </w:r>
            <w:r>
              <w:rPr>
                <w:rFonts w:ascii="Times New Roman" w:cs="Times New Roman" w:eastAsia="Times New Roman" w:hAnsi="Times New Roman"/>
                <w:sz w:val="19"/>
                <w:szCs w:val="19"/>
                <w:color w:val="auto"/>
                <w:vertAlign w:val="superscript"/>
              </w:rPr>
              <w:t>(1)</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0.0266</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0.02653</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178,572.54</w:t>
            </w:r>
          </w:p>
        </w:tc>
      </w:tr>
      <w:tr>
        <w:trPr>
          <w:trHeight w:val="26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expenses, to Agrify</w:t>
            </w:r>
            <w:r>
              <w:rPr>
                <w:rFonts w:ascii="Times New Roman" w:cs="Times New Roman" w:eastAsia="Times New Roman" w:hAnsi="Times New Roman"/>
                <w:sz w:val="19"/>
                <w:szCs w:val="19"/>
                <w:color w:val="auto"/>
                <w:vertAlign w:val="superscript"/>
              </w:rPr>
              <w:t>(2)</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0.3534</w:t>
            </w:r>
          </w:p>
        </w:tc>
        <w:tc>
          <w:tcPr>
            <w:tcW w:w="2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0.35247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2,372,463.70</w:t>
            </w:r>
          </w:p>
        </w:tc>
      </w:tr>
      <w:tr>
        <w:trPr>
          <w:trHeight w:val="224"/>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64" w:lineRule="exact"/>
        <w:rPr>
          <w:sz w:val="24"/>
          <w:szCs w:val="24"/>
          <w:color w:val="auto"/>
        </w:rPr>
      </w:pPr>
    </w:p>
    <w:p>
      <w:pPr>
        <w:jc w:val="both"/>
        <w:ind w:left="1300" w:right="900" w:hanging="394"/>
        <w:spacing w:after="0" w:line="256" w:lineRule="auto"/>
        <w:tabs>
          <w:tab w:leader="none" w:pos="13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placement agent fees, Agrify has agreed to reimburse the placement agent for certain expenses. In addition, we will issue to the placement agent a warrant to purchase up to one percent (1%) of the aggregate number of shares of common stock (or Pre-Funded Warrants) issued in this offering. See “Plan of Distribution” beginning on page 115 of this prospectus for additional information regarding total placement agent compensation.</w:t>
      </w:r>
    </w:p>
    <w:p>
      <w:pPr>
        <w:spacing w:after="0" w:line="1"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give effect to any exercise of the Pre-Funded Warrants being issued in this offering.</w:t>
      </w:r>
    </w:p>
    <w:p>
      <w:pPr>
        <w:spacing w:after="0" w:line="39" w:lineRule="exact"/>
        <w:rPr>
          <w:sz w:val="24"/>
          <w:szCs w:val="24"/>
          <w:color w:val="auto"/>
        </w:rPr>
      </w:pPr>
    </w:p>
    <w:p>
      <w:pPr>
        <w:jc w:val="both"/>
        <w:ind w:left="900" w:right="900"/>
        <w:spacing w:after="0" w:line="259" w:lineRule="auto"/>
        <w:rPr>
          <w:sz w:val="20"/>
          <w:szCs w:val="20"/>
          <w:color w:val="auto"/>
        </w:rPr>
      </w:pPr>
      <w:r>
        <w:rPr>
          <w:rFonts w:ascii="Times New Roman" w:cs="Times New Roman" w:eastAsia="Times New Roman" w:hAnsi="Times New Roman"/>
          <w:sz w:val="14"/>
          <w:szCs w:val="14"/>
          <w:color w:val="auto"/>
        </w:rPr>
        <w:t>We have retained Alexander Capital, L.P. as our exclusive placement agent to use its reasonable best efforts to solicit offers to purchase the securities in this offering. The placement agent has no obligation to buy any of the securities from us or to arrange for the purchase or sale of any specific number or dollar amount of the securities. Because there is no minimum offering amount required as a condition to closing in this offering, the actual public offering amount, placement agent fees, and proceeds to us, if any, are not presently determinable and may be substantially less than the total maximum offering amounts set forth above.</w:t>
      </w:r>
    </w:p>
    <w:p>
      <w:pPr>
        <w:spacing w:after="0" w:line="17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54"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4"/>
          <w:szCs w:val="14"/>
          <w:color w:val="auto"/>
        </w:rPr>
        <w:t>We expect to deliver the securities to investors on or about February 28, 2024.</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ALEXANDER CAPITAL, L.P.</w:t>
      </w:r>
    </w:p>
    <w:p>
      <w:pPr>
        <w:spacing w:after="0" w:line="7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date of this prospectus is February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575310</wp:posOffset>
            </wp:positionH>
            <wp:positionV relativeFrom="paragraph">
              <wp:posOffset>228600</wp:posOffset>
            </wp:positionV>
            <wp:extent cx="45732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5" w:right="1440" w:bottom="1440" w:gutter="0" w:footer="0" w:header="0"/>
          <w:type w:val="continuous"/>
        </w:sectPr>
      </w:pPr>
    </w:p>
    <w:bookmarkStart w:id="1" w:name="page2"/>
    <w:bookmarkEnd w:id="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40" w:type="dxa"/>
            <w:vAlign w:val="bottom"/>
            <w:gridSpan w:val="8"/>
          </w:tcPr>
          <w:p>
            <w:pPr>
              <w:ind w:left="1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8"/>
        </w:trPr>
        <w:tc>
          <w:tcPr>
            <w:tcW w:w="1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tcBorders>
              <w:top w:val="single" w:sz="8" w:color="CCEEFF"/>
              <w:bottom w:val="single" w:sz="8" w:color="0000EE"/>
            </w:tcBorders>
            <w:gridSpan w:val="12"/>
            <w:shd w:val="clear" w:color="auto" w:fill="CCEEFF"/>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ABOUT THIS PROSPECTUS</w:t>
              </w:r>
            </w:hyperlink>
          </w:p>
        </w:tc>
        <w:tc>
          <w:tcPr>
            <w:tcW w:w="4540" w:type="dxa"/>
            <w:vAlign w:val="bottom"/>
            <w:tcBorders>
              <w:top w:val="single" w:sz="8" w:color="CCEEFF"/>
              <w:bottom w:val="single" w:sz="8" w:color="CCEEFF"/>
            </w:tcBorders>
            <w:gridSpan w:val="14"/>
            <w:shd w:val="clear" w:color="auto" w:fill="CCEEFF"/>
          </w:tcPr>
          <w:p>
            <w:pPr>
              <w:spacing w:after="0"/>
              <w:rPr>
                <w:sz w:val="19"/>
                <w:szCs w:val="19"/>
                <w:color w:val="auto"/>
              </w:rPr>
            </w:pPr>
          </w:p>
        </w:tc>
        <w:tc>
          <w:tcPr>
            <w:tcW w:w="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ii</w:t>
            </w: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PROSPECTUS SUMMARY</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THE OFFERING</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RISK FACTORS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SPECIAL NOTE REGARDING FORWARD-LOOKING STATEMENTS</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96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MARKET FOR COMMON STOCK</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DIVIDEND POLICY</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CORPORATE GOVERNANCE</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EXECUTIVE COMPENSATION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DIRECTOR COMPENSATION</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SECURITY OWNERSHIP OF CERTAIN BENEFICIAL OWNERS AND MANAGEMENT</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0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MARKET, INDUSTRY AND OTHER DATA</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USE OF PROCEEDS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6"/>
                <w:szCs w:val="16"/>
                <w:color w:val="0000EE"/>
                <w:w w:val="94"/>
              </w:rPr>
            </w:pPr>
            <w:hyperlink w:anchor="page1">
              <w:r>
                <w:rPr>
                  <w:rFonts w:ascii="Times New Roman" w:cs="Times New Roman" w:eastAsia="Times New Roman" w:hAnsi="Times New Roman"/>
                  <w:sz w:val="16"/>
                  <w:szCs w:val="16"/>
                  <w:color w:val="0000EE"/>
                  <w:w w:val="94"/>
                </w:rPr>
                <w:t>DILUTION</w:t>
              </w:r>
            </w:hyperlink>
          </w:p>
        </w:tc>
        <w:tc>
          <w:tcPr>
            <w:tcW w:w="5720" w:type="dxa"/>
            <w:vAlign w:val="bottom"/>
            <w:tcBorders>
              <w:bottom w:val="single" w:sz="8" w:color="CCEEFF"/>
            </w:tcBorders>
            <w:gridSpan w:val="22"/>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BUSINESS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460" w:type="dxa"/>
            <w:vAlign w:val="bottom"/>
            <w:gridSpan w:val="26"/>
            <w:shd w:val="clear" w:color="auto" w:fill="CCEEFF"/>
          </w:tcPr>
          <w:p>
            <w:pPr>
              <w:spacing w:after="0" w:line="156"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MANAGEMENT’S DISCUSSION AND ANALYSIS OF FINANCIAL CONDITION AND</w:t>
              </w:r>
            </w:hyperlink>
          </w:p>
        </w:tc>
        <w:tc>
          <w:tcPr>
            <w:tcW w:w="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40" w:type="dxa"/>
            <w:vAlign w:val="bottom"/>
            <w:tcBorders>
              <w:top w:val="single" w:sz="8" w:color="0000EE"/>
            </w:tcBorders>
            <w:shd w:val="clear" w:color="auto" w:fill="CCEEFF"/>
          </w:tcPr>
          <w:p>
            <w:pPr>
              <w:spacing w:after="0"/>
              <w:rPr>
                <w:sz w:val="13"/>
                <w:szCs w:val="13"/>
                <w:color w:val="auto"/>
              </w:rPr>
            </w:pPr>
          </w:p>
        </w:tc>
        <w:tc>
          <w:tcPr>
            <w:tcW w:w="5660" w:type="dxa"/>
            <w:vAlign w:val="bottom"/>
            <w:tcBorders>
              <w:top w:val="single" w:sz="8" w:color="0000EE"/>
            </w:tcBorders>
            <w:gridSpan w:val="23"/>
            <w:shd w:val="clear" w:color="auto" w:fill="CCEEFF"/>
          </w:tcPr>
          <w:p>
            <w:pPr>
              <w:spacing w:after="0" w:line="160" w:lineRule="exact"/>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RESULTS OF OPERATIONS</w:t>
              </w:r>
            </w:hyperlink>
          </w:p>
        </w:tc>
        <w:tc>
          <w:tcPr>
            <w:tcW w:w="660" w:type="dxa"/>
            <w:vAlign w:val="bottom"/>
            <w:tcBorders>
              <w:top w:val="single" w:sz="8" w:color="CCEEFF"/>
            </w:tcBorders>
            <w:gridSpan w:val="2"/>
            <w:shd w:val="clear" w:color="auto" w:fill="CCEEFF"/>
          </w:tcPr>
          <w:p>
            <w:pPr>
              <w:spacing w:after="0"/>
              <w:rPr>
                <w:sz w:val="13"/>
                <w:szCs w:val="13"/>
                <w:color w:val="auto"/>
              </w:rPr>
            </w:pPr>
          </w:p>
        </w:tc>
        <w:tc>
          <w:tcPr>
            <w:tcW w:w="720" w:type="dxa"/>
            <w:vAlign w:val="bottom"/>
            <w:tcBorders>
              <w:top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CERTAIN RELATIONSHIPS AND RELATED-PARTY TRANSACTIONS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tcBorders>
              <w:bottom w:val="single" w:sz="8" w:color="0000EE"/>
            </w:tcBorders>
            <w:gridSpan w:val="16"/>
            <w:shd w:val="clear" w:color="auto" w:fill="CCEEFF"/>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DESCRIPTION OF SECURITIES</w:t>
              </w:r>
            </w:hyperlink>
          </w:p>
        </w:tc>
        <w:tc>
          <w:tcPr>
            <w:tcW w:w="4300" w:type="dxa"/>
            <w:vAlign w:val="bottom"/>
            <w:tcBorders>
              <w:bottom w:val="single" w:sz="8" w:color="CCEEFF"/>
            </w:tcBorders>
            <w:gridSpan w:val="10"/>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MATERIAL U.S. FEDERAL INCOME TAX CONSIDERATIONS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PLAN OF DISTRIBUTION</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LEGAL MATTERS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EXPERTS</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6480" w:type="dxa"/>
            <w:vAlign w:val="bottom"/>
            <w:gridSpan w:val="2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WHERE YOU CAN FIND MORE INFORMATION</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5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8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60" w:type="dxa"/>
            <w:vAlign w:val="bottom"/>
            <w:gridSpan w:val="26"/>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INDEX TO FINANCIAL STATEMENTS</w:t>
              </w:r>
            </w:hyperlink>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F-1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3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320" w:type="dxa"/>
            <w:vAlign w:val="bottom"/>
            <w:tcBorders>
              <w:top w:val="single" w:sz="8" w:color="0000EE"/>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96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0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4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 w:name="page3"/>
    <w:bookmarkEnd w:id="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have not, and the placement agent has not, authorized anyone to provide you with information that is different from that contained in this prospectus or in any free writing prospectus we may authorize to be delivered or made available to you. When you make a decision about whether to invest in our securities, you should not rely upon any information other than the information contained in or incorporated by reference in this prospectus or in any free writing prospectus that we may authorize to be delivered or made available to you. Neither the delivery of this prospectus nor the sale of our securities means that the information contained in this prospectus or any free writing prospectus is correct after the date of this prospectus or such free writing prospectus. This prospectus is not an offer to sell or the solicitation of an offer to buy our securities in any circumstances under which the offer or solicitation is unlawful.</w:t>
      </w:r>
    </w:p>
    <w:p>
      <w:pPr>
        <w:spacing w:after="0" w:line="9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For investors outside the United States: We have not, and the placement agent has not, taken any action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covered hereby and the distribution of this prospectus outside the United States.</w:t>
      </w:r>
    </w:p>
    <w:p>
      <w:pPr>
        <w:spacing w:after="0" w:line="9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Our management estimates have not been verified by any independent source, and we have not independently verified any third-party information.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w:t>
      </w:r>
    </w:p>
    <w:p>
      <w:pPr>
        <w:spacing w:after="0" w:line="10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further note that 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0" w:lineRule="exact"/>
        <w:rPr>
          <w:sz w:val="20"/>
          <w:szCs w:val="20"/>
          <w:color w:val="auto"/>
        </w:rPr>
      </w:pPr>
    </w:p>
    <w:p>
      <w:pPr>
        <w:jc w:val="both"/>
        <w:ind w:left="900" w:right="920" w:firstLine="384"/>
        <w:spacing w:after="0" w:line="232" w:lineRule="auto"/>
        <w:rPr>
          <w:sz w:val="20"/>
          <w:szCs w:val="20"/>
          <w:color w:val="auto"/>
        </w:rPr>
      </w:pPr>
      <w:r>
        <w:rPr>
          <w:rFonts w:ascii="Times New Roman" w:cs="Times New Roman" w:eastAsia="Times New Roman" w:hAnsi="Times New Roman"/>
          <w:sz w:val="16"/>
          <w:szCs w:val="16"/>
          <w:color w:val="auto"/>
        </w:rPr>
        <w:t>We have proprietary rights to trademarks used in this prospectus, including Agrify</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6"/>
          <w:szCs w:val="16"/>
          <w:color w:val="auto"/>
        </w:rPr>
        <w:t>. Solely for our convenience, trademarks and trade names referred to in this prospectus may appear without the “®” or “™” symbols, but such references are not intended to indicate, in any way, that we will not assert, to the fullest extent possible under applicable law, our rights or the rights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is the property of its respective holder.</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 w:name="page4"/>
    <w:bookmarkEnd w:id="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486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3270" cy="648652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PROSPECTUS SUMMARY</w:t>
      </w:r>
    </w:p>
    <w:p>
      <w:pPr>
        <w:spacing w:after="0" w:line="116"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The following summary highlights information contained elsewhere in this prospectus. It may not contain all of the information that is important to you. You should read the entire prospectus carefully, especially the discussion regarding the risks of investing in our securities under the heading “Risk Factors,” before investing in our securities. All references to “Company” “we,” “our” or “us” refer solely to Agrify Corporation and its subsidiaries and not to the persons who manage us or sit on our Board of Directors.</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8" w:lineRule="exact"/>
        <w:rPr>
          <w:sz w:val="20"/>
          <w:szCs w:val="20"/>
          <w:color w:val="auto"/>
        </w:rPr>
      </w:pPr>
    </w:p>
    <w:p>
      <w:pPr>
        <w:jc w:val="both"/>
        <w:ind w:left="980" w:right="980" w:firstLine="384"/>
        <w:spacing w:after="0" w:line="280" w:lineRule="auto"/>
        <w:rPr>
          <w:sz w:val="20"/>
          <w:szCs w:val="20"/>
          <w:color w:val="auto"/>
        </w:rPr>
      </w:pPr>
      <w:r>
        <w:rPr>
          <w:rFonts w:ascii="Times New Roman" w:cs="Times New Roman" w:eastAsia="Times New Roman" w:hAnsi="Times New Roman"/>
          <w:sz w:val="14"/>
          <w:szCs w:val="14"/>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 processing, and lab equipment, empowers producers to maximize the quantity and quality of extract required for premium concentrates.</w:t>
      </w:r>
    </w:p>
    <w:p>
      <w:pPr>
        <w:spacing w:after="0" w:line="73" w:lineRule="exact"/>
        <w:rPr>
          <w:sz w:val="20"/>
          <w:szCs w:val="20"/>
          <w:color w:val="auto"/>
        </w:rPr>
      </w:pPr>
    </w:p>
    <w:p>
      <w:pPr>
        <w:jc w:val="both"/>
        <w:ind w:left="980" w:right="960" w:firstLine="384"/>
        <w:spacing w:after="0" w:line="236" w:lineRule="auto"/>
        <w:rPr>
          <w:sz w:val="20"/>
          <w:szCs w:val="20"/>
          <w:color w:val="auto"/>
        </w:rPr>
      </w:pPr>
      <w:r>
        <w:rPr>
          <w:rFonts w:ascii="Times New Roman" w:cs="Times New Roman" w:eastAsia="Times New Roman" w:hAnsi="Times New Roman"/>
          <w:sz w:val="16"/>
          <w:szCs w:val="16"/>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04"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We now offer our customers an extensive ecosystem of solutions, products, training, and service capabilities in what has historically been a highly fragmented market. Our offerings, which are described in more detail below, are compelling on their own. However, we believe what sets us apart is our ability to bring to the market the most comprehensive set of cultivation and extraction solutions from a single provider. As a result, we believe we are well -positioned to capture market share and create a dominant market position in the indoor cannabis sector. We currently have two primary areas of business focus:</w:t>
      </w:r>
    </w:p>
    <w:p>
      <w:pPr>
        <w:spacing w:after="0" w:line="101" w:lineRule="exact"/>
        <w:rPr>
          <w:sz w:val="20"/>
          <w:szCs w:val="20"/>
          <w:color w:val="auto"/>
        </w:rPr>
      </w:pPr>
    </w:p>
    <w:p>
      <w:pPr>
        <w:ind w:left="1740" w:hanging="377"/>
        <w:spacing w:after="0"/>
        <w:tabs>
          <w:tab w:leader="none" w:pos="1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Cultivation Solutions; and</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Extraction Solutions.</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i w:val="1"/>
          <w:iCs w:val="1"/>
          <w:color w:val="auto"/>
        </w:rPr>
        <w:t>Cultivation Solutions</w:t>
      </w:r>
    </w:p>
    <w:p>
      <w:pPr>
        <w:spacing w:after="0" w:line="120"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While we do not cultivate, come in contact with, distribute, or dispense cannabis or any cannabis derivatives that are currently prohibited under U.S. federal law, our equipment and business solutions can be used within indoor grow facilities by fully licensed cannabis cultivators. We sell our proprietary cultivation solutions to independent licensed cultivators. The two primary products we sell are the VFUs and Agrify Insights™. We believe we are one of a limited number of companies offering a fully integrated cultivation solution optimized for precision growing with robust automation capabilities in the industry.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 w:name="page5"/>
    <w:bookmarkEnd w:id="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707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3270" cy="6707505"/>
                    </a:xfrm>
                    <a:prstGeom prst="rect">
                      <a:avLst/>
                    </a:prstGeom>
                    <a:noFill/>
                  </pic:spPr>
                </pic:pic>
              </a:graphicData>
            </a:graphic>
          </wp:anchor>
        </w:drawing>
      </w:r>
    </w:p>
    <w:p>
      <w:pPr>
        <w:spacing w:after="0" w:line="3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i w:val="1"/>
          <w:iCs w:val="1"/>
          <w:color w:val="auto"/>
        </w:rPr>
        <w:t>Agrify Vertical Farming Unit</w:t>
      </w:r>
    </w:p>
    <w:p>
      <w:pPr>
        <w:spacing w:after="0" w:line="120" w:lineRule="exact"/>
        <w:rPr>
          <w:sz w:val="20"/>
          <w:szCs w:val="20"/>
          <w:color w:val="auto"/>
        </w:rPr>
      </w:pPr>
    </w:p>
    <w:p>
      <w:pPr>
        <w:jc w:val="both"/>
        <w:ind w:left="980" w:right="940" w:firstLine="384"/>
        <w:spacing w:after="0" w:line="241" w:lineRule="auto"/>
        <w:rPr>
          <w:sz w:val="20"/>
          <w:szCs w:val="20"/>
          <w:color w:val="auto"/>
        </w:rPr>
      </w:pPr>
      <w:r>
        <w:rPr>
          <w:rFonts w:ascii="Times New Roman" w:cs="Times New Roman" w:eastAsia="Times New Roman" w:hAnsi="Times New Roman"/>
          <w:sz w:val="16"/>
          <w:szCs w:val="16"/>
          <w:color w:val="auto"/>
        </w:rPr>
        <w:t>Our proprietary VFU technology offers a modular, compartmentalized micro-climate growing system for indoor vertical farming. Our VFU system is designed for craft farmers, single-state operators, and multi-state operators who are looking to consistently produce higher-quality crops at scale. The VFUs are designed to line up horizontally in rows, and can be stacked vertically up to three units tall, taking advantage of unused indoor vertical space with the below benefits:</w:t>
      </w:r>
    </w:p>
    <w:p>
      <w:pPr>
        <w:spacing w:after="0" w:line="93" w:lineRule="exact"/>
        <w:rPr>
          <w:sz w:val="20"/>
          <w:szCs w:val="20"/>
          <w:color w:val="auto"/>
        </w:rPr>
      </w:pPr>
    </w:p>
    <w:p>
      <w:pPr>
        <w:jc w:val="both"/>
        <w:ind w:left="1740" w:right="980" w:hanging="377"/>
        <w:spacing w:after="0" w:line="244" w:lineRule="auto"/>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Superior Floor Space Utilization</w:t>
      </w:r>
      <w:r>
        <w:rPr>
          <w:rFonts w:ascii="Times New Roman" w:cs="Times New Roman" w:eastAsia="Times New Roman" w:hAnsi="Times New Roman"/>
          <w:sz w:val="16"/>
          <w:szCs w:val="16"/>
          <w:color w:val="auto"/>
        </w:rPr>
        <w:t>. Each VFU provides two tiers of growing canopy. Our units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introduce an open-room facility design approach to maximize available cultivation floor space while offering superior risk mitigation via individual compartmentalized cultivation chambers which aim to contain potential biological threats to cultivation facilities.</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91" w:lineRule="auto"/>
        <w:tabs>
          <w:tab w:leader="none" w:pos="1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Precise Environmental Controls</w:t>
      </w:r>
      <w:r>
        <w:rPr>
          <w:rFonts w:ascii="Times New Roman" w:cs="Times New Roman" w:eastAsia="Times New Roman" w:hAnsi="Times New Roman"/>
          <w:sz w:val="14"/>
          <w:szCs w:val="14"/>
          <w:color w:val="auto"/>
        </w:rPr>
        <w:t>. Each VFU has an Environmental Control Unit that is integrated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our proprietary cultivation software, Agrify Insights™. This integration allows for precise control and automation over light photoperiod and intensity, temperature, humidity, vapor pressure deficit (“VPD”), carbon dioxide, fertigation, and irrigation throughout the lifecycle of the plants.</w:t>
      </w:r>
    </w:p>
    <w:p>
      <w:pPr>
        <w:spacing w:after="0" w:line="59" w:lineRule="exact"/>
        <w:rPr>
          <w:rFonts w:ascii="Times New Roman" w:cs="Times New Roman" w:eastAsia="Times New Roman" w:hAnsi="Times New Roman"/>
          <w:sz w:val="14"/>
          <w:szCs w:val="14"/>
          <w:color w:val="auto"/>
        </w:rPr>
      </w:pPr>
    </w:p>
    <w:p>
      <w:pPr>
        <w:jc w:val="both"/>
        <w:ind w:left="1740" w:right="980" w:hanging="377"/>
        <w:spacing w:after="0" w:line="249" w:lineRule="auto"/>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Modular Scalability</w:t>
      </w:r>
      <w:r>
        <w:rPr>
          <w:rFonts w:ascii="Times New Roman" w:cs="Times New Roman" w:eastAsia="Times New Roman" w:hAnsi="Times New Roman"/>
          <w:sz w:val="16"/>
          <w:szCs w:val="16"/>
          <w:color w:val="auto"/>
        </w:rPr>
        <w:t>. The VFU is designed to stack up to three units tall, sextupling production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volume over the same traditional footprint. Each unit is designed to easily integrate with a mezzanine catwalk system providing unparalleled access to all levels of cultivation.</w:t>
      </w:r>
    </w:p>
    <w:p>
      <w:pPr>
        <w:spacing w:after="0" w:line="87" w:lineRule="exact"/>
        <w:rPr>
          <w:rFonts w:ascii="Times New Roman" w:cs="Times New Roman" w:eastAsia="Times New Roman" w:hAnsi="Times New Roman"/>
          <w:sz w:val="16"/>
          <w:szCs w:val="16"/>
          <w:color w:val="auto"/>
        </w:rPr>
      </w:pPr>
    </w:p>
    <w:p>
      <w:pPr>
        <w:jc w:val="both"/>
        <w:ind w:left="1740" w:right="980" w:hanging="377"/>
        <w:spacing w:after="0" w:line="244" w:lineRule="auto"/>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Worker Safety &amp; Efficiency</w:t>
      </w:r>
      <w:r>
        <w:rPr>
          <w:rFonts w:ascii="Times New Roman" w:cs="Times New Roman" w:eastAsia="Times New Roman" w:hAnsi="Times New Roman"/>
          <w:sz w:val="16"/>
          <w:szCs w:val="16"/>
          <w:color w:val="auto"/>
        </w:rPr>
        <w:t>. The VFU’s design was thoughtful and intentional; from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ergonomic dimensions that facilitate safe, easy access to plants for scouting and plant husbandry, to the integrated catwalks that allow cultivators to work from a safe sitting or standing position without the need for scissor lifts, ladders or removable platforms.</w:t>
      </w:r>
    </w:p>
    <w:p>
      <w:pPr>
        <w:spacing w:after="0" w:line="92" w:lineRule="exact"/>
        <w:rPr>
          <w:rFonts w:ascii="Times New Roman" w:cs="Times New Roman" w:eastAsia="Times New Roman" w:hAnsi="Times New Roman"/>
          <w:sz w:val="16"/>
          <w:szCs w:val="16"/>
          <w:color w:val="auto"/>
        </w:rPr>
      </w:pPr>
    </w:p>
    <w:p>
      <w:pPr>
        <w:jc w:val="both"/>
        <w:ind w:left="1740" w:right="960" w:hanging="377"/>
        <w:spacing w:after="0" w:line="239" w:lineRule="auto"/>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Biosecurity and Risk Mitigation</w:t>
      </w:r>
      <w:r>
        <w:rPr>
          <w:rFonts w:ascii="Times New Roman" w:cs="Times New Roman" w:eastAsia="Times New Roman" w:hAnsi="Times New Roman"/>
          <w:sz w:val="16"/>
          <w:szCs w:val="16"/>
          <w:color w:val="auto"/>
        </w:rPr>
        <w:t>. The VFU has a motorized curtain on both sides of the unit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encloses the grow area to prevent light pollution and the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 especially with the VFU’s High Heat mode, which helps sanitize all internal VFU surfaces effortlessly.</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Agrify Insights™</w:t>
      </w:r>
    </w:p>
    <w:p>
      <w:pPr>
        <w:spacing w:after="0" w:line="118" w:lineRule="exact"/>
        <w:rPr>
          <w:sz w:val="20"/>
          <w:szCs w:val="20"/>
          <w:color w:val="auto"/>
        </w:rPr>
      </w:pPr>
    </w:p>
    <w:p>
      <w:pPr>
        <w:jc w:val="both"/>
        <w:ind w:left="980" w:right="960" w:firstLine="384"/>
        <w:spacing w:after="0" w:line="241" w:lineRule="auto"/>
        <w:rPr>
          <w:sz w:val="20"/>
          <w:szCs w:val="20"/>
          <w:color w:val="auto"/>
        </w:rPr>
      </w:pPr>
      <w:r>
        <w:rPr>
          <w:rFonts w:ascii="Times New Roman" w:cs="Times New Roman" w:eastAsia="Times New Roman" w:hAnsi="Times New Roman"/>
          <w:sz w:val="16"/>
          <w:szCs w:val="16"/>
          <w:color w:val="auto"/>
        </w:rPr>
        <w:t>The VFUs are designed to work in conjunction with our Agrify Insights™ software. Each VFU sold includes a license for Agrify Insights™ and a monthly Software-as-a-Service (“SaaS”) subscription fee is charged per VFU. The VFU cannot operate successfully without Agrify Insights™, and we typically charge between $ 1,500 to $2,400 per VFU sold annually. Agrify Insights™ license agreements are generally for a multi-year term, with an annual auto-renewal.</w:t>
      </w:r>
    </w:p>
    <w:p>
      <w:pPr>
        <w:spacing w:after="0" w:line="97"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Agrify Insights™ is a SaaS-based solution that interfaces with our proprietary hardware to provide customers with real- 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VFU system, is enabling our customers to transform their businesses and quality of the product they are cultivating.</w:t>
      </w:r>
    </w:p>
    <w:p>
      <w:pPr>
        <w:spacing w:after="0" w:line="9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Agrify Insights™ is focused on optimizing four key components:</w:t>
      </w:r>
    </w:p>
    <w:p>
      <w:pPr>
        <w:spacing w:after="0" w:line="116" w:lineRule="exact"/>
        <w:rPr>
          <w:sz w:val="20"/>
          <w:szCs w:val="20"/>
          <w:color w:val="auto"/>
        </w:rPr>
      </w:pPr>
    </w:p>
    <w:p>
      <w:pPr>
        <w:ind w:left="1740" w:hanging="377"/>
        <w:spacing w:after="0"/>
        <w:tabs>
          <w:tab w:leader="none" w:pos="1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plant level;</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VFU unit level;</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facility level; and</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business level.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 w:name="page6"/>
    <w:bookmarkEnd w:id="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677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73270" cy="6677025"/>
                    </a:xfrm>
                    <a:prstGeom prst="rect">
                      <a:avLst/>
                    </a:prstGeom>
                    <a:noFill/>
                  </pic:spPr>
                </pic:pic>
              </a:graphicData>
            </a:graphic>
          </wp:anchor>
        </w:drawing>
      </w:r>
    </w:p>
    <w:p>
      <w:pPr>
        <w:spacing w:after="0" w:line="264" w:lineRule="exact"/>
        <w:rPr>
          <w:sz w:val="20"/>
          <w:szCs w:val="20"/>
          <w:color w:val="auto"/>
        </w:rPr>
      </w:pPr>
    </w:p>
    <w:p>
      <w:pPr>
        <w:jc w:val="both"/>
        <w:ind w:left="980" w:right="1000" w:firstLine="384"/>
        <w:spacing w:after="0" w:line="243" w:lineRule="auto"/>
        <w:rPr>
          <w:sz w:val="20"/>
          <w:szCs w:val="20"/>
          <w:color w:val="auto"/>
        </w:rPr>
      </w:pPr>
      <w:r>
        <w:rPr>
          <w:rFonts w:ascii="Times New Roman" w:cs="Times New Roman" w:eastAsia="Times New Roman" w:hAnsi="Times New Roman"/>
          <w:sz w:val="16"/>
          <w:szCs w:val="16"/>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seek to produce end products with the highest level of consistency no matter where they are located.</w:t>
      </w:r>
    </w:p>
    <w:p>
      <w:pPr>
        <w:spacing w:after="0" w:line="16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Plant-Level Optimization</w:t>
      </w:r>
    </w:p>
    <w:p>
      <w:pPr>
        <w:spacing w:after="0" w:line="118" w:lineRule="exact"/>
        <w:rPr>
          <w:sz w:val="20"/>
          <w:szCs w:val="20"/>
          <w:color w:val="auto"/>
        </w:rPr>
      </w:pPr>
    </w:p>
    <w:p>
      <w:pPr>
        <w:jc w:val="both"/>
        <w:ind w:left="980" w:right="980" w:firstLine="384"/>
        <w:spacing w:after="0" w:line="274" w:lineRule="auto"/>
        <w:rPr>
          <w:sz w:val="20"/>
          <w:szCs w:val="20"/>
          <w:color w:val="auto"/>
        </w:rPr>
      </w:pPr>
      <w:r>
        <w:rPr>
          <w:rFonts w:ascii="Times New Roman" w:cs="Times New Roman" w:eastAsia="Times New Roman" w:hAnsi="Times New Roman"/>
          <w:sz w:val="14"/>
          <w:szCs w:val="14"/>
          <w:color w:val="auto"/>
        </w:rPr>
        <w:t>Central to our solution is granular control of the cultivation environment. A crop’s end-product is determined by the plant’s genetics and the environment in which the plants are grown. Control over the growing environment is accomplished through the integration of Agrify Insights™. Agrify Insights collects data from multiple sensors on a per plant basis between 4 and 60 times an hour. This can result in between 100 thousand and 151 million data points annually, depending on the number of plants and fluctuations in the VFU microclimate. By recording data points and reproducing specific environments based on the data, cultivators can effectively minimize the variation in their crops and dial-in the maximum quality. Individual plant varietals can be optimized by tailoring the grow plan (recipe for cultivation) to enhance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which is beneficial for research and development purposes.</w:t>
      </w:r>
    </w:p>
    <w:p>
      <w:pPr>
        <w:spacing w:after="0" w:line="259"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Our “Grow Plans” are the templates or recipes that define the parameters for each lifecycle. Grow Plans define the environmental settings (light-photoperiod and intensity, temperature, humidity, VPD, CO2, irrigation, fertigation) for each crop variety and cultivator as well as the schedule for completing, as applicable, “plant touching” tasks such as bottoming, pruning, and harvesting. Agrify Insights™ ships to the customer with many pre-developed Grow Plans and customers can create their own Grow Plans, electing to share them with other customers or not.</w:t>
      </w:r>
    </w:p>
    <w:p>
      <w:pPr>
        <w:spacing w:after="0" w:line="17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Individual VFU Level Optimization</w:t>
      </w:r>
    </w:p>
    <w:p>
      <w:pPr>
        <w:spacing w:after="0" w:line="118" w:lineRule="exact"/>
        <w:rPr>
          <w:sz w:val="20"/>
          <w:szCs w:val="20"/>
          <w:color w:val="auto"/>
        </w:rPr>
      </w:pPr>
    </w:p>
    <w:p>
      <w:pPr>
        <w:jc w:val="both"/>
        <w:ind w:left="980" w:right="1000" w:firstLine="384"/>
        <w:spacing w:after="0" w:line="259" w:lineRule="auto"/>
        <w:rPr>
          <w:sz w:val="20"/>
          <w:szCs w:val="20"/>
          <w:color w:val="auto"/>
        </w:rPr>
      </w:pPr>
      <w:r>
        <w:rPr>
          <w:rFonts w:ascii="Times New Roman" w:cs="Times New Roman" w:eastAsia="Times New Roman" w:hAnsi="Times New Roman"/>
          <w:sz w:val="16"/>
          <w:szCs w:val="16"/>
          <w:color w:val="auto"/>
        </w:rPr>
        <w:t>Our VFU hardware provides cultivation environmental control within the grow chamber. This hardware and its component valves, motors and sensors are directed and controlled by Agrify Insights™.</w:t>
      </w:r>
    </w:p>
    <w:p>
      <w:pPr>
        <w:spacing w:after="0" w:line="79" w:lineRule="exact"/>
        <w:rPr>
          <w:sz w:val="20"/>
          <w:szCs w:val="20"/>
          <w:color w:val="auto"/>
        </w:rPr>
      </w:pPr>
    </w:p>
    <w:p>
      <w:pPr>
        <w:jc w:val="both"/>
        <w:ind w:left="1740" w:right="980" w:hanging="377"/>
        <w:spacing w:after="0" w:line="249" w:lineRule="auto"/>
        <w:tabs>
          <w:tab w:leader="none" w:pos="17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Monitor and Control Agrify Hardware</w:t>
      </w:r>
      <w:r>
        <w:rPr>
          <w:rFonts w:ascii="Times New Roman" w:cs="Times New Roman" w:eastAsia="Times New Roman" w:hAnsi="Times New Roman"/>
          <w:sz w:val="16"/>
          <w:szCs w:val="16"/>
          <w:color w:val="auto"/>
        </w:rPr>
        <w:t>. Agrify Insights™ can either automatically or manually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our hardware. For example, the water-chilled fan coil can keep the temperature in a range accurate to 1.5 degrees Fahrenheit.</w:t>
      </w:r>
    </w:p>
    <w:p>
      <w:pPr>
        <w:spacing w:after="0" w:line="87" w:lineRule="exact"/>
        <w:rPr>
          <w:rFonts w:ascii="Times New Roman" w:cs="Times New Roman" w:eastAsia="Times New Roman" w:hAnsi="Times New Roman"/>
          <w:sz w:val="16"/>
          <w:szCs w:val="16"/>
          <w:color w:val="auto"/>
        </w:rPr>
      </w:pPr>
    </w:p>
    <w:p>
      <w:pPr>
        <w:jc w:val="both"/>
        <w:ind w:left="1740" w:right="980" w:hanging="377"/>
        <w:spacing w:after="0" w:line="238" w:lineRule="auto"/>
        <w:tabs>
          <w:tab w:leader="none" w:pos="17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Cultivation Environmental Control</w:t>
      </w:r>
      <w:r>
        <w:rPr>
          <w:rFonts w:ascii="Times New Roman" w:cs="Times New Roman" w:eastAsia="Times New Roman" w:hAnsi="Times New Roman"/>
          <w:sz w:val="16"/>
          <w:szCs w:val="16"/>
          <w:color w:val="auto"/>
        </w:rPr>
        <w:t>. Using Agrify Insights™, users can view environmental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charts that plot temperature, humidity, and carbon dioxide over time. It also shows when plant irrigation occurs and whether the unit is in cooling, circulating, or dehumidifying mode. We sample these values every minute and report them back to the cloud every 15 minutes or more often if significant changes occur. Each growing chamber reports millions of data points annually, enabling our clients to perform an in-depth analysis of their grow performance. The manual control screen visualizes the current state of the grow chamber and allows our technicians to take direct control for troubleshooting, if necessary. The device log shows us what decisions were made by Agrify Insights™ and why.</w:t>
      </w:r>
    </w:p>
    <w:p>
      <w:pPr>
        <w:spacing w:after="0" w:line="17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Facility Level Optimization</w:t>
      </w:r>
    </w:p>
    <w:p>
      <w:pPr>
        <w:spacing w:after="0" w:line="118" w:lineRule="exact"/>
        <w:rPr>
          <w:sz w:val="20"/>
          <w:szCs w:val="20"/>
          <w:color w:val="auto"/>
        </w:rPr>
      </w:pPr>
    </w:p>
    <w:p>
      <w:pPr>
        <w:jc w:val="both"/>
        <w:ind w:left="980" w:right="1000" w:firstLine="384"/>
        <w:spacing w:after="0" w:line="247" w:lineRule="auto"/>
        <w:rPr>
          <w:sz w:val="20"/>
          <w:szCs w:val="20"/>
          <w:color w:val="auto"/>
        </w:rPr>
      </w:pPr>
      <w:r>
        <w:rPr>
          <w:rFonts w:ascii="Times New Roman" w:cs="Times New Roman" w:eastAsia="Times New Roman" w:hAnsi="Times New Roman"/>
          <w:sz w:val="16"/>
          <w:szCs w:val="16"/>
          <w:color w:val="auto"/>
        </w:rPr>
        <w:t>Our modular VFUs are deployed in scale at a customer’s facility with the smallest commercial operation deployment being 60 VFUs to date. Agrify Insights™ is designed to operate these individual VFUs as a combined facility. Agrify Insights™ features at the facility level include:</w:t>
      </w:r>
    </w:p>
    <w:p>
      <w:pPr>
        <w:spacing w:after="0" w:line="88" w:lineRule="exact"/>
        <w:rPr>
          <w:sz w:val="20"/>
          <w:szCs w:val="20"/>
          <w:color w:val="auto"/>
        </w:rPr>
      </w:pPr>
    </w:p>
    <w:p>
      <w:pPr>
        <w:jc w:val="both"/>
        <w:ind w:left="1740" w:right="980" w:hanging="377"/>
        <w:spacing w:after="0"/>
        <w:tabs>
          <w:tab w:leader="none" w:pos="1740" w:val="left"/>
        </w:tabs>
        <w:numPr>
          <w:ilvl w:val="0"/>
          <w:numId w:val="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Production Planning</w:t>
      </w:r>
      <w:r>
        <w:rPr>
          <w:rFonts w:ascii="Times New Roman" w:cs="Times New Roman" w:eastAsia="Times New Roman" w:hAnsi="Times New Roman"/>
          <w:sz w:val="16"/>
          <w:szCs w:val="16"/>
          <w:color w:val="auto"/>
        </w:rPr>
        <w:t>. The production planning feature is designed to maximize a facility’s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utilization by executing a “best-fit” scheduling algorithm to selected Grow Plans across VFUs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 w:name="page7"/>
    <w:bookmarkEnd w:id="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981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73270" cy="6981825"/>
                    </a:xfrm>
                    <a:prstGeom prst="rect">
                      <a:avLst/>
                    </a:prstGeom>
                    <a:noFill/>
                  </pic:spPr>
                </pic:pic>
              </a:graphicData>
            </a:graphic>
          </wp:anchor>
        </w:drawing>
      </w:r>
    </w:p>
    <w:p>
      <w:pPr>
        <w:spacing w:after="0" w:line="260" w:lineRule="exact"/>
        <w:rPr>
          <w:sz w:val="20"/>
          <w:szCs w:val="20"/>
          <w:color w:val="auto"/>
        </w:rPr>
      </w:pPr>
    </w:p>
    <w:p>
      <w:pPr>
        <w:jc w:val="both"/>
        <w:ind w:left="1740" w:right="980" w:hanging="377"/>
        <w:spacing w:after="0" w:line="244" w:lineRule="auto"/>
        <w:tabs>
          <w:tab w:leader="none" w:pos="1740" w:val="left"/>
        </w:tabs>
        <w:numPr>
          <w:ilvl w:val="0"/>
          <w:numId w:val="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Workforce Management</w:t>
      </w:r>
      <w:r>
        <w:rPr>
          <w:rFonts w:ascii="Times New Roman" w:cs="Times New Roman" w:eastAsia="Times New Roman" w:hAnsi="Times New Roman"/>
          <w:sz w:val="16"/>
          <w:szCs w:val="16"/>
          <w:color w:val="auto"/>
        </w:rPr>
        <w:t>. Agrify Insights™ includes a workforce planning feature to assign tasks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staff. These tasks can be automatically assigned based on the user role or their knowledge, skills, and abilities. The calendar displays the estimated time required to complete plant-touching tasks on any given day.</w:t>
      </w:r>
    </w:p>
    <w:p>
      <w:pPr>
        <w:spacing w:after="0" w:line="92" w:lineRule="exact"/>
        <w:rPr>
          <w:rFonts w:ascii="Times New Roman" w:cs="Times New Roman" w:eastAsia="Times New Roman" w:hAnsi="Times New Roman"/>
          <w:sz w:val="16"/>
          <w:szCs w:val="16"/>
          <w:b w:val="1"/>
          <w:bCs w:val="1"/>
          <w:i w:val="1"/>
          <w:iCs w:val="1"/>
          <w:color w:val="auto"/>
        </w:rPr>
      </w:pPr>
    </w:p>
    <w:p>
      <w:pPr>
        <w:jc w:val="both"/>
        <w:ind w:left="1740" w:right="980" w:hanging="377"/>
        <w:spacing w:after="0" w:line="244" w:lineRule="auto"/>
        <w:tabs>
          <w:tab w:leader="none" w:pos="1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Automatic Notification System</w:t>
      </w:r>
      <w:r>
        <w:rPr>
          <w:rFonts w:ascii="Times New Roman" w:cs="Times New Roman" w:eastAsia="Times New Roman" w:hAnsi="Times New Roman"/>
          <w:sz w:val="16"/>
          <w:szCs w:val="16"/>
          <w:color w:val="auto"/>
        </w:rPr>
        <w:t>. Users can select to subscribe to anomalous events, and users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92" w:lineRule="exact"/>
        <w:rPr>
          <w:rFonts w:ascii="Times New Roman" w:cs="Times New Roman" w:eastAsia="Times New Roman" w:hAnsi="Times New Roman"/>
          <w:sz w:val="16"/>
          <w:szCs w:val="16"/>
          <w:color w:val="auto"/>
        </w:rPr>
      </w:pPr>
    </w:p>
    <w:p>
      <w:pPr>
        <w:ind w:left="1740" w:right="980" w:hanging="377"/>
        <w:spacing w:after="0" w:line="264" w:lineRule="auto"/>
        <w:tabs>
          <w:tab w:leader="none" w:pos="1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Preventative Maintenance</w:t>
      </w:r>
      <w:r>
        <w:rPr>
          <w:rFonts w:ascii="Times New Roman" w:cs="Times New Roman" w:eastAsia="Times New Roman" w:hAnsi="Times New Roman"/>
          <w:sz w:val="16"/>
          <w:szCs w:val="16"/>
          <w:color w:val="auto"/>
        </w:rPr>
        <w:t>. Our equipment and facility preventative maintenance schedules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tasks are contained, tracked, and monitored within Agrify Insights™.</w:t>
      </w:r>
    </w:p>
    <w:p>
      <w:pPr>
        <w:spacing w:after="0" w:line="75" w:lineRule="exact"/>
        <w:rPr>
          <w:rFonts w:ascii="Times New Roman" w:cs="Times New Roman" w:eastAsia="Times New Roman" w:hAnsi="Times New Roman"/>
          <w:sz w:val="16"/>
          <w:szCs w:val="16"/>
          <w:color w:val="auto"/>
        </w:rPr>
      </w:pPr>
    </w:p>
    <w:p>
      <w:pPr>
        <w:jc w:val="both"/>
        <w:ind w:left="1740" w:right="1000" w:hanging="377"/>
        <w:spacing w:after="0" w:line="249" w:lineRule="auto"/>
        <w:tabs>
          <w:tab w:leader="none" w:pos="17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Facility Infrastructure Controls</w:t>
      </w:r>
      <w:r>
        <w:rPr>
          <w:rFonts w:ascii="Times New Roman" w:cs="Times New Roman" w:eastAsia="Times New Roman" w:hAnsi="Times New Roman"/>
          <w:sz w:val="16"/>
          <w:szCs w:val="16"/>
          <w:color w:val="auto"/>
        </w:rPr>
        <w:t>. Agrify Insights™ controls the irrigation on a facility level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connects with the water chilled HVAC system and ambient lighting system, providing our customers with a central piece of software for facility management.</w:t>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Optimization at the Business Level</w:t>
      </w:r>
    </w:p>
    <w:p>
      <w:pPr>
        <w:spacing w:after="0" w:line="118" w:lineRule="exact"/>
        <w:rPr>
          <w:sz w:val="20"/>
          <w:szCs w:val="20"/>
          <w:color w:val="auto"/>
        </w:rPr>
      </w:pPr>
    </w:p>
    <w:p>
      <w:pPr>
        <w:jc w:val="both"/>
        <w:ind w:left="980" w:right="980" w:firstLine="384"/>
        <w:spacing w:after="0" w:line="247" w:lineRule="auto"/>
        <w:rPr>
          <w:sz w:val="20"/>
          <w:szCs w:val="20"/>
          <w:color w:val="auto"/>
        </w:rPr>
      </w:pPr>
      <w:r>
        <w:rPr>
          <w:rFonts w:ascii="Times New Roman" w:cs="Times New Roman" w:eastAsia="Times New Roman" w:hAnsi="Times New Roman"/>
          <w:sz w:val="16"/>
          <w:szCs w:val="16"/>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88" w:lineRule="exact"/>
        <w:rPr>
          <w:sz w:val="20"/>
          <w:szCs w:val="20"/>
          <w:color w:val="auto"/>
        </w:rPr>
      </w:pPr>
    </w:p>
    <w:p>
      <w:pPr>
        <w:jc w:val="both"/>
        <w:ind w:left="1740" w:right="980" w:hanging="377"/>
        <w:spacing w:after="0" w:line="244"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Consumables Procurement Integration</w:t>
      </w:r>
      <w:r>
        <w:rPr>
          <w:rFonts w:ascii="Times New Roman" w:cs="Times New Roman" w:eastAsia="Times New Roman" w:hAnsi="Times New Roman"/>
          <w:sz w:val="16"/>
          <w:szCs w:val="16"/>
          <w:color w:val="auto"/>
        </w:rPr>
        <w:t>. Each task can also be assigned a set of consumables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whose inventory will be reduced when the task is started. This feature can help customers manage supply levels and can automatically create purchase orders so that they never run out of required supplies.</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44"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Online Standard Operating Procedures (“SOPs’’) and Safety Datasheets</w:t>
      </w:r>
      <w:r>
        <w:rPr>
          <w:rFonts w:ascii="Times New Roman" w:cs="Times New Roman" w:eastAsia="Times New Roman" w:hAnsi="Times New Roman"/>
          <w:sz w:val="16"/>
          <w:szCs w:val="16"/>
          <w:color w:val="auto"/>
        </w:rPr>
        <w:t>. Agrify Insights™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hosts digital copies of our included Standard Operating Procedures and datasheets, or users can upload their own via our content management system, ensuring that the most recent version of SOPs and forms are available to users.</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Roles-Based Dashboards</w:t>
      </w:r>
      <w:r>
        <w:rPr>
          <w:rFonts w:ascii="Times New Roman" w:cs="Times New Roman" w:eastAsia="Times New Roman" w:hAnsi="Times New Roman"/>
          <w:sz w:val="16"/>
          <w:szCs w:val="16"/>
          <w:color w:val="auto"/>
        </w:rPr>
        <w:t>. Ability to obtain access to information specifically suited to your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workforce’s various needs. Facility owners have 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96" w:lineRule="exact"/>
        <w:rPr>
          <w:rFonts w:ascii="Times New Roman" w:cs="Times New Roman" w:eastAsia="Times New Roman" w:hAnsi="Times New Roman"/>
          <w:sz w:val="16"/>
          <w:szCs w:val="16"/>
          <w:color w:val="auto"/>
        </w:rPr>
      </w:pPr>
    </w:p>
    <w:p>
      <w:pPr>
        <w:jc w:val="both"/>
        <w:ind w:left="1740" w:right="1000" w:hanging="377"/>
        <w:spacing w:after="0" w:line="244"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Data Collection</w:t>
      </w:r>
      <w:r>
        <w:rPr>
          <w:rFonts w:ascii="Times New Roman" w:cs="Times New Roman" w:eastAsia="Times New Roman" w:hAnsi="Times New Roman"/>
          <w:sz w:val="16"/>
          <w:szCs w:val="16"/>
          <w:color w:val="auto"/>
        </w:rPr>
        <w:t>. Agrify Insights™ is a centralized repository for all data relating to the cultivation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aspects of our clients’ business, including research and development testing data, and the ability to capture and compare test results. By doing so, Agrify Insights™ becomes a customers’ cultivation statement of record.</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44"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Financial Simulator/What If Scenarios</w:t>
      </w:r>
      <w:r>
        <w:rPr>
          <w:rFonts w:ascii="Times New Roman" w:cs="Times New Roman" w:eastAsia="Times New Roman" w:hAnsi="Times New Roman"/>
          <w:sz w:val="16"/>
          <w:szCs w:val="16"/>
          <w:color w:val="auto"/>
        </w:rPr>
        <w:t>. Our operating expenses (“OpEx”) calculator enables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users to evaluate impacts to profitability by changing hundreds of attributes including, but not limited to, changes to costs in labor, electric, water, CO, and growing media as well as potential volatility in yields and pricing.</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49" w:lineRule="auto"/>
        <w:tabs>
          <w:tab w:leader="none" w:pos="17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Regulatory Reporting Integration. </w:t>
      </w:r>
      <w:r>
        <w:rPr>
          <w:rFonts w:ascii="Times New Roman" w:cs="Times New Roman" w:eastAsia="Times New Roman" w:hAnsi="Times New Roman"/>
          <w:sz w:val="16"/>
          <w:szCs w:val="16"/>
          <w:color w:val="auto"/>
        </w:rPr>
        <w:t>We have integrated our software with Metrc, a leading seed-to-harvest compliance management and tracking solution, which will enable our customers to handle most regulatory reporting directly through Agrify Insights™.</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i w:val="1"/>
          <w:iCs w:val="1"/>
          <w:color w:val="auto"/>
        </w:rPr>
        <w:t>Cultivation Deployment Options</w:t>
      </w:r>
    </w:p>
    <w:p>
      <w:pPr>
        <w:spacing w:after="0" w:line="19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Rapid Deployment Pack (“RDP”) Program</w:t>
      </w:r>
    </w:p>
    <w:p>
      <w:pPr>
        <w:spacing w:after="0" w:line="118" w:lineRule="exact"/>
        <w:rPr>
          <w:sz w:val="20"/>
          <w:szCs w:val="20"/>
          <w:color w:val="auto"/>
        </w:rPr>
      </w:pPr>
    </w:p>
    <w:p>
      <w:pPr>
        <w:jc w:val="both"/>
        <w:ind w:left="980" w:right="980" w:firstLine="384"/>
        <w:spacing w:after="0" w:line="289" w:lineRule="auto"/>
        <w:rPr>
          <w:sz w:val="20"/>
          <w:szCs w:val="20"/>
          <w:color w:val="auto"/>
        </w:rPr>
      </w:pPr>
      <w:r>
        <w:rPr>
          <w:rFonts w:ascii="Times New Roman" w:cs="Times New Roman" w:eastAsia="Times New Roman" w:hAnsi="Times New Roman"/>
          <w:sz w:val="14"/>
          <w:szCs w:val="14"/>
          <w:color w:val="auto"/>
        </w:rPr>
        <w:t>The RDP program was established in 2022 to make it easier for a broader range of customers to access our award-winning cultivation technology. Featuring our flagship VFUs in a prepackaged, self-contained, and quick-to-deploy format, the thoughtfully designed and engineered RDPs offer an accelerated path to production, cash flow, and profitability for customers. By removing certain barriers and points of friction with the RDPs, we can</w:t>
      </w: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 w:name="page8"/>
    <w:bookmarkEnd w:id="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974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73270" cy="6974205"/>
                    </a:xfrm>
                    <a:prstGeom prst="rect">
                      <a:avLst/>
                    </a:prstGeom>
                    <a:noFill/>
                  </pic:spPr>
                </pic:pic>
              </a:graphicData>
            </a:graphic>
          </wp:anchor>
        </w:drawing>
      </w:r>
    </w:p>
    <w:p>
      <w:pPr>
        <w:spacing w:after="0" w:line="264" w:lineRule="exact"/>
        <w:rPr>
          <w:sz w:val="20"/>
          <w:szCs w:val="20"/>
          <w:color w:val="auto"/>
        </w:rPr>
      </w:pPr>
    </w:p>
    <w:p>
      <w:pPr>
        <w:jc w:val="both"/>
        <w:ind w:left="980" w:right="980"/>
        <w:spacing w:after="0" w:line="247" w:lineRule="auto"/>
        <w:rPr>
          <w:sz w:val="20"/>
          <w:szCs w:val="20"/>
          <w:color w:val="auto"/>
        </w:rPr>
      </w:pPr>
      <w:r>
        <w:rPr>
          <w:rFonts w:ascii="Times New Roman" w:cs="Times New Roman" w:eastAsia="Times New Roman" w:hAnsi="Times New Roman"/>
          <w:sz w:val="16"/>
          <w:szCs w:val="16"/>
          <w:color w:val="auto"/>
        </w:rPr>
        <w:t>provide customers who have properly equipped facilities with best- in-class cultivation capabilities in potentially as little as 90 days. Once installed, the modular nature of the RDPs allows for seamless expansion opportunities, enabling customers the flexibility to grow and scale.</w:t>
      </w:r>
    </w:p>
    <w:p>
      <w:pPr>
        <w:spacing w:after="0" w:line="16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i w:val="1"/>
          <w:iCs w:val="1"/>
          <w:color w:val="auto"/>
        </w:rPr>
        <w:t>TTK Solution</w:t>
      </w:r>
    </w:p>
    <w:p>
      <w:pPr>
        <w:spacing w:after="0" w:line="118"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While we do not intend to enter into any new TTK Solutions for the foreseeable future, we have deployed this program with certain key customers. We also believe that our data -driven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engage qualified cannabis operators in the early phases of their business plans and provide critical support, typically over a 10-year period.</w:t>
      </w:r>
    </w:p>
    <w:p>
      <w:pPr>
        <w:spacing w:after="0" w:line="101" w:lineRule="exact"/>
        <w:rPr>
          <w:sz w:val="20"/>
          <w:szCs w:val="20"/>
          <w:color w:val="auto"/>
        </w:rPr>
      </w:pPr>
    </w:p>
    <w:p>
      <w:pPr>
        <w:jc w:val="both"/>
        <w:ind w:left="980" w:right="980" w:firstLine="384"/>
        <w:spacing w:after="0" w:line="237" w:lineRule="auto"/>
        <w:rPr>
          <w:sz w:val="20"/>
          <w:szCs w:val="20"/>
          <w:color w:val="auto"/>
        </w:rPr>
      </w:pPr>
      <w:r>
        <w:rPr>
          <w:rFonts w:ascii="Times New Roman" w:cs="Times New Roman" w:eastAsia="Times New Roman" w:hAnsi="Times New Roman"/>
          <w:sz w:val="16"/>
          <w:szCs w:val="16"/>
          <w:color w:val="auto"/>
        </w:rPr>
        <w:t>Our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needed, which is why we have brought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components working together optimally. Despite the rapidly growing cannabis and hemp industry, many growers and processors face some significant obstacles to their operations that pose a serious threat to their long-term viability.</w:t>
      </w:r>
    </w:p>
    <w:p>
      <w:pPr>
        <w:spacing w:after="0" w:line="104"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We believe Agrify’s proprietary TTK Solution is the key to resolving many of the challenges our customers encounter. We have set ourselves apart by bringing to market a horticulturist expertise, bundled solution of state-of-the- art equipment, software and services that is turn-key, end-to-end, fully integrated and optimized for precision growing and extraction. Agrify’s TTK Solution provides customers with the following bundled equipment and services:</w:t>
      </w:r>
    </w:p>
    <w:p>
      <w:pPr>
        <w:spacing w:after="0" w:line="97" w:lineRule="exact"/>
        <w:rPr>
          <w:sz w:val="20"/>
          <w:szCs w:val="20"/>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design, lab design, and engineering services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and lab build-out project management</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VFUs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data driven Agrify Insights™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extraction products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Expert horticulturist training and ongoing support</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i w:val="1"/>
          <w:iCs w:val="1"/>
          <w:color w:val="auto"/>
        </w:rPr>
        <w:t>Extraction Solutions</w:t>
      </w:r>
    </w:p>
    <w:p>
      <w:pPr>
        <w:spacing w:after="0" w:line="120"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While we do not extract, come in contact with, distribute, process, or dispense cannabis or hemp or any cannabis or hemp derivatives that are currently prohibited under U.S.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101"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Cannabis represents a potential cornucopia of medicinal and pharmaceutical advancement. Cannabis produces over 550 different phytochemicals, over 120 of which are cannabinoids like tetrahydrocannabinol (“THC”) and cannabidiol (“CBD”) .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 w:name="page9"/>
    <w:bookmarkEnd w:id="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433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3270" cy="6433185"/>
                    </a:xfrm>
                    <a:prstGeom prst="rect">
                      <a:avLst/>
                    </a:prstGeom>
                    <a:noFill/>
                  </pic:spPr>
                </pic:pic>
              </a:graphicData>
            </a:graphic>
          </wp:anchor>
        </w:drawing>
      </w:r>
    </w:p>
    <w:p>
      <w:pPr>
        <w:spacing w:after="0" w:line="264"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As stated previously, 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and have supported and continue to support over 90% of legal operators in one fashion or another.</w:t>
      </w:r>
    </w:p>
    <w:p>
      <w:pPr>
        <w:spacing w:after="0" w:line="95"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Combined, these four acquisitions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97"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Our extraction division now offers cutting-edge technologies and end-to-end service solutions. Solutions from the extraction division include equipment, technology, facility and lab design, training,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97"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These acquisitions have greatly expanded our product and service offerings in the post-harvest segment of the supply chain. We believe we are positioning Agrify as one of the most vertically integrated total solutions provider for our cannabis and hemp customers. According to a report published by Grand View Research in November 2022, the global cannabis extraction market is expected to potentially grow to $15.5 billion by 2030, and as the cannabis industry continues to experience rapid growth globally, we expect the sales of our extraction solutions to follow a similar growth trajectory.</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Cannabis Market Opportunity</w:t>
      </w:r>
    </w:p>
    <w:p>
      <w:pPr>
        <w:spacing w:after="0" w:line="118" w:lineRule="exact"/>
        <w:rPr>
          <w:sz w:val="20"/>
          <w:szCs w:val="20"/>
          <w:color w:val="auto"/>
        </w:rPr>
      </w:pPr>
    </w:p>
    <w:p>
      <w:pPr>
        <w:jc w:val="both"/>
        <w:ind w:left="980" w:right="980" w:firstLine="384"/>
        <w:spacing w:after="0" w:line="247" w:lineRule="auto"/>
        <w:rPr>
          <w:sz w:val="20"/>
          <w:szCs w:val="20"/>
          <w:color w:val="auto"/>
        </w:rPr>
      </w:pPr>
      <w:r>
        <w:rPr>
          <w:rFonts w:ascii="Times New Roman" w:cs="Times New Roman" w:eastAsia="Times New Roman" w:hAnsi="Times New Roman"/>
          <w:sz w:val="16"/>
          <w:szCs w:val="16"/>
          <w:color w:val="auto"/>
        </w:rPr>
        <w:t>While we do not cultivate, come in contact with, distribute or dispense cannabis or any cannabis derivatives that are currently prohibited under U.S. federal law, our cultivation solutions can be used within state-licensed indoor grow facilities by cannabis cultivators if they choose to do so.</w:t>
      </w:r>
    </w:p>
    <w:p>
      <w:pPr>
        <w:spacing w:after="0" w:line="92" w:lineRule="exact"/>
        <w:rPr>
          <w:sz w:val="20"/>
          <w:szCs w:val="20"/>
          <w:color w:val="auto"/>
        </w:rPr>
      </w:pPr>
    </w:p>
    <w:p>
      <w:pPr>
        <w:jc w:val="both"/>
        <w:ind w:left="980" w:right="980" w:firstLine="384"/>
        <w:spacing w:after="0" w:line="237" w:lineRule="auto"/>
        <w:rPr>
          <w:sz w:val="20"/>
          <w:szCs w:val="20"/>
          <w:color w:val="auto"/>
        </w:rPr>
      </w:pPr>
      <w:r>
        <w:rPr>
          <w:rFonts w:ascii="Times New Roman" w:cs="Times New Roman" w:eastAsia="Times New Roman" w:hAnsi="Times New Roman"/>
          <w:sz w:val="16"/>
          <w:szCs w:val="16"/>
          <w:color w:val="auto"/>
        </w:rPr>
        <w:t>In the U.S., the development and growth of the regulated medical and recreational (adult-use)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January 2023, 39 states have passed laws allowing their citizens to use medical cannabis. On top of this medical condition growth trend, there has been a slow but steady increase in the number of states that have chosen to legalize cannabis for recreational use. As of January 2023, 21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70 countries outside the U.S. currently have medicinal cannabis regulation in force, and that number is expected to significantly increase over time.</w:t>
      </w:r>
    </w:p>
    <w:p>
      <w:pPr>
        <w:spacing w:after="0" w:line="97"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Given that the market size of legal cannabis in the U.S. in 2022 was estimated to be $27.7 billion according to MarketsandMarkets research Pvt Ltd, and 88% of legal U.S. cannabis cultivators grow indoors (Fluence 2022 Industry lighting report), we estimate that the indoor segment of the legal U.S. cannabis sector is a $10 billion market with the expectation that there will be even more growth on the horizon. A recent report from statista.com projected global cannabis revenue to reach $ 47.2 billion in 2023, with annual growth rate of 12.69%, with a projected global market volume of $76.1 billion by 2027.</w:t>
      </w:r>
    </w:p>
    <w:p>
      <w:pPr>
        <w:spacing w:after="0" w:line="101" w:lineRule="exact"/>
        <w:rPr>
          <w:sz w:val="20"/>
          <w:szCs w:val="20"/>
          <w:color w:val="auto"/>
        </w:rPr>
      </w:pPr>
    </w:p>
    <w:p>
      <w:pPr>
        <w:jc w:val="both"/>
        <w:ind w:left="980" w:right="960" w:firstLine="384"/>
        <w:spacing w:after="0" w:line="243" w:lineRule="auto"/>
        <w:rPr>
          <w:sz w:val="20"/>
          <w:szCs w:val="20"/>
          <w:color w:val="auto"/>
        </w:rPr>
      </w:pPr>
      <w:r>
        <w:rPr>
          <w:rFonts w:ascii="Times New Roman" w:cs="Times New Roman" w:eastAsia="Times New Roman" w:hAnsi="Times New Roman"/>
          <w:sz w:val="16"/>
          <w:szCs w:val="16"/>
          <w:color w:val="auto"/>
        </w:rPr>
        <w:t>The different cultivation environments for cannabis each have advantages and disadvantages, and this leads to a variance in price points based on quality, actual and perceived, and process. Based on the Fluence 2022 state of the cannabis industry lighting report, 88% of cultivators have some or all of their facilities growing indoors, up 9% over 2021.</w:t>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 w:name="page10"/>
    <w:bookmarkEnd w:id="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783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73270" cy="6783705"/>
                    </a:xfrm>
                    <a:prstGeom prst="rect">
                      <a:avLst/>
                    </a:prstGeom>
                    <a:noFill/>
                  </pic:spPr>
                </pic:pic>
              </a:graphicData>
            </a:graphic>
          </wp:anchor>
        </w:drawing>
      </w:r>
    </w:p>
    <w:p>
      <w:pPr>
        <w:spacing w:after="0" w:line="3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18" w:lineRule="exact"/>
        <w:rPr>
          <w:sz w:val="20"/>
          <w:szCs w:val="20"/>
          <w:color w:val="auto"/>
        </w:rPr>
      </w:pPr>
    </w:p>
    <w:p>
      <w:pPr>
        <w:ind w:left="980" w:right="1000" w:firstLine="384"/>
        <w:spacing w:after="0" w:line="259" w:lineRule="auto"/>
        <w:rPr>
          <w:sz w:val="20"/>
          <w:szCs w:val="20"/>
          <w:color w:val="auto"/>
        </w:rPr>
      </w:pPr>
      <w:r>
        <w:rPr>
          <w:rFonts w:ascii="Times New Roman" w:cs="Times New Roman" w:eastAsia="Times New Roman" w:hAnsi="Times New Roman"/>
          <w:sz w:val="16"/>
          <w:szCs w:val="16"/>
          <w:color w:val="auto"/>
        </w:rPr>
        <w:t>We believe our business has, and our future success will be driven by, the following competitive strengths:</w:t>
      </w:r>
    </w:p>
    <w:p>
      <w:pPr>
        <w:spacing w:after="0" w:line="79" w:lineRule="exact"/>
        <w:rPr>
          <w:sz w:val="20"/>
          <w:szCs w:val="20"/>
          <w:color w:val="auto"/>
        </w:rPr>
      </w:pPr>
    </w:p>
    <w:p>
      <w:pPr>
        <w:jc w:val="both"/>
        <w:ind w:left="1740" w:right="980" w:hanging="377"/>
        <w:spacing w:after="0" w:line="239" w:lineRule="auto"/>
        <w:tabs>
          <w:tab w:leader="none" w:pos="1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Innovative Technology in an Attractive Growing Industry</w:t>
      </w:r>
      <w:r>
        <w:rPr>
          <w:rFonts w:ascii="Times New Roman" w:cs="Times New Roman" w:eastAsia="Times New Roman" w:hAnsi="Times New Roman"/>
          <w:sz w:val="16"/>
          <w:szCs w:val="16"/>
          <w:color w:val="auto"/>
        </w:rPr>
        <w:t>. Our innovative solutions are aimed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large and growing U.S. domestic and global markets. We believe we are the only provider of a fully integrated end-to-end hardware and software turnkey solution for indoor cultivation and extraction facilities that allows customers to produce high-quality products with consistency at scale while meeting the growing demand and needs of end users at a relatively low cost. As such, we believe we have a first mover advantage due to innovating this new type of smart cannabis and hemp cultivation and processing solution, which is already designed, manufactured, and implemented in several commercial scale deployments across multiple states within the U.S.</w:t>
      </w:r>
    </w:p>
    <w:p>
      <w:pPr>
        <w:spacing w:after="0" w:line="94" w:lineRule="exact"/>
        <w:rPr>
          <w:rFonts w:ascii="Times New Roman" w:cs="Times New Roman" w:eastAsia="Times New Roman" w:hAnsi="Times New Roman"/>
          <w:sz w:val="16"/>
          <w:szCs w:val="16"/>
          <w:color w:val="auto"/>
        </w:rPr>
      </w:pPr>
    </w:p>
    <w:p>
      <w:pPr>
        <w:jc w:val="both"/>
        <w:ind w:left="1740" w:right="980" w:hanging="377"/>
        <w:spacing w:after="0" w:line="30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Integrated Proprietary Components</w:t>
      </w:r>
      <w:r>
        <w:rPr>
          <w:rFonts w:ascii="Times New Roman" w:cs="Times New Roman" w:eastAsia="Times New Roman" w:hAnsi="Times New Roman"/>
          <w:sz w:val="14"/>
          <w:szCs w:val="14"/>
          <w:color w:val="auto"/>
        </w:rPr>
        <w:t>. We design and create our own hardware, software,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SOPs from the ground up rather than buying piecemeal from third parties. We take a systems-engineered integrated approach that we believe has inherent advantages over other, ad-hoc systems.</w:t>
      </w:r>
    </w:p>
    <w:p>
      <w:pPr>
        <w:spacing w:after="0" w:line="52" w:lineRule="exact"/>
        <w:rPr>
          <w:rFonts w:ascii="Times New Roman" w:cs="Times New Roman" w:eastAsia="Times New Roman" w:hAnsi="Times New Roman"/>
          <w:sz w:val="14"/>
          <w:szCs w:val="14"/>
          <w:color w:val="auto"/>
        </w:rPr>
      </w:pPr>
    </w:p>
    <w:p>
      <w:pPr>
        <w:jc w:val="both"/>
        <w:ind w:left="1740" w:right="980" w:hanging="377"/>
        <w:spacing w:after="0" w:line="239" w:lineRule="auto"/>
        <w:tabs>
          <w:tab w:leader="none" w:pos="1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Emphasis on Precision and Consistency Through Our Proprietary Grow Solutions</w:t>
      </w:r>
      <w:r>
        <w:rPr>
          <w:rFonts w:ascii="Times New Roman" w:cs="Times New Roman" w:eastAsia="Times New Roman" w:hAnsi="Times New Roman"/>
          <w:sz w:val="16"/>
          <w:szCs w:val="16"/>
          <w:color w:val="auto"/>
        </w:rPr>
        <w:t>. While being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the variables that influence harvests with an unparalleled level of precision. The by-product of our TTK Solution is that our customers can create consistent high-quality products with repeatability from anywhere similar to any other consumer product company that provides a branded food or drink product.</w:t>
      </w:r>
    </w:p>
    <w:p>
      <w:pPr>
        <w:spacing w:after="0" w:line="94" w:lineRule="exact"/>
        <w:rPr>
          <w:rFonts w:ascii="Times New Roman" w:cs="Times New Roman" w:eastAsia="Times New Roman" w:hAnsi="Times New Roman"/>
          <w:sz w:val="16"/>
          <w:szCs w:val="16"/>
          <w:color w:val="auto"/>
        </w:rPr>
      </w:pPr>
    </w:p>
    <w:p>
      <w:pPr>
        <w:jc w:val="both"/>
        <w:ind w:left="1740" w:right="980" w:hanging="377"/>
        <w:spacing w:after="0" w:line="242" w:lineRule="auto"/>
        <w:tabs>
          <w:tab w:leader="none" w:pos="1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Emphasis on Precision and Consistency Through Our Extraction Division. </w:t>
      </w:r>
      <w:r>
        <w:rPr>
          <w:rFonts w:ascii="Times New Roman" w:cs="Times New Roman" w:eastAsia="Times New Roman" w:hAnsi="Times New Roman"/>
          <w:sz w:val="16"/>
          <w:szCs w:val="16"/>
          <w:color w:val="auto"/>
        </w:rPr>
        <w:t>In addition to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premium grow solutions, we have begun offering our customers industry leading cannabis and hemp extraction equipment, design, and training solutions. By acquiring leading brands earlier this year, we are immediately able to offer our customers premium solutions to meet their processing needs in this rapidly expanding sector.</w:t>
      </w:r>
    </w:p>
    <w:p>
      <w:pPr>
        <w:spacing w:after="0" w:line="92" w:lineRule="exact"/>
        <w:rPr>
          <w:rFonts w:ascii="Times New Roman" w:cs="Times New Roman" w:eastAsia="Times New Roman" w:hAnsi="Times New Roman"/>
          <w:sz w:val="16"/>
          <w:szCs w:val="16"/>
          <w:color w:val="auto"/>
        </w:rPr>
      </w:pPr>
    </w:p>
    <w:p>
      <w:pPr>
        <w:jc w:val="both"/>
        <w:ind w:left="1740" w:right="980" w:hanging="377"/>
        <w:spacing w:after="0" w:line="282" w:lineRule="auto"/>
        <w:tabs>
          <w:tab w:leader="none" w:pos="1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Market Knowledge and Understanding</w:t>
      </w:r>
      <w:r>
        <w:rPr>
          <w:rFonts w:ascii="Times New Roman" w:cs="Times New Roman" w:eastAsia="Times New Roman" w:hAnsi="Times New Roman"/>
          <w:sz w:val="14"/>
          <w:szCs w:val="14"/>
          <w:color w:val="auto"/>
        </w:rPr>
        <w:t>. We have extensive experience with controlled agriculture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environments, extraction, post-processing, and 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p>
      <w:pPr>
        <w:spacing w:after="0" w:line="65" w:lineRule="exact"/>
        <w:rPr>
          <w:rFonts w:ascii="Times New Roman" w:cs="Times New Roman" w:eastAsia="Times New Roman" w:hAnsi="Times New Roman"/>
          <w:sz w:val="14"/>
          <w:szCs w:val="14"/>
          <w:color w:val="auto"/>
        </w:rPr>
      </w:pPr>
    </w:p>
    <w:p>
      <w:pPr>
        <w:jc w:val="both"/>
        <w:ind w:left="1740" w:right="980" w:hanging="377"/>
        <w:spacing w:after="0" w:line="239" w:lineRule="auto"/>
        <w:tabs>
          <w:tab w:leader="none" w:pos="17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Differentiated Business Model</w:t>
      </w:r>
      <w:r>
        <w:rPr>
          <w:rFonts w:ascii="Times New Roman" w:cs="Times New Roman" w:eastAsia="Times New Roman" w:hAnsi="Times New Roman"/>
          <w:sz w:val="16"/>
          <w:szCs w:val="16"/>
          <w:color w:val="auto"/>
        </w:rPr>
        <w:t>. Unlike many of our competitors, we offer a diversified mix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hardware, software, and services, which leads to potential multiple revenue streams. Given the nature of our deployments, we become deeply embedded in our customers’ operations through our numerous product offerings. This puts us in a position where customer success is directly tied to our equipment. Our ability to differentiate our business model provides us with multiple opportunities to expand our installed user base, which we believe will lead to future high-margin and stable recurring SaaS revenues, via our Agrify Insights™ and production fee revenues.</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18"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We have developed a multi-pronged growth strategy as described below to help us capitalize on the sizable opportunity at hand. Through methodical sales and marketing efforts, cultivation and extraction solutions, and scale-up manufacturing, we believe we have implemented several key initiatives we can use to grow our business more effectively. We also intend to opportunistically pursue the strategies described below to continue our upward trajectory and enhance shareholder value. We believe we have significantly improved our new bookings and qualified pipeline. With our expanded product line that includes quality extraction solutions, we have become more attractive to our prospects and customers, enhancing our overall appeal and the scope of opportunities we are able to pursue. We expect our qualified pipeline and new bookings of opportunities to continue to grow.</w:t>
      </w: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 w:name="page11"/>
    <w:bookmarkEnd w:id="1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012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3270" cy="7012305"/>
                    </a:xfrm>
                    <a:prstGeom prst="rect">
                      <a:avLst/>
                    </a:prstGeom>
                    <a:noFill/>
                  </pic:spPr>
                </pic:pic>
              </a:graphicData>
            </a:graphic>
          </wp:anchor>
        </w:drawing>
      </w:r>
    </w:p>
    <w:p>
      <w:pPr>
        <w:spacing w:after="0" w:line="3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Regulatory Implications of Providing Equipment and Services in the Cannabis and Hemp Industry</w:t>
      </w:r>
    </w:p>
    <w:p>
      <w:pPr>
        <w:spacing w:after="0" w:line="118" w:lineRule="exact"/>
        <w:rPr>
          <w:sz w:val="20"/>
          <w:szCs w:val="20"/>
          <w:color w:val="auto"/>
        </w:rPr>
      </w:pPr>
    </w:p>
    <w:p>
      <w:pPr>
        <w:jc w:val="both"/>
        <w:ind w:left="980" w:right="980" w:firstLine="384"/>
        <w:spacing w:after="0" w:line="275" w:lineRule="auto"/>
        <w:rPr>
          <w:sz w:val="20"/>
          <w:szCs w:val="20"/>
          <w:color w:val="auto"/>
        </w:rPr>
      </w:pPr>
      <w:r>
        <w:rPr>
          <w:rFonts w:ascii="Times New Roman" w:cs="Times New Roman" w:eastAsia="Times New Roman" w:hAnsi="Times New Roman"/>
          <w:sz w:val="14"/>
          <w:szCs w:val="14"/>
          <w:color w:val="auto"/>
        </w:rPr>
        <w:t>We sell products and services that end users may purchase for use in industries or segments, including the growing and processing of cannabis and hemp, which are subject to varying, inconsistent, and rapidly changing laws, regulations, administrative practices, enforcement approaches, judicial interpretations, and consumer perceptions. For example, certain countries and 38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spacing w:after="0" w:line="256" w:lineRule="exact"/>
        <w:rPr>
          <w:sz w:val="20"/>
          <w:szCs w:val="20"/>
          <w:color w:val="auto"/>
        </w:rPr>
      </w:pPr>
    </w:p>
    <w:p>
      <w:pPr>
        <w:jc w:val="both"/>
        <w:ind w:left="980" w:right="980" w:firstLine="384"/>
        <w:spacing w:after="0" w:line="237" w:lineRule="auto"/>
        <w:rPr>
          <w:sz w:val="20"/>
          <w:szCs w:val="20"/>
          <w:color w:val="auto"/>
        </w:rPr>
      </w:pPr>
      <w:r>
        <w:rPr>
          <w:rFonts w:ascii="Times New Roman" w:cs="Times New Roman" w:eastAsia="Times New Roman" w:hAnsi="Times New Roman"/>
          <w:sz w:val="16"/>
          <w:szCs w:val="16"/>
          <w:color w:val="auto"/>
        </w:rPr>
        <w:t>Although the majority of states now have laws that regulate or decriminalize various types of cannabis use, marijuana remains a Schedule I drug under the Controlled Substances Act, making it illegal under federal law in the U.S. to, among other things, cultivate, distribute or possess cannabis in the U.S.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U.S. may form the basis for prosecution under applicable U.S. federal money laundering legislation. The approach to enforcement of such laws by the federal government in the U.S. has trended toward non-enforcement against individuals and businesses that comply with medical or adult- use cannabis regulatory programs in states where such programs are legal, strict compliance with state laws with respect to cannabis.</w:t>
      </w:r>
    </w:p>
    <w:p>
      <w:pPr>
        <w:spacing w:after="0" w:line="99"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non-licensed cannabis operators, state and local taxation of regulated cannabis products, local municipality bans on operations and operator licensing processes and renewals.</w:t>
      </w:r>
    </w:p>
    <w:p>
      <w:pPr>
        <w:spacing w:after="0" w:line="98" w:lineRule="exact"/>
        <w:rPr>
          <w:sz w:val="20"/>
          <w:szCs w:val="20"/>
          <w:color w:val="auto"/>
        </w:rPr>
      </w:pPr>
    </w:p>
    <w:p>
      <w:pPr>
        <w:jc w:val="both"/>
        <w:ind w:left="980" w:right="980" w:firstLine="384"/>
        <w:spacing w:after="0" w:line="289" w:lineRule="auto"/>
        <w:rPr>
          <w:sz w:val="20"/>
          <w:szCs w:val="20"/>
          <w:color w:val="auto"/>
        </w:rPr>
      </w:pPr>
      <w:r>
        <w:rPr>
          <w:rFonts w:ascii="Times New Roman" w:cs="Times New Roman" w:eastAsia="Times New Roman" w:hAnsi="Times New Roman"/>
          <w:sz w:val="14"/>
          <w:szCs w:val="14"/>
          <w:color w:val="auto"/>
        </w:rPr>
        <w:t>As part of its rigorous due diligence policy on all potential customers, we carefully review the appropriate licensure of each potential customer in the cannabis and hemp industry for compliance with applicable local, state, and federal laws. We are not involved in the cultivation, processing, or retail of cannabis products and never takes a controlling interest in any of the operations of its cannabis customers as a matter of state law.</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 and Smaller Reporting Company</w:t>
      </w:r>
    </w:p>
    <w:p>
      <w:pPr>
        <w:spacing w:after="0" w:line="118"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281" w:lineRule="exact"/>
        <w:rPr>
          <w:sz w:val="20"/>
          <w:szCs w:val="20"/>
          <w:color w:val="auto"/>
        </w:rPr>
      </w:pPr>
    </w:p>
    <w:p>
      <w:pPr>
        <w:ind w:left="1740" w:right="980" w:hanging="377"/>
        <w:spacing w:after="0" w:line="259" w:lineRule="auto"/>
        <w:tabs>
          <w:tab w:leader="none" w:pos="1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an auditor to report on our internal controls over financial reporting pursuant to Section 404(b) of the Sarbanes-Oxley Act of 2002, or the Sarbanes-Oxley Act;</w:t>
      </w:r>
    </w:p>
    <w:p>
      <w:pPr>
        <w:spacing w:after="0" w:line="83" w:lineRule="exact"/>
        <w:rPr>
          <w:rFonts w:ascii="Times New Roman" w:cs="Times New Roman" w:eastAsia="Times New Roman" w:hAnsi="Times New Roman"/>
          <w:sz w:val="16"/>
          <w:szCs w:val="16"/>
          <w:color w:val="auto"/>
        </w:rPr>
      </w:pPr>
    </w:p>
    <w:p>
      <w:pPr>
        <w:jc w:val="both"/>
        <w:ind w:left="1740" w:right="980" w:hanging="377"/>
        <w:spacing w:after="0" w:line="243" w:lineRule="auto"/>
        <w:tabs>
          <w:tab w:leader="none" w:pos="1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95"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certain executive compensation matters to shareholder advisory votes, such as “say-on-pay,” “say-on-frequency,” and “say-on-golden parachutes;” or</w:t>
      </w: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 w:name="page12"/>
    <w:bookmarkEnd w:id="1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058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3270" cy="7058025"/>
                    </a:xfrm>
                    <a:prstGeom prst="rect">
                      <a:avLst/>
                    </a:prstGeom>
                    <a:noFill/>
                  </pic:spPr>
                </pic:pic>
              </a:graphicData>
            </a:graphic>
          </wp:anchor>
        </w:drawing>
      </w:r>
    </w:p>
    <w:p>
      <w:pPr>
        <w:spacing w:after="0" w:line="264" w:lineRule="exact"/>
        <w:rPr>
          <w:sz w:val="20"/>
          <w:szCs w:val="20"/>
          <w:color w:val="auto"/>
        </w:rPr>
      </w:pPr>
    </w:p>
    <w:p>
      <w:pPr>
        <w:jc w:val="both"/>
        <w:ind w:left="1740" w:right="980" w:hanging="377"/>
        <w:spacing w:after="0" w:line="247" w:lineRule="auto"/>
        <w:tabs>
          <w:tab w:leader="none" w:pos="17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92" w:lineRule="exact"/>
        <w:rPr>
          <w:sz w:val="20"/>
          <w:szCs w:val="20"/>
          <w:color w:val="auto"/>
        </w:rPr>
      </w:pPr>
    </w:p>
    <w:p>
      <w:pPr>
        <w:ind w:left="980" w:right="1000" w:firstLine="384"/>
        <w:spacing w:after="0" w:line="259" w:lineRule="auto"/>
        <w:rPr>
          <w:sz w:val="20"/>
          <w:szCs w:val="20"/>
          <w:color w:val="auto"/>
        </w:rPr>
      </w:pPr>
      <w:r>
        <w:rPr>
          <w:rFonts w:ascii="Times New Roman" w:cs="Times New Roman" w:eastAsia="Times New Roman" w:hAnsi="Times New Roman"/>
          <w:sz w:val="16"/>
          <w:szCs w:val="16"/>
          <w:color w:val="auto"/>
        </w:rPr>
        <w:t>In addition, the JOBS Act provides that an “emerging growth company” can use the extended transition period for complying with new or revised accounting standards.</w:t>
      </w:r>
    </w:p>
    <w:p>
      <w:pPr>
        <w:spacing w:after="0" w:line="8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6"/>
          <w:szCs w:val="16"/>
          <w:color w:val="auto"/>
        </w:rPr>
        <w:t>We will remain an “emerging growth company” until the earliest to occur of:</w:t>
      </w:r>
    </w:p>
    <w:p>
      <w:pPr>
        <w:spacing w:after="0" w:line="116" w:lineRule="exact"/>
        <w:rPr>
          <w:sz w:val="20"/>
          <w:szCs w:val="20"/>
          <w:color w:val="auto"/>
        </w:rPr>
      </w:pPr>
    </w:p>
    <w:p>
      <w:pPr>
        <w:ind w:left="1740" w:hanging="377"/>
        <w:spacing w:after="0"/>
        <w:tabs>
          <w:tab w:leader="none" w:pos="1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reporting $1 billion or more in annual gross revenues;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issuance, in a three-year period, of more than $1 billion in non-convertible debt;</w:t>
      </w:r>
    </w:p>
    <w:p>
      <w:pPr>
        <w:spacing w:after="0" w:line="116"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end of the fiscal year in which the market value of our common stock held by non-affiliates exceeds $700 million on the last business day of our second fiscal quarter; and</w:t>
      </w:r>
    </w:p>
    <w:p>
      <w:pPr>
        <w:spacing w:after="0" w:line="83"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December 31, 2026.</w:t>
      </w:r>
    </w:p>
    <w:p>
      <w:pPr>
        <w:spacing w:after="0" w:line="116" w:lineRule="exact"/>
        <w:rPr>
          <w:sz w:val="20"/>
          <w:szCs w:val="20"/>
          <w:color w:val="auto"/>
        </w:rPr>
      </w:pPr>
    </w:p>
    <w:p>
      <w:pPr>
        <w:jc w:val="both"/>
        <w:ind w:left="980" w:right="980" w:firstLine="384"/>
        <w:spacing w:after="0" w:line="247" w:lineRule="auto"/>
        <w:rPr>
          <w:sz w:val="20"/>
          <w:szCs w:val="20"/>
          <w:color w:val="auto"/>
        </w:rPr>
      </w:pPr>
      <w:r>
        <w:rPr>
          <w:rFonts w:ascii="Times New Roman" w:cs="Times New Roman" w:eastAsia="Times New Roman" w:hAnsi="Times New Roman"/>
          <w:sz w:val="16"/>
          <w:szCs w:val="16"/>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92"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Note Acquisition and Warrant Issuance</w:t>
      </w:r>
    </w:p>
    <w:p>
      <w:pPr>
        <w:spacing w:after="0" w:line="118"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On October 27, 2023, following the execution of the Modification Agreement (as defined below), CP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As a condition to the Note Purchase, we and the New Lender entered into an acknowledgment and release (the “Release Agreement”) with the Former Lender, pursuant to which we and the New Lender released the Former Lender from any claims, demands, actions, suits, obligations and causes of action arising on or before the date thereof.</w:t>
      </w:r>
    </w:p>
    <w:p>
      <w:pPr>
        <w:spacing w:after="0" w:line="98" w:lineRule="exact"/>
        <w:rPr>
          <w:sz w:val="20"/>
          <w:szCs w:val="20"/>
          <w:color w:val="auto"/>
        </w:rPr>
      </w:pPr>
    </w:p>
    <w:p>
      <w:pPr>
        <w:jc w:val="both"/>
        <w:ind w:left="980" w:right="980" w:firstLine="384"/>
        <w:spacing w:after="0" w:line="238" w:lineRule="auto"/>
        <w:rPr>
          <w:sz w:val="20"/>
          <w:szCs w:val="20"/>
          <w:color w:val="auto"/>
        </w:rPr>
      </w:pPr>
      <w:r>
        <w:rPr>
          <w:rFonts w:ascii="Times New Roman" w:cs="Times New Roman" w:eastAsia="Times New Roman" w:hAnsi="Times New Roman"/>
          <w:sz w:val="16"/>
          <w:szCs w:val="16"/>
          <w:color w:val="auto"/>
        </w:rPr>
        <w:t>On October 27, 2023, as a condition precedent to the Note Purchase, we entered into a letter agreement (the “Letter Agreement”) with the Former Lender. Pursuant to the Letter Agreement, we agreed, immediately prior to the note purchase transaction, to exchange $3.0 million in principal and approximately $ 1.1 million in accrued but unpaid interest outstanding under the Exchange Note for a warrant (the “Exchange Warrant”) to purchase 2,809,669 shares of common stock. Additionally, we agreed to exchange the 375,629 shares of common stock held in abeyance for the Former Lender under the terms of the letter agreement between us and the Former Lender dated as of April 26, 2023 for a warrant to purchase 375,629 shares of common stock (the “Abeyance Warrant”).</w:t>
      </w:r>
    </w:p>
    <w:p>
      <w:pPr>
        <w:spacing w:after="0" w:line="101"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Each of the Exchange Warrant and the Abeyance Warrant has an exercise price of $0.001 per share, became exercisable upon issuance, has a term of five years from the date of issuance and is exercisable on a cash basis or on a cashless exercise basis at the Former Lender’s election. The Former Lender exercised the Exchange Warrant and Abeyance Warrant in full during January and February 2024.</w:t>
      </w:r>
    </w:p>
    <w:p>
      <w:pPr>
        <w:spacing w:after="0" w:line="16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Note Amendment and Secured Promissory Note</w:t>
      </w:r>
    </w:p>
    <w:p>
      <w:pPr>
        <w:spacing w:after="0" w:line="118"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w:t>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 w:name="page13"/>
    <w:bookmarkEnd w:id="1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867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73270" cy="6867525"/>
                    </a:xfrm>
                    <a:prstGeom prst="rect">
                      <a:avLst/>
                    </a:prstGeom>
                    <a:noFill/>
                  </pic:spPr>
                </pic:pic>
              </a:graphicData>
            </a:graphic>
          </wp:anchor>
        </w:drawing>
      </w:r>
    </w:p>
    <w:p>
      <w:pPr>
        <w:spacing w:after="0" w:line="264" w:lineRule="exact"/>
        <w:rPr>
          <w:sz w:val="20"/>
          <w:szCs w:val="20"/>
          <w:color w:val="auto"/>
        </w:rPr>
      </w:pPr>
    </w:p>
    <w:p>
      <w:pPr>
        <w:jc w:val="both"/>
        <w:ind w:left="980" w:right="980"/>
        <w:spacing w:after="0" w:line="243" w:lineRule="auto"/>
        <w:rPr>
          <w:sz w:val="20"/>
          <w:szCs w:val="20"/>
          <w:color w:val="auto"/>
        </w:rPr>
      </w:pPr>
      <w:r>
        <w:rPr>
          <w:rFonts w:ascii="Times New Roman" w:cs="Times New Roman" w:eastAsia="Times New Roman" w:hAnsi="Times New Roman"/>
          <w:sz w:val="16"/>
          <w:szCs w:val="16"/>
          <w:color w:val="auto"/>
        </w:rPr>
        <w:t>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95"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restatement of the GIC Note, we issued a junior secured promissory note (the “Junior Secured Note”) to the New Lender. Pursuant to the Junior Secured Note, the New Lender loaned an aggregate of approximately $ 4.0 million to us. The Junior Secured Note bore interest at a rate of 10% per annum, had a maturity date of December 31, 2023, and could be prepaid without any fee or penalty. The Junior Secured Note was a junior secured obligation.</w:t>
      </w:r>
    </w:p>
    <w:p>
      <w:pPr>
        <w:spacing w:after="0" w:line="1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Note Amendment, Consolidation and Conversion</w:t>
      </w:r>
    </w:p>
    <w:p>
      <w:pPr>
        <w:spacing w:after="0" w:line="118" w:lineRule="exact"/>
        <w:rPr>
          <w:sz w:val="20"/>
          <w:szCs w:val="20"/>
          <w:color w:val="auto"/>
        </w:rPr>
      </w:pPr>
    </w:p>
    <w:p>
      <w:pPr>
        <w:jc w:val="both"/>
        <w:ind w:left="980" w:right="980" w:firstLine="384"/>
        <w:spacing w:after="0" w:line="272" w:lineRule="auto"/>
        <w:rPr>
          <w:sz w:val="20"/>
          <w:szCs w:val="20"/>
          <w:color w:val="auto"/>
        </w:rPr>
      </w:pPr>
      <w:r>
        <w:rPr>
          <w:rFonts w:ascii="Times New Roman" w:cs="Times New Roman" w:eastAsia="Times New Roman" w:hAnsi="Times New Roman"/>
          <w:sz w:val="14"/>
          <w:szCs w:val="14"/>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w:t>
      </w:r>
    </w:p>
    <w:p>
      <w:pPr>
        <w:spacing w:after="0" w:line="4" w:lineRule="exact"/>
        <w:rPr>
          <w:sz w:val="20"/>
          <w:szCs w:val="20"/>
          <w:color w:val="auto"/>
        </w:rPr>
      </w:pPr>
    </w:p>
    <w:p>
      <w:pPr>
        <w:jc w:val="both"/>
        <w:ind w:left="980" w:right="980" w:hanging="1"/>
        <w:spacing w:after="0" w:line="268" w:lineRule="auto"/>
        <w:tabs>
          <w:tab w:leader="none" w:pos="122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w:t>
      </w:r>
    </w:p>
    <w:p>
      <w:pPr>
        <w:jc w:val="both"/>
        <w:ind w:left="980" w:right="980" w:hanging="1"/>
        <w:spacing w:after="0" w:line="235" w:lineRule="auto"/>
        <w:tabs>
          <w:tab w:leader="none" w:pos="127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Mack Molding Settlement and Warrant Issuance</w:t>
      </w:r>
    </w:p>
    <w:p>
      <w:pPr>
        <w:spacing w:after="0" w:line="118" w:lineRule="exact"/>
        <w:rPr>
          <w:sz w:val="20"/>
          <w:szCs w:val="20"/>
          <w:color w:val="auto"/>
        </w:rPr>
      </w:pPr>
    </w:p>
    <w:p>
      <w:pPr>
        <w:jc w:val="both"/>
        <w:ind w:left="980" w:right="980" w:firstLine="384"/>
        <w:spacing w:after="0" w:line="237" w:lineRule="auto"/>
        <w:rPr>
          <w:sz w:val="20"/>
          <w:szCs w:val="20"/>
          <w:color w:val="auto"/>
        </w:rPr>
      </w:pPr>
      <w:r>
        <w:rPr>
          <w:rFonts w:ascii="Times New Roman" w:cs="Times New Roman" w:eastAsia="Times New Roman" w:hAnsi="Times New Roman"/>
          <w:sz w:val="16"/>
          <w:szCs w:val="16"/>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 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00"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i w:val="1"/>
          <w:iCs w:val="1"/>
          <w:color w:val="auto"/>
        </w:rPr>
        <w:t>Nasdaq Notices and Hearing</w:t>
      </w:r>
    </w:p>
    <w:p>
      <w:pPr>
        <w:spacing w:after="0" w:line="118" w:lineRule="exact"/>
        <w:rPr>
          <w:sz w:val="20"/>
          <w:szCs w:val="20"/>
          <w:color w:val="auto"/>
        </w:rPr>
      </w:pPr>
    </w:p>
    <w:p>
      <w:pPr>
        <w:jc w:val="both"/>
        <w:ind w:left="980" w:right="980" w:firstLine="384"/>
        <w:spacing w:after="0" w:line="247" w:lineRule="auto"/>
        <w:rPr>
          <w:sz w:val="20"/>
          <w:szCs w:val="20"/>
          <w:color w:val="auto"/>
        </w:rPr>
      </w:pPr>
      <w:r>
        <w:rPr>
          <w:rFonts w:ascii="Times New Roman" w:cs="Times New Roman" w:eastAsia="Times New Roman" w:hAnsi="Times New Roman"/>
          <w:sz w:val="16"/>
          <w:szCs w:val="16"/>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 w:name="page14"/>
    <w:bookmarkEnd w:id="1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5213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73270" cy="5213350"/>
                    </a:xfrm>
                    <a:prstGeom prst="rect">
                      <a:avLst/>
                    </a:prstGeom>
                    <a:noFill/>
                  </pic:spPr>
                </pic:pic>
              </a:graphicData>
            </a:graphic>
          </wp:anchor>
        </w:drawing>
      </w:r>
    </w:p>
    <w:p>
      <w:pPr>
        <w:spacing w:after="0" w:line="264"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95" w:lineRule="exact"/>
        <w:rPr>
          <w:sz w:val="20"/>
          <w:szCs w:val="20"/>
          <w:color w:val="auto"/>
        </w:rPr>
      </w:pPr>
    </w:p>
    <w:p>
      <w:pPr>
        <w:jc w:val="both"/>
        <w:ind w:left="980" w:right="980" w:firstLine="384"/>
        <w:spacing w:after="0" w:line="289" w:lineRule="auto"/>
        <w:rPr>
          <w:sz w:val="20"/>
          <w:szCs w:val="20"/>
          <w:color w:val="auto"/>
        </w:rPr>
      </w:pPr>
      <w:r>
        <w:rPr>
          <w:rFonts w:ascii="Times New Roman" w:cs="Times New Roman" w:eastAsia="Times New Roman" w:hAnsi="Times New Roman"/>
          <w:sz w:val="14"/>
          <w:szCs w:val="14"/>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65"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10-Q and the Form 10-K (collectively, the “Delinquent Reports”) in a timely manner. We filed each of the Delinquent Reports between November 28, 2023 and January 3, 2024.</w:t>
      </w:r>
    </w:p>
    <w:p>
      <w:pPr>
        <w:spacing w:after="0" w:line="97" w:lineRule="exact"/>
        <w:rPr>
          <w:sz w:val="20"/>
          <w:szCs w:val="20"/>
          <w:color w:val="auto"/>
        </w:rPr>
      </w:pPr>
    </w:p>
    <w:p>
      <w:pPr>
        <w:jc w:val="both"/>
        <w:ind w:left="980" w:right="980" w:firstLine="384"/>
        <w:spacing w:after="0" w:line="243" w:lineRule="auto"/>
        <w:rPr>
          <w:sz w:val="20"/>
          <w:szCs w:val="20"/>
          <w:color w:val="auto"/>
        </w:rPr>
      </w:pPr>
      <w:r>
        <w:rPr>
          <w:rFonts w:ascii="Times New Roman" w:cs="Times New Roman" w:eastAsia="Times New Roman" w:hAnsi="Times New Roman"/>
          <w:sz w:val="16"/>
          <w:szCs w:val="16"/>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95" w:lineRule="exact"/>
        <w:rPr>
          <w:sz w:val="20"/>
          <w:szCs w:val="20"/>
          <w:color w:val="auto"/>
        </w:rPr>
      </w:pPr>
    </w:p>
    <w:p>
      <w:pPr>
        <w:jc w:val="both"/>
        <w:ind w:left="980" w:right="980" w:firstLine="384"/>
        <w:spacing w:after="0" w:line="281" w:lineRule="auto"/>
        <w:rPr>
          <w:sz w:val="20"/>
          <w:szCs w:val="20"/>
          <w:color w:val="auto"/>
        </w:rPr>
      </w:pPr>
      <w:r>
        <w:rPr>
          <w:rFonts w:ascii="Times New Roman" w:cs="Times New Roman" w:eastAsia="Times New Roman" w:hAnsi="Times New Roman"/>
          <w:sz w:val="14"/>
          <w:szCs w:val="14"/>
          <w:color w:val="auto"/>
        </w:rPr>
        <w:t>We timely requested a hearing before the Nasdaq Hearings Panel (the “Panel”), which hearing was held on January 11, 2024. At the hearing, we presented a plan to regain compliance with Nasdaq Listing Rule 5550(b)</w:t>
      </w:r>
    </w:p>
    <w:p>
      <w:pPr>
        <w:spacing w:after="0" w:line="1" w:lineRule="exact"/>
        <w:rPr>
          <w:sz w:val="20"/>
          <w:szCs w:val="20"/>
          <w:color w:val="auto"/>
        </w:rPr>
      </w:pPr>
    </w:p>
    <w:p>
      <w:pPr>
        <w:jc w:val="both"/>
        <w:ind w:left="980" w:right="980"/>
        <w:spacing w:after="0" w:line="236" w:lineRule="auto"/>
        <w:rPr>
          <w:sz w:val="20"/>
          <w:szCs w:val="20"/>
          <w:color w:val="auto"/>
        </w:rPr>
      </w:pPr>
      <w:r>
        <w:rPr>
          <w:rFonts w:ascii="Times New Roman" w:cs="Times New Roman" w:eastAsia="Times New Roman" w:hAnsi="Times New Roman"/>
          <w:sz w:val="16"/>
          <w:szCs w:val="16"/>
          <w:color w:val="auto"/>
        </w:rPr>
        <w:t>(1).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99" w:lineRule="exact"/>
        <w:rPr>
          <w:sz w:val="20"/>
          <w:szCs w:val="20"/>
          <w:color w:val="auto"/>
        </w:rPr>
      </w:pPr>
    </w:p>
    <w:p>
      <w:pPr>
        <w:jc w:val="both"/>
        <w:ind w:left="980" w:right="980" w:firstLine="384"/>
        <w:spacing w:after="0" w:line="239" w:lineRule="auto"/>
        <w:rPr>
          <w:sz w:val="20"/>
          <w:szCs w:val="20"/>
          <w:color w:val="auto"/>
        </w:rPr>
      </w:pPr>
      <w:r>
        <w:rPr>
          <w:rFonts w:ascii="Times New Roman" w:cs="Times New Roman" w:eastAsia="Times New Roman" w:hAnsi="Times New Roman"/>
          <w:sz w:val="16"/>
          <w:szCs w:val="16"/>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18" w:lineRule="exact"/>
        <w:rPr>
          <w:sz w:val="20"/>
          <w:szCs w:val="20"/>
          <w:color w:val="auto"/>
        </w:rPr>
      </w:pPr>
    </w:p>
    <w:p>
      <w:pPr>
        <w:jc w:val="both"/>
        <w:ind w:left="980" w:right="980" w:firstLine="384"/>
        <w:spacing w:after="0" w:line="278" w:lineRule="auto"/>
        <w:rPr>
          <w:sz w:val="20"/>
          <w:szCs w:val="20"/>
          <w:color w:val="auto"/>
        </w:rPr>
      </w:pPr>
      <w:r>
        <w:rPr>
          <w:rFonts w:ascii="Times New Roman" w:cs="Times New Roman" w:eastAsia="Times New Roman" w:hAnsi="Times New Roman"/>
          <w:sz w:val="14"/>
          <w:szCs w:val="14"/>
          <w:color w:val="auto"/>
        </w:rPr>
        <w:t xml:space="preserve">Agrify Corporation was incorporated in the state of Nevada on June 6, 2016, originally incorporated as Agrinamics, Inc. (or Agrinamics) . On September 16, 2019, Agrinamics amended its articles of incorporation to reflect a name change to Agrify Corporation. Our executive offices are located at 2468 Industrial Row, Dr., Troy, Michigan 48084. Our telephone number at our executive offices is (855) 420 -0020. Our website address is </w:t>
      </w:r>
      <w:r>
        <w:rPr>
          <w:rFonts w:ascii="Times New Roman" w:cs="Times New Roman" w:eastAsia="Times New Roman" w:hAnsi="Times New Roman"/>
          <w:sz w:val="14"/>
          <w:szCs w:val="14"/>
          <w:i w:val="1"/>
          <w:iCs w:val="1"/>
          <w:color w:val="auto"/>
        </w:rPr>
        <w:t xml:space="preserve">www.agrify.com. </w:t>
      </w:r>
      <w:r>
        <w:rPr>
          <w:rFonts w:ascii="Times New Roman" w:cs="Times New Roman" w:eastAsia="Times New Roman" w:hAnsi="Times New Roman"/>
          <w:sz w:val="14"/>
          <w:szCs w:val="14"/>
          <w:color w:val="auto"/>
        </w:rPr>
        <w:t>Our website and the information contained in, or accessible through, our website will not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deemed to be incorporated by reference into this prospectus and does not constitute part of this prospectus. You should not rely on any such information in making your decision whether to purchase our securities.</w:t>
      </w: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 w:name="page15"/>
    <w:bookmarkEnd w:id="1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67760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73270" cy="6776085"/>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p>
      <w:pPr>
        <w:sectPr>
          <w:pgSz w:w="11900" w:h="16840" w:orient="portrait"/>
          <w:cols w:equalWidth="0" w:num="1">
            <w:col w:w="9020"/>
          </w:cols>
          <w:pgMar w:left="1440" w:top="557" w:right="1440" w:bottom="1440" w:gutter="0" w:footer="0" w:header="0"/>
        </w:sectPr>
      </w:pP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Common Stock offered by us</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40" w:hanging="155"/>
        <w:spacing w:after="0" w:line="259" w:lineRule="auto"/>
        <w:rPr>
          <w:sz w:val="20"/>
          <w:szCs w:val="20"/>
          <w:color w:val="auto"/>
        </w:rPr>
      </w:pPr>
      <w:r>
        <w:rPr>
          <w:rFonts w:ascii="Times New Roman" w:cs="Times New Roman" w:eastAsia="Times New Roman" w:hAnsi="Times New Roman"/>
          <w:sz w:val="16"/>
          <w:szCs w:val="16"/>
          <w:color w:val="auto"/>
        </w:rPr>
        <w:t>Common stock outstanding after this offering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2,760,000 shares of our common stock.</w:t>
      </w:r>
    </w:p>
    <w:p>
      <w:pPr>
        <w:spacing w:after="0" w:line="200" w:lineRule="exact"/>
        <w:rPr>
          <w:sz w:val="20"/>
          <w:szCs w:val="20"/>
          <w:color w:val="auto"/>
        </w:rPr>
      </w:pPr>
    </w:p>
    <w:p>
      <w:pPr>
        <w:jc w:val="both"/>
        <w:ind w:right="980"/>
        <w:spacing w:after="0" w:line="237" w:lineRule="auto"/>
        <w:rPr>
          <w:sz w:val="20"/>
          <w:szCs w:val="20"/>
          <w:color w:val="auto"/>
        </w:rPr>
      </w:pPr>
      <w:r>
        <w:rPr>
          <w:rFonts w:ascii="Times New Roman" w:cs="Times New Roman" w:eastAsia="Times New Roman" w:hAnsi="Times New Roman"/>
          <w:sz w:val="16"/>
          <w:szCs w:val="16"/>
          <w:color w:val="auto"/>
        </w:rPr>
        <w:t>We are also offering to certain purchasers whose purchase of shares of common stock in this offering would otherwise result in the purchaser, together with its affiliates and certain related parties, beneficially owning more than 4.99% (or such other percentage as may be required by the investor) of our outstanding common stock immediately following the consummation of this offering, the opportunity to purchase, if any such purchaser so chooses, Pre -Funded Warrants to purchase up to 3,963,684 shares of our common stock in lieu of shares of our common stock. Each Pre-Funded Warrant will have an exercise price equal to $0.001 per share and is immediately exercisable. The Pre-Funded Warrants will not expire. See “Description of Securities — Pre-Funded Warrants to be Issued in this Offering.”</w:t>
      </w:r>
    </w:p>
    <w:p>
      <w:pPr>
        <w:spacing w:after="0" w:line="315" w:lineRule="exact"/>
        <w:rPr>
          <w:sz w:val="20"/>
          <w:szCs w:val="20"/>
          <w:color w:val="auto"/>
        </w:rPr>
      </w:pPr>
    </w:p>
    <w:p>
      <w:pPr>
        <w:jc w:val="both"/>
        <w:ind w:right="980"/>
        <w:spacing w:after="0" w:line="247" w:lineRule="auto"/>
        <w:rPr>
          <w:sz w:val="20"/>
          <w:szCs w:val="20"/>
          <w:color w:val="auto"/>
        </w:rPr>
      </w:pPr>
      <w:r>
        <w:rPr>
          <w:rFonts w:ascii="Times New Roman" w:cs="Times New Roman" w:eastAsia="Times New Roman" w:hAnsi="Times New Roman"/>
          <w:sz w:val="16"/>
          <w:szCs w:val="16"/>
          <w:color w:val="auto"/>
        </w:rPr>
        <w:t>10,265,114 shares, assuming that we sell all securities offered pursuant to this prospectus and assuming that none of the Pre-Funded Warrants are exercised.</w:t>
      </w:r>
    </w:p>
    <w:p>
      <w:pPr>
        <w:spacing w:after="0" w:line="128" w:lineRule="exact"/>
        <w:rPr>
          <w:sz w:val="20"/>
          <w:szCs w:val="20"/>
          <w:color w:val="auto"/>
        </w:rPr>
      </w:pPr>
    </w:p>
    <w:p>
      <w:pPr>
        <w:sectPr>
          <w:pgSz w:w="11900" w:h="16840" w:orient="portrait"/>
          <w:cols w:equalWidth="0" w:num="2">
            <w:col w:w="3280" w:space="340"/>
            <w:col w:w="5400"/>
          </w:cols>
          <w:pgMar w:left="1440" w:top="557" w:right="1440" w:bottom="1440" w:gutter="0" w:footer="0" w:header="0"/>
          <w:type w:val="continuous"/>
        </w:sectPr>
      </w:pPr>
    </w:p>
    <w:p>
      <w:pPr>
        <w:ind w:left="980"/>
        <w:spacing w:after="0" w:line="532" w:lineRule="auto"/>
        <w:rPr>
          <w:sz w:val="20"/>
          <w:szCs w:val="20"/>
          <w:color w:val="auto"/>
        </w:rPr>
      </w:pPr>
      <w:r>
        <w:rPr>
          <w:rFonts w:ascii="Times New Roman" w:cs="Times New Roman" w:eastAsia="Times New Roman" w:hAnsi="Times New Roman"/>
          <w:sz w:val="14"/>
          <w:szCs w:val="14"/>
          <w:color w:val="auto"/>
        </w:rPr>
        <w:t>Price per share of common stock Price per Pre-Funded Warrant Placement Agent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$0.38 public offering price per share of common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$0.379 public offering price per pre-funded warrant.</w:t>
      </w:r>
    </w:p>
    <w:p>
      <w:pPr>
        <w:spacing w:after="0" w:line="152" w:lineRule="exact"/>
        <w:rPr>
          <w:sz w:val="20"/>
          <w:szCs w:val="20"/>
          <w:color w:val="auto"/>
        </w:rPr>
      </w:pPr>
    </w:p>
    <w:p>
      <w:pPr>
        <w:jc w:val="both"/>
        <w:ind w:right="980"/>
        <w:spacing w:after="0" w:line="249" w:lineRule="auto"/>
        <w:rPr>
          <w:sz w:val="20"/>
          <w:szCs w:val="20"/>
          <w:color w:val="auto"/>
        </w:rPr>
      </w:pPr>
      <w:r>
        <w:rPr>
          <w:rFonts w:ascii="Times New Roman" w:cs="Times New Roman" w:eastAsia="Times New Roman" w:hAnsi="Times New Roman"/>
          <w:sz w:val="15"/>
          <w:szCs w:val="15"/>
          <w:color w:val="auto"/>
        </w:rPr>
        <w:t>The registration statement of which this prospectus is a part also registers for sale the 67,237 shares of common stock issuable pursuant to the warrants to be issued to Alexander Capital, L.P., as placement agent (the “Placement Agent Warrants”) (equal to one percent (1%) of the aggregate number of shares of common stock (or Pre-Funded Warrants) issued in this offering). The Placement Agent Warrants will be exercisable at any time, and from time to time, in whole or in part, during the period commencing 180 days from the date of commencement of sales of the securities being offering in this offering (the “Effective Date”) and expiring on the fifth (5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5"/>
          <w:szCs w:val="15"/>
          <w:color w:val="auto"/>
        </w:rPr>
        <w:t>) year anniversary of the Effective Date at an exercise price of $0.38 per share (100% of the public offering price per share). Please see “Plan of Distribution</w:t>
      </w:r>
    </w:p>
    <w:p>
      <w:pPr>
        <w:spacing w:after="0" w:line="7" w:lineRule="exact"/>
        <w:rPr>
          <w:sz w:val="20"/>
          <w:szCs w:val="20"/>
          <w:color w:val="auto"/>
        </w:rPr>
      </w:pPr>
    </w:p>
    <w:p>
      <w:pPr>
        <w:ind w:right="1000"/>
        <w:spacing w:after="0" w:line="238" w:lineRule="auto"/>
        <w:rPr>
          <w:sz w:val="20"/>
          <w:szCs w:val="20"/>
          <w:color w:val="auto"/>
        </w:rPr>
      </w:pPr>
      <w:r>
        <w:rPr>
          <w:rFonts w:ascii="Times New Roman" w:cs="Times New Roman" w:eastAsia="Times New Roman" w:hAnsi="Times New Roman"/>
          <w:sz w:val="16"/>
          <w:szCs w:val="16"/>
          <w:color w:val="auto"/>
        </w:rPr>
        <w:t>— Placement Agent Warrants” on page 115 of this prospectus for a description of these warrants.</w:t>
      </w:r>
    </w:p>
    <w:p>
      <w:pPr>
        <w:spacing w:after="0" w:line="129" w:lineRule="exact"/>
        <w:rPr>
          <w:sz w:val="20"/>
          <w:szCs w:val="20"/>
          <w:color w:val="auto"/>
        </w:rPr>
      </w:pPr>
    </w:p>
    <w:p>
      <w:pPr>
        <w:sectPr>
          <w:pgSz w:w="11900" w:h="16840" w:orient="portrait"/>
          <w:cols w:equalWidth="0" w:num="2">
            <w:col w:w="3020" w:space="600"/>
            <w:col w:w="5400"/>
          </w:cols>
          <w:pgMar w:left="1440" w:top="557" w:right="1440" w:bottom="1440" w:gutter="0" w:footer="0" w:header="0"/>
          <w:type w:val="continuous"/>
        </w:sectPr>
      </w:pPr>
    </w:p>
    <w:tbl>
      <w:tblPr>
        <w:tblLayout w:type="fixed"/>
        <w:tblInd w:w="900" w:type="dxa"/>
        <w:tblCellMar>
          <w:top w:w="0" w:type="dxa"/>
          <w:left w:w="0" w:type="dxa"/>
          <w:bottom w:w="0" w:type="dxa"/>
          <w:right w:w="0" w:type="dxa"/>
        </w:tblCellMar>
      </w:tblPr>
      <w:tr>
        <w:trPr>
          <w:trHeight w:val="184"/>
        </w:trPr>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Placement Agent Compensation</w:t>
            </w:r>
          </w:p>
        </w:tc>
        <w:tc>
          <w:tcPr>
            <w:tcW w:w="4800" w:type="dxa"/>
            <w:vAlign w:val="bottom"/>
          </w:tcPr>
          <w:p>
            <w:pPr>
              <w:ind w:left="320"/>
              <w:spacing w:after="0"/>
              <w:rPr>
                <w:sz w:val="20"/>
                <w:szCs w:val="20"/>
                <w:color w:val="auto"/>
              </w:rPr>
            </w:pPr>
            <w:r>
              <w:rPr>
                <w:rFonts w:ascii="Times New Roman" w:cs="Times New Roman" w:eastAsia="Times New Roman" w:hAnsi="Times New Roman"/>
                <w:sz w:val="16"/>
                <w:szCs w:val="16"/>
                <w:color w:val="auto"/>
                <w:w w:val="98"/>
              </w:rPr>
              <w:t>In connection with this offering, the placement agent will receive a fee</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w w:val="98"/>
              </w:rPr>
              <w:t>equal to seven percent (7.0%) of the aggregate gross proceeds raised in</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this offering. In addition, we have agreed to: (i) reimburse certain</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accountable expenses of the placement agent, and (ii) indemnify the</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w w:val="99"/>
              </w:rPr>
              <w:t>placement agent for certain liabilities in connection with this offering.</w:t>
            </w:r>
          </w:p>
        </w:tc>
      </w:tr>
      <w:tr>
        <w:trPr>
          <w:trHeight w:val="203"/>
        </w:trPr>
        <w:tc>
          <w:tcPr>
            <w:tcW w:w="2400" w:type="dxa"/>
            <w:vAlign w:val="bottom"/>
          </w:tcPr>
          <w:p>
            <w:pPr>
              <w:spacing w:after="0"/>
              <w:rPr>
                <w:sz w:val="17"/>
                <w:szCs w:val="17"/>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See “Plan of Distribution” starting on page 115 of this prospectus.</w:t>
            </w:r>
          </w:p>
        </w:tc>
      </w:tr>
      <w:tr>
        <w:trPr>
          <w:trHeight w:val="313"/>
        </w:trPr>
        <w:tc>
          <w:tcPr>
            <w:tcW w:w="2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Use of proceeds</w:t>
            </w:r>
          </w:p>
        </w:tc>
        <w:tc>
          <w:tcPr>
            <w:tcW w:w="4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We currently intend to use the net proceeds from the sale of the</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securities under this prospectus for working capital and general</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corporate purposes, which may include capital expenditures and</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repayment of debt. We reserve the right, at the sole discretion of our</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management, to reallocate the proceeds of this offering in response to</w:t>
            </w:r>
          </w:p>
        </w:tc>
      </w:tr>
      <w:tr>
        <w:trPr>
          <w:trHeight w:val="180"/>
        </w:trPr>
        <w:tc>
          <w:tcPr>
            <w:tcW w:w="2400" w:type="dxa"/>
            <w:vAlign w:val="bottom"/>
          </w:tcPr>
          <w:p>
            <w:pPr>
              <w:spacing w:after="0"/>
              <w:rPr>
                <w:sz w:val="15"/>
                <w:szCs w:val="15"/>
                <w:color w:val="auto"/>
              </w:rPr>
            </w:pPr>
          </w:p>
        </w:tc>
        <w:tc>
          <w:tcPr>
            <w:tcW w:w="48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w w:val="98"/>
              </w:rPr>
              <w:t>developments in our business and other factors. See “Use of Proceeds”</w:t>
            </w:r>
          </w:p>
        </w:tc>
      </w:tr>
      <w:tr>
        <w:trPr>
          <w:trHeight w:val="203"/>
        </w:trPr>
        <w:tc>
          <w:tcPr>
            <w:tcW w:w="2400" w:type="dxa"/>
            <w:vAlign w:val="bottom"/>
          </w:tcPr>
          <w:p>
            <w:pPr>
              <w:spacing w:after="0"/>
              <w:rPr>
                <w:sz w:val="17"/>
                <w:szCs w:val="17"/>
                <w:color w:val="auto"/>
              </w:rPr>
            </w:pPr>
          </w:p>
        </w:tc>
        <w:tc>
          <w:tcPr>
            <w:tcW w:w="48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on page 59 of this prospectus.</w:t>
            </w:r>
          </w:p>
        </w:tc>
      </w:tr>
      <w:tr>
        <w:trPr>
          <w:trHeight w:val="338"/>
        </w:trPr>
        <w:tc>
          <w:tcPr>
            <w:tcW w:w="24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r>
        <w:trPr>
          <w:trHeight w:val="328"/>
        </w:trPr>
        <w:tc>
          <w:tcPr>
            <w:tcW w:w="24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12</w:t>
            </w:r>
          </w:p>
        </w:tc>
      </w:tr>
    </w:tbl>
    <w:p>
      <w:pPr>
        <w:sectPr>
          <w:pgSz w:w="11900" w:h="16840" w:orient="portrait"/>
          <w:cols w:equalWidth="0" w:num="1">
            <w:col w:w="9020"/>
          </w:cols>
          <w:pgMar w:left="1440" w:top="557" w:right="1440" w:bottom="1440" w:gutter="0" w:footer="0" w:header="0"/>
          <w:type w:val="continuous"/>
        </w:sectPr>
      </w:pPr>
    </w:p>
    <w:bookmarkStart w:id="15" w:name="page16"/>
    <w:bookmarkEnd w:id="15"/>
    <w:p>
      <w:pPr>
        <w:ind w:left="900"/>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20320</wp:posOffset>
            </wp:positionV>
            <wp:extent cx="4573270" cy="4763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73270" cy="476377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p>
      <w:pPr>
        <w:spacing w:after="0" w:line="3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both"/>
        <w:ind w:right="980"/>
        <w:spacing w:after="0" w:line="243" w:lineRule="auto"/>
        <w:rPr>
          <w:sz w:val="20"/>
          <w:szCs w:val="20"/>
          <w:color w:val="auto"/>
        </w:rPr>
      </w:pPr>
      <w:r>
        <w:rPr>
          <w:rFonts w:ascii="Times New Roman" w:cs="Times New Roman" w:eastAsia="Times New Roman" w:hAnsi="Times New Roman"/>
          <w:sz w:val="16"/>
          <w:szCs w:val="16"/>
          <w:color w:val="auto"/>
        </w:rPr>
        <w:t>Investing in our securities involves a high degree of risk. See “Risk Factors” beginning on page 14 of this prospectus, for a discussion of information that should be considered in connection with an investment in our securities.</w:t>
      </w:r>
    </w:p>
    <w:p>
      <w:pPr>
        <w:spacing w:after="0" w:line="131" w:lineRule="exact"/>
        <w:rPr>
          <w:sz w:val="20"/>
          <w:szCs w:val="20"/>
          <w:color w:val="auto"/>
        </w:rPr>
      </w:pPr>
    </w:p>
    <w:p>
      <w:pPr>
        <w:sectPr>
          <w:pgSz w:w="11900" w:h="16840" w:orient="portrait"/>
          <w:cols w:equalWidth="0" w:num="2">
            <w:col w:w="2900" w:space="720"/>
            <w:col w:w="5400"/>
          </w:cols>
          <w:pgMar w:left="1440" w:top="557" w:right="1440"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4"/>
          <w:szCs w:val="14"/>
          <w:color w:val="auto"/>
        </w:rPr>
        <w:t>Nasdaq Capital Market symbol</w:t>
      </w:r>
    </w:p>
    <w:p>
      <w:pPr>
        <w:spacing w:after="0" w:line="20" w:lineRule="exact"/>
        <w:rPr>
          <w:sz w:val="20"/>
          <w:szCs w:val="20"/>
          <w:color w:val="auto"/>
        </w:rPr>
      </w:pPr>
      <w:r>
        <w:rPr>
          <w:sz w:val="20"/>
          <w:szCs w:val="20"/>
          <w:color w:val="auto"/>
        </w:rPr>
        <w:br w:type="column"/>
      </w:r>
    </w:p>
    <w:p>
      <w:pPr>
        <w:ind w:right="980"/>
        <w:spacing w:after="0" w:line="259" w:lineRule="auto"/>
        <w:rPr>
          <w:sz w:val="20"/>
          <w:szCs w:val="20"/>
          <w:color w:val="auto"/>
        </w:rPr>
      </w:pPr>
      <w:r>
        <w:rPr>
          <w:rFonts w:ascii="Times New Roman" w:cs="Times New Roman" w:eastAsia="Times New Roman" w:hAnsi="Times New Roman"/>
          <w:sz w:val="16"/>
          <w:szCs w:val="16"/>
          <w:color w:val="auto"/>
        </w:rPr>
        <w:t>Our common stock is traded on The Nasdaq Capital Market under the symbol “AGFY.”</w:t>
      </w:r>
    </w:p>
    <w:p>
      <w:pPr>
        <w:spacing w:after="0" w:line="83" w:lineRule="exact"/>
        <w:rPr>
          <w:sz w:val="20"/>
          <w:szCs w:val="20"/>
          <w:color w:val="auto"/>
        </w:rPr>
      </w:pPr>
    </w:p>
    <w:p>
      <w:pPr>
        <w:sectPr>
          <w:pgSz w:w="11900" w:h="16840" w:orient="portrait"/>
          <w:cols w:equalWidth="0" w:num="2">
            <w:col w:w="2920" w:space="700"/>
            <w:col w:w="5400"/>
          </w:cols>
          <w:pgMar w:left="1440" w:top="557" w:right="1440" w:bottom="1440" w:gutter="0" w:footer="0" w:header="0"/>
          <w:type w:val="continuous"/>
        </w:sectPr>
      </w:pPr>
    </w:p>
    <w:p>
      <w:pPr>
        <w:ind w:left="3620"/>
        <w:spacing w:after="0"/>
        <w:rPr>
          <w:sz w:val="20"/>
          <w:szCs w:val="20"/>
          <w:color w:val="auto"/>
        </w:rPr>
      </w:pPr>
      <w:r>
        <w:rPr>
          <w:rFonts w:ascii="Times New Roman" w:cs="Times New Roman" w:eastAsia="Times New Roman" w:hAnsi="Times New Roman"/>
          <w:sz w:val="16"/>
          <w:szCs w:val="16"/>
          <w:color w:val="auto"/>
        </w:rPr>
        <w:t>There is no established public trading market for the Pre-Funded</w:t>
      </w:r>
    </w:p>
    <w:p>
      <w:pPr>
        <w:spacing w:after="0" w:line="1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Warrants, and we do not expect a market to develop. In addition, we</w:t>
      </w:r>
    </w:p>
    <w:p>
      <w:pPr>
        <w:ind w:left="3620"/>
        <w:spacing w:after="0" w:line="234" w:lineRule="auto"/>
        <w:rPr>
          <w:sz w:val="20"/>
          <w:szCs w:val="20"/>
          <w:color w:val="auto"/>
        </w:rPr>
      </w:pPr>
      <w:r>
        <w:rPr>
          <w:rFonts w:ascii="Times New Roman" w:cs="Times New Roman" w:eastAsia="Times New Roman" w:hAnsi="Times New Roman"/>
          <w:sz w:val="16"/>
          <w:szCs w:val="16"/>
          <w:color w:val="auto"/>
        </w:rPr>
        <w:t>do not intend to apply for the listing of the Pre-Funded Warrants on</w:t>
      </w:r>
    </w:p>
    <w:p>
      <w:pPr>
        <w:spacing w:after="0" w:line="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any national securities exchange or other nationally recognized trading</w:t>
      </w:r>
    </w:p>
    <w:p>
      <w:pPr>
        <w:spacing w:after="0" w:line="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color w:val="auto"/>
        </w:rPr>
        <w:t>system. Without an active trading market, we expect the liquidity of</w:t>
      </w:r>
    </w:p>
    <w:p>
      <w:pPr>
        <w:ind w:left="3620"/>
        <w:spacing w:after="0"/>
        <w:rPr>
          <w:sz w:val="20"/>
          <w:szCs w:val="20"/>
          <w:color w:val="auto"/>
        </w:rPr>
      </w:pPr>
      <w:r>
        <w:rPr>
          <w:rFonts w:ascii="Times New Roman" w:cs="Times New Roman" w:eastAsia="Times New Roman" w:hAnsi="Times New Roman"/>
          <w:sz w:val="16"/>
          <w:szCs w:val="16"/>
          <w:color w:val="auto"/>
        </w:rPr>
        <w:t>the Pre-Funded Warrants will be limited.</w:t>
      </w:r>
    </w:p>
    <w:p>
      <w:pPr>
        <w:sectPr>
          <w:pgSz w:w="11900" w:h="16840" w:orient="portrait"/>
          <w:cols w:equalWidth="0" w:num="1">
            <w:col w:w="9020"/>
          </w:cols>
          <w:pgMar w:left="1440" w:top="557" w:right="1440" w:bottom="1440" w:gutter="0" w:footer="0" w:header="0"/>
          <w:type w:val="continuous"/>
        </w:sectPr>
      </w:pPr>
    </w:p>
    <w:p>
      <w:pPr>
        <w:spacing w:after="0" w:line="170" w:lineRule="exact"/>
        <w:rPr>
          <w:sz w:val="20"/>
          <w:szCs w:val="20"/>
          <w:color w:val="auto"/>
        </w:rPr>
      </w:pPr>
    </w:p>
    <w:p>
      <w:pPr>
        <w:jc w:val="both"/>
        <w:ind w:left="980" w:right="980" w:firstLine="384"/>
        <w:spacing w:after="0" w:line="241" w:lineRule="auto"/>
        <w:rPr>
          <w:sz w:val="20"/>
          <w:szCs w:val="20"/>
          <w:color w:val="auto"/>
        </w:rPr>
      </w:pPr>
      <w:r>
        <w:rPr>
          <w:rFonts w:ascii="Times New Roman" w:cs="Times New Roman" w:eastAsia="Times New Roman" w:hAnsi="Times New Roman"/>
          <w:sz w:val="16"/>
          <w:szCs w:val="16"/>
          <w:color w:val="auto"/>
        </w:rPr>
        <w:t>The number of shares of our common stock that will be outstanding immediately after this offering as shown above is based on 7,505,114 shares outstanding as of February 28, 2024. The number of shares outstanding as of February 28, 2024 as used throughout this prospectus, unless otherwise indicated, excludes the shares of common stock issuable upon exercise of the Pre-Funded Warrants being offered by us in this offering and also excludes as of such date:</w:t>
      </w:r>
    </w:p>
    <w:p>
      <w:pPr>
        <w:spacing w:after="0" w:line="97" w:lineRule="exact"/>
        <w:rPr>
          <w:sz w:val="20"/>
          <w:szCs w:val="20"/>
          <w:color w:val="auto"/>
        </w:rPr>
      </w:pPr>
    </w:p>
    <w:p>
      <w:pPr>
        <w:ind w:left="1740" w:right="980" w:hanging="377"/>
        <w:spacing w:after="0" w:line="259" w:lineRule="auto"/>
        <w:tabs>
          <w:tab w:leader="none" w:pos="1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2,245,011 shares of our common stock issuable upon the exercise of warrants outstanding, at a weighted average exercise price of $26.10 per share;</w:t>
      </w:r>
    </w:p>
    <w:p>
      <w:pPr>
        <w:spacing w:after="0" w:line="83"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10,334 shares of our common stock issuable upon the exercise of stock options outstanding, at a weighted average exercise price of $1,593.86 per share;</w:t>
      </w:r>
    </w:p>
    <w:p>
      <w:pPr>
        <w:spacing w:after="0" w:line="83"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67,237 shares of our common stock issuable upon the exercise of the Placement Agent Warrants;</w:t>
      </w:r>
    </w:p>
    <w:p>
      <w:pPr>
        <w:spacing w:after="0" w:line="116" w:lineRule="exact"/>
        <w:rPr>
          <w:rFonts w:ascii="Times New Roman" w:cs="Times New Roman" w:eastAsia="Times New Roman" w:hAnsi="Times New Roman"/>
          <w:sz w:val="16"/>
          <w:szCs w:val="16"/>
          <w:color w:val="auto"/>
        </w:rPr>
      </w:pPr>
    </w:p>
    <w:p>
      <w:pPr>
        <w:ind w:left="1740" w:hanging="377"/>
        <w:spacing w:after="0"/>
        <w:tabs>
          <w:tab w:leader="none" w:pos="1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4,531 shares of our common stock issuable upon the vesting of restricted stock units;</w:t>
      </w:r>
    </w:p>
    <w:p>
      <w:pPr>
        <w:spacing w:after="0" w:line="116"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57,450 shares of our common stock reserved for future issuance under our 2022 Omnibus Equity Incentive Plan;</w:t>
      </w:r>
    </w:p>
    <w:p>
      <w:pPr>
        <w:spacing w:after="0" w:line="83"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shares of our common stock reserved for future issuance under our 2022 Employee Stock Purchase Plan;</w:t>
      </w:r>
    </w:p>
    <w:p>
      <w:pPr>
        <w:spacing w:after="0" w:line="83"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588 shares of our common stock reserved for future issuance in connection with completed acquisitions; and</w:t>
      </w:r>
    </w:p>
    <w:p>
      <w:pPr>
        <w:spacing w:after="0" w:line="83" w:lineRule="exact"/>
        <w:rPr>
          <w:rFonts w:ascii="Times New Roman" w:cs="Times New Roman" w:eastAsia="Times New Roman" w:hAnsi="Times New Roman"/>
          <w:sz w:val="16"/>
          <w:szCs w:val="16"/>
          <w:color w:val="auto"/>
        </w:rPr>
      </w:pPr>
    </w:p>
    <w:p>
      <w:pPr>
        <w:ind w:left="1740" w:right="980" w:hanging="377"/>
        <w:spacing w:after="0" w:line="259" w:lineRule="auto"/>
        <w:tabs>
          <w:tab w:leader="none" w:pos="174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10,273,973 shares of our common stock reserved for future issuance in connection with the conversion of a secured convertible note held by CP Acquisitions, LLC.</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16" w:name="page17"/>
    <w:bookmarkEnd w:id="1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116"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prospectus and the documents incorporated by reference herein before making an investment decision regarding our common stock.</w:t>
      </w:r>
    </w:p>
    <w:p>
      <w:pPr>
        <w:spacing w:after="0" w:line="99" w:lineRule="exact"/>
        <w:rPr>
          <w:sz w:val="20"/>
          <w:szCs w:val="20"/>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continue as a “going concern”;</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short operating history;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of loss associated with our Total Turn-Key Solution (“TTK Solution”) Offerings;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additional financing;</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strategic acquisitions;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substantial debt and other financial obligations, and we may incur even more debt;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associated with potential future impairment charges;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concentration of customers;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a limited base of suppliers;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operational difficulties of our suppliers as a result of COVID-19;</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having clients operating in the cannabis industry;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our customers to meet their financial or contractual obligations;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credit profile with respect to suppliers;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 parties to provide services;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assurance that our backlog and qualified pipeline will translate into bookings;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continued contributions of our CEO, Raymond Chang;</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intense competition for our products and services;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and defend against intellectual property claims;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protect our core technology and intellectual property;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assertion of intellectual property infringement claims;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use net operating losses;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management and their affiliates control a substantial interest in us;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outstanding loans may not be forgivable;</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for a large number of shares eligible for public sale could depress the market price of our common stock;</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failure to regain compliance with the listing requirements of The Nasdaq Capital Market (“Nasdaq”) could result in a de-listing of our common stock;</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exercise of all or any number of outstanding warrants or the issuance of stock-based awards may dilute your holding of shares of our common stock;</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 w:name="page18"/>
    <w:bookmarkEnd w:id="1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hanging="38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in our charter documents and Nevada law may prevent a change in control of our company;</w:t>
      </w:r>
    </w:p>
    <w:p>
      <w:pPr>
        <w:spacing w:after="0" w:line="139" w:lineRule="exact"/>
        <w:rPr>
          <w:rFonts w:ascii="Times New Roman" w:cs="Times New Roman" w:eastAsia="Times New Roman" w:hAnsi="Times New Roman"/>
          <w:sz w:val="14"/>
          <w:szCs w:val="14"/>
          <w:color w:val="auto"/>
        </w:rPr>
      </w:pPr>
    </w:p>
    <w:p>
      <w:pPr>
        <w:ind w:left="1680" w:right="900" w:hanging="389"/>
        <w:spacing w:after="0" w:line="259" w:lineRule="auto"/>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reduced disclosure requirements applicable to emerging growth companies and smaller reporting companies;</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 intention to declare any dividends to our shareholders;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a shortage of raw materials;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that may adversely affect our business, financial condition, and results of operations;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prolonged economic downturn;</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the employment market and wages;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of our common stock;</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reporting obligations and controls associated with being a public company;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weaknesses and ability to remediate them;</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data privacy and security concerns relating to our technology and practices;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potential failure of our information technology systems to perform adequately;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evolving data privacy regulations and our ability to comply with them;</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trading ability of our common stock if our shares become subject to penny stock rules;</w:t>
      </w:r>
    </w:p>
    <w:p>
      <w:pPr>
        <w:spacing w:after="0" w:line="139" w:lineRule="exact"/>
        <w:rPr>
          <w:rFonts w:ascii="Times New Roman" w:cs="Times New Roman" w:eastAsia="Times New Roman" w:hAnsi="Times New Roman"/>
          <w:sz w:val="14"/>
          <w:szCs w:val="14"/>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to our shareholders if we were to dissolve;</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related to analyst reports about us, our business or our market, or recommendations relating to our stock;</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costs and demands upon management as a result of being a public company;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risks related to our financial and operational projections.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Investing in our securities involves a high degree of risk. Before deciding whether to invest in our securities, you should consider carefully the risks and uncertainties described under the heading “Risk Factors” contained herein, and any related free writing prospectus, together with other information in this prospectus,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86" w:lineRule="exact"/>
        <w:rPr>
          <w:sz w:val="20"/>
          <w:szCs w:val="20"/>
          <w:color w:val="auto"/>
        </w:rPr>
      </w:pPr>
    </w:p>
    <w:p>
      <w:pPr>
        <w:jc w:val="both"/>
        <w:ind w:left="900" w:right="9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have a history of losses, expect to continue to incur losses in the near term and may not achieve or sustain profitability in the future, and as a result, our management has identified, and our auditors agreed that there is a substantial doubt about our ability to continue as a going concern.</w:t>
      </w:r>
    </w:p>
    <w:p>
      <w:pPr>
        <w:spacing w:after="0" w:line="92"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Our consolidated financial statements have been prepared assuming we will continue as a going concern. Since inception, we have experienced recurring net losses which losses caused an accumulated deficit of approximately $266 million as of September 30, 2023. These factors, among others, raise substantial doubt about our ability to continue as a going concern. Our consolidated financial statements do not include any adjustments that might result from the outcome of this uncertainty.</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 w:name="page19"/>
    <w:bookmarkEnd w:id="1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have a relatively short operating history, which makes it difficult to evaluate our business and future prospects.</w:t>
      </w:r>
    </w:p>
    <w:p>
      <w:pPr>
        <w:spacing w:after="0" w:line="7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have a relatively short operating history, which makes it difficult to evaluate our business and future prospects. We have been in existence since June 2016 and much of our revenue growth occurred during 2021 and 2022. We have encountered, and will continue to encounter, risks and difficulties frequently experienced by growing companies in rapidly changing industries, including those related to:</w:t>
      </w:r>
    </w:p>
    <w:p>
      <w:pPr>
        <w:spacing w:after="0" w:line="95" w:lineRule="exact"/>
        <w:rPr>
          <w:sz w:val="20"/>
          <w:szCs w:val="20"/>
          <w:color w:val="auto"/>
        </w:rPr>
      </w:pPr>
    </w:p>
    <w:p>
      <w:pPr>
        <w:ind w:left="1680" w:hanging="389"/>
        <w:spacing w:after="0"/>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acceptance of our current and future products and services;</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changing regulatory environments and costs associated with compliance, particularly as related to our operations in the cannabis sector;</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with other companies offering similar products and services;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market our products and services and attract new clients;</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and timing of operating expenses, particularly sales and marketing expenses, related to the maintenance and expansion of our business, operations, and infrastructure;</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control costs, including operating expenses;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organic growth and growth fueled by acquisitions;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perception and acceptance of cannabis-related products and services generally;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events.</w:t>
      </w:r>
    </w:p>
    <w:p>
      <w:pPr>
        <w:spacing w:after="0" w:line="116"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If we do not manage these risks successfully, our business and financial performance will be adversely affected.</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Potential risk of loss associated with our TTK Solution Offerings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During 2021, we introduced our TTK Solution, which among other things, includes financing arrangements related to both facility design and build services and equipment. These arrangements require a significant upfront investment of working capital over a one- to two-year period, before we start to receive repayment on the upfront construction advances and on our recurring monthly SaaS fees and production fees.</w:t>
      </w:r>
    </w:p>
    <w:p>
      <w:pPr>
        <w:spacing w:after="0" w:line="9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As of September 30, 2023, a significant amount of our working capital has been invested in funding our TTK Solution construction and equipment commitments.</w:t>
      </w:r>
    </w:p>
    <w:p>
      <w:pPr>
        <w:spacing w:after="0" w:line="8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believe that there is a potential risk of loss associated with our ability to receive anticipated future payments that are in line with our projected financial unit metrics due to a host of variables including, but not limited to the following:</w:t>
      </w:r>
    </w:p>
    <w:p>
      <w:pPr>
        <w:spacing w:after="0" w:line="92" w:lineRule="exact"/>
        <w:rPr>
          <w:sz w:val="20"/>
          <w:szCs w:val="20"/>
          <w:color w:val="auto"/>
        </w:rPr>
      </w:pPr>
    </w:p>
    <w:p>
      <w:pPr>
        <w:ind w:left="1680" w:right="920" w:hanging="389"/>
        <w:spacing w:after="0" w:line="259" w:lineRule="auto"/>
        <w:tabs>
          <w:tab w:leader="none" w:pos="1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we are in the early stages of our TTK Solution offerings, the TTK Solution is currently an unproven business model;</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TTK Solution offering requires a significant amount of capital and our collection of advanced amounts is subject to customer credit risk;</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downstream production fee revenue assumes that our VFUs will successfully produce 35 pounds of product per VFU per year; and</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anticipated returns are reliant upon our customers’ ability to market and sell the products.</w:t>
      </w:r>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year ended December 31, 2022, we established a reserve of approximately $12.5 million specifically related to Greenstone Holdings (“Greenstone”) TTK Solution. Greenstone is a related party because one of our former Agrify Brands employees and our VP of Engineering had a minority ownership. We established the reserve based upon our review of Greenstone’s financial stability, which would impact collectability, which is primarily the result of unfavorable market conditions within the Colorado market. On April 6, 2023, Denver Greens, LLC (“Denver Greens”) acquired certain interests in the Greenstone project through various transactions so that Denver Greens is now the operator of this TTK Solution. The Company wrote off the entire Greenstone loan receivable in 2022.</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 w:name="page20"/>
    <w:bookmarkEnd w:id="1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On September 15, 2022, we provided a notice of default under the Bud &amp; Mary’s TTK Agreement between us and Bud &amp; Mary’s. On October 5, 2022, Bud &amp; Mary’s filed a complaint in the Superior Court of Massachusetts in Suffolk County naming us as the defendant. Bud &amp; Mary’s is seeking, among other relief, monetary damages in connection with alleged unfair or deceptive trade practices, breach of contract, and conversion arising from the Bud &amp; Mary’s TTK Agreement. In response, we established a reserve of $ 14.7 million specifically related to Bud &amp; Mary’s. We deemed it necessary to fully reserve the $ 14.7 million outstanding balance in the third quarter of 2022 due to the current litigation and the uncertainty of the customer’s ability to repay the outstanding balance. If we are unable to realize revenue from our TTK Solution offerings on a timely basis, or at all, or if we incur additional losses as a result of the Bud &amp; Mary’s claim, our business and financial performance will be adversely affected.</w:t>
      </w:r>
    </w:p>
    <w:p>
      <w:pPr>
        <w:spacing w:after="0" w:line="172" w:lineRule="exact"/>
        <w:rPr>
          <w:sz w:val="20"/>
          <w:szCs w:val="20"/>
          <w:color w:val="auto"/>
        </w:rPr>
      </w:pPr>
    </w:p>
    <w:p>
      <w:pPr>
        <w:jc w:val="both"/>
        <w:ind w:left="900" w:right="9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At September 30, 2023, we had approximately $154 thousand of cash, cash equivalents, and restricted cash.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04"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As of April 1, 2023, after which time the ATM program was discontinued, we sold 629,710 shares of common stock, under the ATM at an average price of $27.29 per share, resulting in gross proceeds to us of $17.2 million, and net proceeds of $16.7 million after commissions and fees to the Agent totaling $516 thousand. $3.0 million of the proceeds under the ATM Program were used to repay amounts due to the former senior secured lender (the “Former Lender”) under the Exchange Note (as defined below).</w:t>
      </w:r>
    </w:p>
    <w:p>
      <w:pPr>
        <w:spacing w:after="0" w:line="9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face risks associated with strategic acquisitions.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Since our inception, we have strategically acquired several businesses, and plan to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95" w:lineRule="exact"/>
        <w:rPr>
          <w:sz w:val="20"/>
          <w:szCs w:val="20"/>
          <w:color w:val="auto"/>
        </w:rPr>
      </w:pPr>
    </w:p>
    <w:p>
      <w:pPr>
        <w:ind w:left="1680" w:right="920" w:hanging="389"/>
        <w:spacing w:after="0" w:line="259" w:lineRule="auto"/>
        <w:tabs>
          <w:tab w:leader="none" w:pos="1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acquired business could under-perform relative to our expectations and the price that we paid for it, or not perform in accordance with its anticipated timetable;</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incur or assume significant debt in connection with our acquisitions;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 w:name="page21"/>
    <w:bookmarkEnd w:id="2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right="920" w:hanging="389"/>
        <w:spacing w:after="0" w:line="259" w:lineRule="auto"/>
        <w:tabs>
          <w:tab w:leader="none" w:pos="16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could cause our results of operations to differ from our own or the investment community’s expectations in any given period, or over the long term; and</w:t>
      </w:r>
    </w:p>
    <w:p>
      <w:pPr>
        <w:spacing w:after="0" w:line="71"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acquisitions could create demands on our management that they may be unable to effectively address, or for which we may incur additional costs.</w:t>
      </w:r>
    </w:p>
    <w:p>
      <w:pPr>
        <w:spacing w:after="0" w:line="71"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Additionally, following any business acquisition, we could experience difficulty in integrating personnel, operations, financial and other systems, and in retaining key employees and customers.</w:t>
      </w:r>
    </w:p>
    <w:p>
      <w:pPr>
        <w:spacing w:after="0" w:line="7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may record goodwill and other intangible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24"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Potential future divestitures or other transactions could adversely affect our costs, revenues, profitability and financial position.</w:t>
      </w:r>
    </w:p>
    <w:p>
      <w:pPr>
        <w:spacing w:after="0" w:line="6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order to position our business to take advantage of particular future growth opportunities and/or consolidate our more capable businesses, we may in the future pursue a strategy of less product and service integration and/or focus on one or more specialized facets of our products and services. These actions may require that we abandon or divest certain assets or businesses that no longer fit within our evolving strategic direction.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36" w:lineRule="exact"/>
        <w:rPr>
          <w:sz w:val="20"/>
          <w:szCs w:val="20"/>
          <w:color w:val="auto"/>
        </w:rPr>
      </w:pPr>
    </w:p>
    <w:p>
      <w:pPr>
        <w:jc w:val="both"/>
        <w:ind w:left="900" w:right="9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80" w:lineRule="exact"/>
        <w:rPr>
          <w:sz w:val="20"/>
          <w:szCs w:val="20"/>
          <w:color w:val="auto"/>
        </w:rPr>
      </w:pPr>
    </w:p>
    <w:p>
      <w:pPr>
        <w:jc w:val="both"/>
        <w:ind w:left="900" w:right="920" w:firstLine="384"/>
        <w:spacing w:after="0" w:line="284" w:lineRule="auto"/>
        <w:rPr>
          <w:sz w:val="20"/>
          <w:szCs w:val="20"/>
          <w:color w:val="auto"/>
        </w:rPr>
      </w:pPr>
      <w:r>
        <w:rPr>
          <w:rFonts w:ascii="Times New Roman" w:cs="Times New Roman" w:eastAsia="Times New Roman" w:hAnsi="Times New Roman"/>
          <w:sz w:val="14"/>
          <w:szCs w:val="14"/>
          <w:color w:val="auto"/>
        </w:rPr>
        <w:t>On March 14, 2022, we entered into a Securities Purchase Agreement (the “Securities Purchase Agreement”) with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34,406 shares of common stock.</w:t>
      </w:r>
    </w:p>
    <w:p>
      <w:pPr>
        <w:spacing w:after="0" w:line="56"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On August 18, 2022, we reached an agreement with the Former Lender to amend the existing SPA Note and entered into a Securities Exchange Agreement (the “August 2022 Exchange Agreement”) . Pursuant to the August 2022 Exchange Agreement, we partially paid $35.2 million along with approximately $ 300 thousand in repayments for other fees under the SPA Note and exchanged the remaining balance of the SPA Note for a new senior secured note with an aggregate original principal amount of $35.0 million (the “Exchange Note”)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The Exchange Note will mature on the three-year anniversary of its issuance.</w:t>
      </w:r>
    </w:p>
    <w:p>
      <w:pPr>
        <w:spacing w:after="0" w:line="86"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$ 10.0 million in principal amount under the Exchange Note for a new senior convertible note (the “Convertible Note” and, together with the Exchange Note, the “Notes”) with an original principal amount of $10.0 million. The Convertible Note will mature on August 19, 2025.</w:t>
      </w:r>
    </w:p>
    <w:p>
      <w:pPr>
        <w:spacing w:after="0" w:line="89"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27, 2023, CP Acquisitions LLC (the “New Lender”), an entity affiliated with and controlled by Raymond Chang, our Chief Executive Officer, and I-Tseng Jenny Chan, who subsequently joined our Board of Directors, acquired the Notes from the Former Lender.</w:t>
      </w:r>
    </w:p>
    <w:p>
      <w:pPr>
        <w:spacing w:after="0" w:line="8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 w:name="page22"/>
    <w:bookmarkEnd w:id="2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04" w:lineRule="exact"/>
        <w:rPr>
          <w:sz w:val="20"/>
          <w:szCs w:val="20"/>
          <w:color w:val="auto"/>
        </w:rPr>
      </w:pPr>
    </w:p>
    <w:p>
      <w:pPr>
        <w:jc w:val="both"/>
        <w:ind w:left="900" w:right="900"/>
        <w:spacing w:after="0" w:line="271" w:lineRule="auto"/>
        <w:rPr>
          <w:sz w:val="20"/>
          <w:szCs w:val="20"/>
          <w:color w:val="auto"/>
        </w:rPr>
      </w:pPr>
      <w:r>
        <w:rPr>
          <w:rFonts w:ascii="Times New Roman" w:cs="Times New Roman" w:eastAsia="Times New Roman" w:hAnsi="Times New Roman"/>
          <w:sz w:val="14"/>
          <w:szCs w:val="14"/>
          <w:color w:val="auto"/>
        </w:rPr>
        <w:t>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w:t>
      </w:r>
    </w:p>
    <w:p>
      <w:pPr>
        <w:spacing w:after="0" w:line="2" w:lineRule="exact"/>
        <w:rPr>
          <w:sz w:val="20"/>
          <w:szCs w:val="20"/>
          <w:color w:val="auto"/>
        </w:rPr>
      </w:pPr>
    </w:p>
    <w:p>
      <w:pPr>
        <w:jc w:val="both"/>
        <w:ind w:left="900" w:right="900" w:firstLine="6"/>
        <w:spacing w:after="0" w:line="236" w:lineRule="auto"/>
        <w:tabs>
          <w:tab w:leader="none" w:pos="1145"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Pursuant to the terms of the Notes, we are subject to various covenants, including negative covenants that restrict our ability to engage in certain transactions, which may limit our ability to respond to changing business and economic conditions. Such negative covenants include, among other things, limitations on our ability and the ability of our subsidiaries to:</w:t>
      </w:r>
    </w:p>
    <w:p>
      <w:pPr>
        <w:spacing w:after="0" w:line="95" w:lineRule="exact"/>
        <w:rPr>
          <w:sz w:val="20"/>
          <w:szCs w:val="20"/>
          <w:color w:val="auto"/>
        </w:rPr>
      </w:pPr>
    </w:p>
    <w:p>
      <w:pPr>
        <w:ind w:left="1680" w:hanging="389"/>
        <w:spacing w:after="0"/>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debt;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liens;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(including acquisitions);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assets;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on our capital stock.</w:t>
      </w:r>
    </w:p>
    <w:p>
      <w:pPr>
        <w:spacing w:after="0" w:line="116"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addition, the Notes impose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and restrict the declaration of any dividends or other distributions, subject to specified exceptions.</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we are not in compliance with certain of these covenants, in addition to other actions the New Lender may require, the amounts outstanding under the Exchange Agreements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comply with the financial covenants, or any other non-financial or restrictive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New Lender could accelerate the indebtedness under the Notes, foreclose against its collateral, or seek other remedies, which would jeopardize our ability to continue our current operations.</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 w:name="page23"/>
    <w:bookmarkEnd w:id="2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record impairment charges against the carrying value of our goodwill and other intangible assets in the future.</w:t>
      </w:r>
    </w:p>
    <w:p>
      <w:pPr>
        <w:spacing w:after="0" w:line="79"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During the three-month period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6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we noted that the carrying value of equity exceeded the calculated fair value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the interim testing on goodwill may be found in Note 7 — Goodwill and Intangible Assets, Net, included in the notes to the consolidated financial statements.</w:t>
      </w:r>
    </w:p>
    <w:p>
      <w:pPr>
        <w:spacing w:after="0" w:line="169" w:lineRule="exact"/>
        <w:rPr>
          <w:sz w:val="20"/>
          <w:szCs w:val="20"/>
          <w:color w:val="auto"/>
        </w:rPr>
      </w:pPr>
    </w:p>
    <w:p>
      <w:pPr>
        <w:jc w:val="both"/>
        <w:ind w:left="900" w:right="9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During the year ended December 31, 2022, two customers accounted for approximately $16.8 million, or 28.8%, of our total revenue. In the event of any material decrease in revenue from these customers, or if we are unable to replace the revenue through the sale of our products to additional customers, our financial condition and results of operations could be materially and adversely affected.</w:t>
      </w:r>
    </w:p>
    <w:p>
      <w:pPr>
        <w:spacing w:after="0" w:line="9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This concentration of customers leaves us exposed to the risks associated with the loss of one or both of these significant customers, which would materially and adversely affect our revenues and results of operations. In addition, some customers have experienced and may continue to experience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of operations could be negatively impacted, and such impact would likely be significant.</w:t>
      </w:r>
    </w:p>
    <w:p>
      <w:pPr>
        <w:spacing w:after="0" w:line="169"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reliance on a limited base of suppliers for our products may result in disruptions to our supply chain and business and adversely affect our financial results.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experiences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69"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measures being taken to combat the pandemic are impacting our suppliers and may destabilize our supply chain. For example, manufacturing plants have closed and work at others has been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98"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 w:name="page24"/>
    <w:bookmarkEnd w:id="2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As a company with clients operating in the cannabis industry, we face many particular and evolving risks associated with that industry.</w:t>
      </w:r>
    </w:p>
    <w:p>
      <w:pPr>
        <w:spacing w:after="0" w:line="7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currently serve private clients as they operate in the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Marijuana remains illegal under U.S. federal law.</w:t>
      </w:r>
    </w:p>
    <w:p>
      <w:pPr>
        <w:spacing w:after="0" w:line="120"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Marijuana is a Schedule-I controlled substance under the Controlled Substances Act and is illegal under federal law. It remains illegal under U.S.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Uncertainty of federal enforcement and the need to renew temporary safeguards.</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January 4, 2018, former Attorney General Sessions rescinded the previously issued memoranda (known as the Cole Memorandum) from the U.S. Department of Justice (“DOJ”) that had de -prioritized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 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02"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7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subsequent years and remains in effect, continued re-authorization of the Appropriations Rider cannot be guaranteed. If the Appropriations Rider is no longer in effect, the risk of federal enforcement and override of state marijuana laws would increase.</w:t>
      </w:r>
    </w:p>
    <w:p>
      <w:pPr>
        <w:spacing w:after="0" w:line="3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Further legislative development beneficial to our operations is not guaranteed.</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4" w:name="page25"/>
    <w:bookmarkEnd w:id="2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cannabis industry could face strong opposition from other industries.</w:t>
      </w:r>
    </w:p>
    <w:p>
      <w:pPr>
        <w:spacing w:after="0" w:line="120"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legality of marijuana could be reversed in one or more states.</w:t>
      </w:r>
    </w:p>
    <w:p>
      <w:pPr>
        <w:spacing w:after="0" w:line="12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Changing legislation and evolving interpretations of law.</w:t>
      </w:r>
    </w:p>
    <w:p>
      <w:pPr>
        <w:spacing w:after="0" w:line="120" w:lineRule="exact"/>
        <w:rPr>
          <w:sz w:val="20"/>
          <w:szCs w:val="20"/>
          <w:color w:val="auto"/>
        </w:rPr>
      </w:pPr>
    </w:p>
    <w:p>
      <w:pPr>
        <w:jc w:val="both"/>
        <w:ind w:left="900" w:right="880" w:firstLine="384"/>
        <w:spacing w:after="0" w:line="237" w:lineRule="auto"/>
        <w:rPr>
          <w:sz w:val="20"/>
          <w:szCs w:val="20"/>
          <w:color w:val="auto"/>
        </w:rPr>
      </w:pPr>
      <w:r>
        <w:rPr>
          <w:rFonts w:ascii="Times New Roman" w:cs="Times New Roman" w:eastAsia="Times New Roman" w:hAnsi="Times New Roman"/>
          <w:sz w:val="16"/>
          <w:szCs w:val="16"/>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businesses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Our business depends in part on client licensing.</w:t>
      </w:r>
    </w:p>
    <w:p>
      <w:pPr>
        <w:spacing w:after="0" w:line="120"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Banking regulations could limit access to banking services.</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U.S. Senate. There can be no assurance that the SAFE Banking Act will become law in the U.S. Additionally, most courts have denied marijuana -related businesses bankruptcy protection, thus making it very difficult for lenders to recoup their investments, which may limit the willingness of banks to lend to our clients and to us.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5" w:name="page26"/>
    <w:bookmarkEnd w:id="2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may face insurance risks.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In the U.S.,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participate in an evolving industry.</w:t>
      </w:r>
    </w:p>
    <w:p>
      <w:pPr>
        <w:spacing w:after="0" w:line="120"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report, which could materially and adversely affect our business and financial performance. We expect that the cannabis market and our business will evolve in ways that are difficult to predict. Our long -term success may depend on our ability to successfully adjust our strategy to meet the changing market dynamics. If we are unable to successfully adapt to changes in the cannabis industry, our operations could be adversely affected.</w:t>
      </w:r>
    </w:p>
    <w:p>
      <w:pPr>
        <w:spacing w:after="0" w:line="143"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inability of our customers to meet their financial or contractual obligations to us may result in disruption to our results of operations and could result in financial losses.</w:t>
      </w:r>
    </w:p>
    <w:p>
      <w:pPr>
        <w:spacing w:after="0" w:line="7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have exposure to several customers and certain of these customers are experiencing financial difficulties. We have in the past, and may in the future, need to take allowances against and need to write off receivables due to the creditworthiness of these customers. Further, the inability of these customers to purchase our products could materially adversely affect our results of operations.</w:t>
      </w:r>
    </w:p>
    <w:p>
      <w:pPr>
        <w:spacing w:after="0" w:line="163"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Changes in our credit profile may affect our relationship with our suppliers, which could have a material adverse effect on our liquidity.</w:t>
      </w:r>
    </w:p>
    <w:p>
      <w:pPr>
        <w:spacing w:after="0" w:line="79"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Changes in our credit profile may affect the way our suppliers view our ability to make payments and may induce them to shorten the payment terms of their invoices. Given the large dollar amounts and volume of our purchases from suppliers, a change in payment terms may have a material adverse effect on our liquidity and our ability to make payments to our suppliers and, consequently, may have a material adverse effect on our business and results of operations.</w:t>
      </w:r>
    </w:p>
    <w:p>
      <w:pPr>
        <w:spacing w:after="0" w:line="165" w:lineRule="exact"/>
        <w:rPr>
          <w:sz w:val="20"/>
          <w:szCs w:val="20"/>
          <w:color w:val="auto"/>
        </w:rPr>
      </w:pPr>
    </w:p>
    <w:p>
      <w:pPr>
        <w:jc w:val="both"/>
        <w:ind w:left="900" w:right="9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92"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believe that a portion of our backlog and qualified pipeline will translate into bookings over the next 12 months, there can be no assurance that we will be successful in such pursuit. In the event our backlog and qualified pipeline do not translate into bookings as projected, it could materially and adversely affect our business and financial performance.</w:t>
      </w:r>
    </w:p>
    <w:p>
      <w:pPr>
        <w:spacing w:after="0" w:line="142"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7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Some of the applications and services available through our proprietary Agrify cultivation solution, including our flagship hardware product, the Agrify Vertical Farming Unit (“VFU”), and our proprietary SaaS product, Agrify Insights™, are provided through relationships with third party service providers. We do not typically have any direct control over these third-party service providers. These third-party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third-party service provider. There are readily available alternative hosting services available should we desire or need to move to a different web host. Certain ancillary services provided by us also uses the services of</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6" w:name="page27"/>
    <w:bookmarkEnd w:id="2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third-party providers, for which, we believe, there are readily available alternatives on comparable economic terms. Offering integrated platforms which rely, in part, on the services of other providers lessens the control that we have over the total client experience. Should the third-party service providers we rely upon not deliver at standards we expect and desire, acceptance of our platforms could suffer, which would have an adverse effect on our business and financial performance. Further, we cannot be assured of entering into agreements with such third-party service providers on economically favorable terms.</w:t>
      </w:r>
    </w:p>
    <w:p>
      <w:pPr>
        <w:spacing w:after="0" w:line="169"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79" w:lineRule="exact"/>
        <w:rPr>
          <w:sz w:val="20"/>
          <w:szCs w:val="20"/>
          <w:color w:val="auto"/>
        </w:rPr>
      </w:pPr>
    </w:p>
    <w:p>
      <w:pPr>
        <w:jc w:val="both"/>
        <w:ind w:left="900" w:right="900" w:firstLine="384"/>
        <w:spacing w:after="0" w:line="274" w:lineRule="auto"/>
        <w:rPr>
          <w:sz w:val="20"/>
          <w:szCs w:val="20"/>
          <w:color w:val="auto"/>
        </w:rPr>
      </w:pPr>
      <w:r>
        <w:rPr>
          <w:rFonts w:ascii="Times New Roman" w:cs="Times New Roman" w:eastAsia="Times New Roman" w:hAnsi="Times New Roman"/>
          <w:sz w:val="14"/>
          <w:szCs w:val="14"/>
          <w:color w:val="auto"/>
        </w:rPr>
        <w:t>Our growth and success are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Timothy R. Oakes, our Chief Financial Officer, notified us on January 2, 2023 that he intended to resign from his role with us effective as of February 28, 2023 to pursue other opportunities. While we are conducting a search for Mr. Oakes’ successor, there is no assurance that we will be able to identify, attract or hire a replacement in a timely manner.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3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face intense competition that could prohibit us from developing or increasing our customer base.</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indoor agriculture industry is highly competitive. We may compete with companies that have greater capital resources and facilities. More established companies with much greater financial resources which do not currently compete with us may be able to adapt their existing operations more easily to our line of business. In 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 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72"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Protecting and defending against intellectual property claims may have a material adverse effect on our business.</w:t>
      </w:r>
    </w:p>
    <w:p>
      <w:pPr>
        <w:spacing w:after="0" w:line="79"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Our ability to compete depends, in part, upon the successful protection of our intellectual property relating to our proprietary Agrify cultivation solution, including our flagship hardware product, the 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260"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We cannot assure investors that we will continue to innovate and file new patent applications, or that any current or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7" w:name="page28"/>
    <w:bookmarkEnd w:id="2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92" w:lineRule="exact"/>
        <w:rPr>
          <w:sz w:val="20"/>
          <w:szCs w:val="20"/>
          <w:color w:val="auto"/>
        </w:rPr>
      </w:pPr>
    </w:p>
    <w:p>
      <w:pPr>
        <w:ind w:left="1680" w:hanging="389"/>
        <w:spacing w:after="0"/>
        <w:tabs>
          <w:tab w:leader="none" w:pos="16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been the first to make the inventions claimed or disclosed in our patent application;</w:t>
      </w:r>
    </w:p>
    <w:p>
      <w:pPr>
        <w:spacing w:after="0" w:line="139" w:lineRule="exact"/>
        <w:rPr>
          <w:rFonts w:ascii="Times New Roman" w:cs="Times New Roman" w:eastAsia="Times New Roman" w:hAnsi="Times New Roman"/>
          <w:sz w:val="14"/>
          <w:szCs w:val="14"/>
          <w:color w:val="auto"/>
        </w:rPr>
      </w:pPr>
    </w:p>
    <w:p>
      <w:pPr>
        <w:jc w:val="both"/>
        <w:ind w:left="1680" w:right="900" w:hanging="389"/>
        <w:spacing w:after="0" w:line="239"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101" w:lineRule="exact"/>
        <w:rPr>
          <w:rFonts w:ascii="Times New Roman" w:cs="Times New Roman" w:eastAsia="Times New Roman" w:hAnsi="Times New Roman"/>
          <w:sz w:val="16"/>
          <w:szCs w:val="16"/>
          <w:color w:val="auto"/>
        </w:rPr>
      </w:pPr>
    </w:p>
    <w:p>
      <w:pPr>
        <w:jc w:val="both"/>
        <w:ind w:left="1680" w:right="920" w:hanging="389"/>
        <w:spacing w:after="0" w:line="247"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parties may independently develop similar or alternative products and technologies or duplicate any of our products and technologies, which can potentially impact our market share, revenue, and goodwill, regardless of</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7"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92"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unaware of or unfamiliar with prior art and/or interpretations of prior art that could potentially impact the validity or scope of our patents or patent applications that we may file;</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95"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elect not to maintain or pursue intellectual property rights that, at some point in time, may be considered relevant to or enforceable against a competitor;</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not develop additional proprietary products and technologies that are patentable, or we may develop additional proprietary products and technologies that are not patentable;</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patents or other intellectual property rights of others may have an adverse effect on our business; and</w:t>
      </w:r>
    </w:p>
    <w:p>
      <w:pPr>
        <w:spacing w:after="0" w:line="83"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95"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Our success depends in part upon our ability to protect our core technology and intellectual property.</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success depends in part upon our ability to protect our core technology and intellectual property. To establish and protect our proprietary rights, we rely on a combination of trademark, copyright, patent, trade secret and unfair competition laws of the U.S.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8" w:name="page29"/>
    <w:bookmarkEnd w:id="2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02" w:lineRule="exact"/>
        <w:rPr>
          <w:sz w:val="20"/>
          <w:szCs w:val="20"/>
          <w:color w:val="auto"/>
        </w:rPr>
      </w:pPr>
    </w:p>
    <w:p>
      <w:pPr>
        <w:jc w:val="both"/>
        <w:ind w:left="900" w:right="920" w:firstLine="384"/>
        <w:spacing w:after="0" w:line="284" w:lineRule="auto"/>
        <w:rPr>
          <w:sz w:val="20"/>
          <w:szCs w:val="20"/>
          <w:color w:val="auto"/>
        </w:rPr>
      </w:pPr>
      <w:r>
        <w:rPr>
          <w:rFonts w:ascii="Times New Roman" w:cs="Times New Roman" w:eastAsia="Times New Roman" w:hAnsi="Times New Roman"/>
          <w:sz w:val="14"/>
          <w:szCs w:val="14"/>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36"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may need to enter into intellectual property license agreements in the future, and if we are unable to obtain these licenses, our business could be harmed.</w:t>
      </w:r>
    </w:p>
    <w:p>
      <w:pPr>
        <w:spacing w:after="0" w:line="79"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32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Others may assert intellectual property infringement claims against us.</w:t>
      </w:r>
    </w:p>
    <w:p>
      <w:pPr>
        <w:spacing w:after="0" w:line="120"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9" w:name="page30"/>
    <w:bookmarkEnd w:id="2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to offset future taxable income may be subject to certain limitations.</w:t>
      </w:r>
    </w:p>
    <w:p>
      <w:pPr>
        <w:spacing w:after="0" w:line="143"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As of December 31, 2022, we had net operating loss (“NOL”) carryforwards for federal and state income tax purposes which may be available to offset taxable income in future years. Approximately $675 thousand of federal NOLs will expire if not utilized by 2037 and approximately $96.0 million of federal NOLs carryforward indefinitely but are only available to offset 80% of taxable income per year. The $ 71.6 million state NOLs will expire depending upon the various rules in the states in which we operate. A lack of future taxable income would adversely affect our ability to utilize these NOLs before they expire. The utilization of our NOLs could be subject to annual limitations under Section 382 and 383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 As of December 31, 2022, we have not conducted an analysis of an ownership change under Section 382. To the extent that a study is completed, and an ownership change is deemed to occur, in the past or future, our NOLs and any NOLs of companies that we have acquired could be limited to offset any future taxable income.</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There is also a risk that due to regulatory changes, such as suspensions on the use of NOLs or other unforeseen reasons, our existing NOLs could expire or otherwise be unavailable to reduce future income tax liabilities for federal and state income tax purposes. For these reasons, we may not be able to utilize a material portion of our NOLs, even if we attain profitability, which could result in increased future tax liability to us and could adversely affect the results of our operations and overall financial condition.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There are no assurances that our outstanding loans will be forgivable in whole or in part.</w:t>
      </w:r>
    </w:p>
    <w:p>
      <w:pPr>
        <w:spacing w:after="0" w:line="120" w:lineRule="exact"/>
        <w:rPr>
          <w:sz w:val="20"/>
          <w:szCs w:val="20"/>
          <w:color w:val="auto"/>
        </w:rPr>
      </w:pPr>
    </w:p>
    <w:p>
      <w:pPr>
        <w:jc w:val="both"/>
        <w:ind w:left="900" w:right="920" w:firstLine="384"/>
        <w:spacing w:after="0" w:line="278" w:lineRule="auto"/>
        <w:rPr>
          <w:sz w:val="20"/>
          <w:szCs w:val="20"/>
          <w:color w:val="auto"/>
        </w:rPr>
      </w:pPr>
      <w:r>
        <w:rPr>
          <w:rFonts w:ascii="Times New Roman" w:cs="Times New Roman" w:eastAsia="Times New Roman" w:hAnsi="Times New Roman"/>
          <w:sz w:val="14"/>
          <w:szCs w:val="14"/>
          <w:color w:val="auto"/>
        </w:rPr>
        <w:t>In May 2020, we entered into a Loan Agreement and Promissory Note with Bank of America pursuant to the Paycheck Protection Program (the “PPP”) under the Coronavirus Aid, Relief, and Economic Security Act (“CARES Act”) administered by the U.S. Small Business Administration (the “SBA”). We received total proceeds of approximately $779 thousand from the unsecured PPP loan which was originally scheduled to mature in May 2022. We applied for forgiveness on the $779 thousand of our PPP loan, but forgiveness was denied by the SBA. On June 23, 2022, we received a letter from Bank of America agreeing to extend the maturity date to May 7, 2025 with interest at a rate of 1.00% per year. The PPP loan is payable in 34 equal combined monthly principal and interest payments of approximately $24 thousand that commenced on August 7, 2022.</w:t>
      </w: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Risks Related to Ownership of our Common Stock</w:t>
      </w:r>
    </w:p>
    <w:p>
      <w:pPr>
        <w:spacing w:after="0" w:line="186"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Concentration of ownership among our existing executive officers, directors and their affiliates may prevent new investors from influencing significant corporate decisions.</w:t>
      </w:r>
    </w:p>
    <w:p>
      <w:pPr>
        <w:spacing w:after="0" w:line="79"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executive officers, directors and their affiliates beneficially own, in the aggregate, approximately 52.57% of our outstanding shares of common stock. In particular, Raymond Chang, our Chairman of the Board and Chief Executive Officer, beneficially owns approximately 49.99% of our outstanding shares of common stock, and I-Tseng Jenny Chan, a member of our Board of Directors, beneficially owns approximately 49.99% of our outstanding shares of common stock, primarily as a result of a convertible note that is currently convertible into 10,273,973 shares of common stock that is held by an entity owned and controlled by Mr. Chang and Ms. Chan, which is subject to a 49.99% beneficial ownership limitation.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large number of shares eligible for public sale could depress the market price of our common stock.</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have filed a registration statement to register the shares of common stock underlying outstanding options and shares reserved for future issuance under our equity compensation plans. Upon effectiveness of that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0" w:name="page31"/>
    <w:bookmarkEnd w:id="3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60"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failure to meet the continued listing requirements of Nasdaq could result in a de-listing of our Common Stock.</w:t>
      </w:r>
    </w:p>
    <w:p>
      <w:pPr>
        <w:spacing w:after="0" w:line="79"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If we fail to continue to satisfy the continued listing requirements of Nasdaq, such as the corporate governance requirements or the minimum closing bid price requirement,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97"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April 18, 2023, we received a notice from Nasdaq (the “April Nasdaq Notice”) that we were noncompliance with Nasdaq Listing Rule 5250(c)(1) as a result of our failure to file our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6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 Q and the Form 10-K (collectively, the “Delinquent Reports”) in a timely manner. We filed each of the Delinquent Reports between November 28, 2023 and January 3, 2024.</w:t>
      </w:r>
    </w:p>
    <w:p>
      <w:pPr>
        <w:spacing w:after="0" w:line="97"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December 1, 2023, we received a notice Nasdaq stating that because we reported stockholders’ equity of $(17.17) million in our Quarterly Report on Form 10-Q for the quarter ended March 31, 2023, we are no longer in compliance with Nasdaq Listing Rule 5550(b)(1), which requires that listed companies maintain a minimum of $2.5 million in stockholders’ equity.</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101" w:lineRule="exact"/>
        <w:rPr>
          <w:sz w:val="20"/>
          <w:szCs w:val="20"/>
          <w:color w:val="auto"/>
        </w:rPr>
      </w:pPr>
    </w:p>
    <w:p>
      <w:pPr>
        <w:jc w:val="both"/>
        <w:ind w:left="900" w:right="920" w:firstLine="384"/>
        <w:spacing w:after="0" w:line="331" w:lineRule="auto"/>
        <w:rPr>
          <w:sz w:val="20"/>
          <w:szCs w:val="20"/>
          <w:color w:val="auto"/>
        </w:rPr>
      </w:pPr>
      <w:r>
        <w:rPr>
          <w:rFonts w:ascii="Times New Roman" w:cs="Times New Roman" w:eastAsia="Times New Roman" w:hAnsi="Times New Roman"/>
          <w:sz w:val="14"/>
          <w:szCs w:val="14"/>
          <w:color w:val="auto"/>
        </w:rPr>
        <w:t>We will take all possible actions to restore our compliance with Nasdaq, but we can provide no assurances that the listing of our common stock will be restored or that we otherwise will remain listed on Nasdaq.</w:t>
      </w:r>
    </w:p>
    <w:p>
      <w:pPr>
        <w:spacing w:after="0" w:line="104"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exercise of all or any number of outstanding warrants or the issuance of stock-based awards may dilute your holding of shares of our common stock.</w:t>
      </w:r>
    </w:p>
    <w:p>
      <w:pPr>
        <w:spacing w:after="0" w:line="79"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have issued several securities providing for the right to purchase our common stock. Investors could be subject to increased dilution upon the exercise of our warrants. A total of 2,245,011 warrants were issued and outstanding as of February 28, 2024.</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Additionally, 14,865 shares of common stock were reserved for issuance of currently outstanding equity-based awards to employees, directors and certain other individuals under our 2022 Omnibus Equity Incentive Plan. The exercise of equity awards, including any restricted stock units that we may grant in the future, and the exercise of warrants and the subsequent sale of shares of common stock issued thereby, could have an adverse effect on the market for our common stock, including the price that an investor could obtain for their shares.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1" w:name="page32"/>
    <w:bookmarkEnd w:id="3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Investors may experience dilution in the value of their investment upon the exercise of the warrants and any equity awards that may be granted or issued pursuant to the 2022 Omnibus Equity Incentive Plan.</w:t>
      </w:r>
    </w:p>
    <w:p>
      <w:pPr>
        <w:spacing w:after="0" w:line="151" w:lineRule="exact"/>
        <w:rPr>
          <w:sz w:val="20"/>
          <w:szCs w:val="20"/>
          <w:color w:val="auto"/>
        </w:rPr>
      </w:pPr>
    </w:p>
    <w:p>
      <w:pPr>
        <w:jc w:val="both"/>
        <w:ind w:left="900" w:right="9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16"/>
          <w:szCs w:val="16"/>
          <w:i w:val="1"/>
          <w:iCs w:val="1"/>
          <w:color w:val="auto"/>
        </w:rPr>
        <w:t>.</w:t>
      </w:r>
    </w:p>
    <w:p>
      <w:pPr>
        <w:spacing w:after="0" w:line="92"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97" w:lineRule="exact"/>
        <w:rPr>
          <w:sz w:val="20"/>
          <w:szCs w:val="20"/>
          <w:color w:val="auto"/>
        </w:rPr>
      </w:pPr>
    </w:p>
    <w:p>
      <w:pPr>
        <w:ind w:left="1680" w:hanging="389"/>
        <w:spacing w:after="0"/>
        <w:tabs>
          <w:tab w:leader="none" w:pos="16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inability of stockholders to call special meetings; and</w:t>
      </w:r>
    </w:p>
    <w:p>
      <w:pPr>
        <w:spacing w:after="0" w:line="116" w:lineRule="exact"/>
        <w:rPr>
          <w:rFonts w:ascii="Times New Roman" w:cs="Times New Roman" w:eastAsia="Times New Roman" w:hAnsi="Times New Roman"/>
          <w:sz w:val="16"/>
          <w:szCs w:val="16"/>
          <w:color w:val="auto"/>
        </w:rPr>
      </w:pPr>
    </w:p>
    <w:p>
      <w:pPr>
        <w:jc w:val="both"/>
        <w:ind w:left="1680" w:right="900" w:hanging="389"/>
        <w:spacing w:after="0" w:line="241" w:lineRule="auto"/>
        <w:tabs>
          <w:tab w:leader="none" w:pos="16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97"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63" w:lineRule="exact"/>
        <w:rPr>
          <w:sz w:val="20"/>
          <w:szCs w:val="20"/>
          <w:color w:val="auto"/>
        </w:rPr>
      </w:pPr>
    </w:p>
    <w:p>
      <w:pPr>
        <w:jc w:val="both"/>
        <w:ind w:left="900" w:right="900"/>
        <w:spacing w:after="0" w:line="244"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96"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 -Oxley Act, (2) reduced disclosure obligations regarding executive compensation in this report and our periodic reports and proxy statements and</w:t>
      </w:r>
    </w:p>
    <w:p>
      <w:pPr>
        <w:spacing w:after="0" w:line="3" w:lineRule="exact"/>
        <w:rPr>
          <w:sz w:val="20"/>
          <w:szCs w:val="20"/>
          <w:color w:val="auto"/>
        </w:rPr>
      </w:pPr>
    </w:p>
    <w:p>
      <w:pPr>
        <w:jc w:val="both"/>
        <w:ind w:left="900" w:right="900" w:firstLine="6"/>
        <w:spacing w:after="0" w:line="235" w:lineRule="auto"/>
        <w:tabs>
          <w:tab w:leader="none" w:pos="115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01"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 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7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2" w:name="page33"/>
    <w:bookmarkEnd w:id="3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have not and do not expect to declare any dividends to our shareholders in the foreseeable future.</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63" w:lineRule="exact"/>
        <w:rPr>
          <w:sz w:val="20"/>
          <w:szCs w:val="20"/>
          <w:color w:val="auto"/>
        </w:rPr>
      </w:pPr>
    </w:p>
    <w:p>
      <w:pPr>
        <w:jc w:val="both"/>
        <w:ind w:left="900" w:right="92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as well as a statement that our auditors have issued an attestation report on effectiveness of our internal controls.</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are in the very early stages of the costly and challenging process of compiling the system and processing the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66" w:lineRule="exact"/>
        <w:rPr>
          <w:sz w:val="20"/>
          <w:szCs w:val="20"/>
          <w:color w:val="auto"/>
        </w:rPr>
      </w:pPr>
    </w:p>
    <w:p>
      <w:pPr>
        <w:jc w:val="both"/>
        <w:ind w:left="900" w:right="90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material weaknesses in our internal control over financial reporting. If we are unable to remediate these material weaknesses, or if we experience additional material weaknesses in the future or otherwise fail to maintain an effective system of internal controls, we may not be able to accurately or timely requirements applicable to public companies, which may adversely affect investor confidence in us, and, as a result, the market price of our common stock.</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designed to provide reasonable assurance regarding the reliability of financial reporting and the preparation of consolidated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have identified the following material weaknesses:</w:t>
      </w:r>
    </w:p>
    <w:p>
      <w:pPr>
        <w:spacing w:after="0" w:line="116" w:lineRule="exact"/>
        <w:rPr>
          <w:sz w:val="20"/>
          <w:szCs w:val="20"/>
          <w:color w:val="auto"/>
        </w:rPr>
      </w:pPr>
    </w:p>
    <w:p>
      <w:pPr>
        <w:ind w:left="1680" w:hanging="389"/>
        <w:spacing w:after="0"/>
        <w:tabs>
          <w:tab w:leader="none" w:pos="16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close timely;</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technical expertise;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accounting for complex financial instruments.</w:t>
      </w:r>
    </w:p>
    <w:p>
      <w:pPr>
        <w:spacing w:after="0" w:line="116"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a result of these material weaknesses, our management concluded that our internal control over financial reporting was not effective as of September 30, 2023.</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To respond to these material weaknesses, we have devoted, and plan to continue to devote, significant effort and resources to the remediation and improvement of our internal control over financial reporting. Our plans currently include rebuild of the internal finance function and engagement of external financial consultants. The elements of our remediation plan can only be accomplished over time, and we can offer no assurance that these initiatives will ultimately have the intended effects.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3" w:name="page34"/>
    <w:bookmarkEnd w:id="3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Any failure to maintain such internal control could adversely impact our ability to report our financial position and results from operations on a timely and accurate basis. If our consolidated financial statements are not accurate, investors may not have a complete understanding of our operations. Likewise, if our consolidated financial statements are not filed on a timely basis, we could be subject to sanctions or investigations by Nasdaq, the SEC or other regulatory authorities. In either case, there could result a material adverse effect on our business. Ineffective internal controls could also cause investors to lose confidence in our reported financial information which could have a negative effect on the trading price of our stock.</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can give no assurance that the measures we have taken and plan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General Risk Factors</w:t>
      </w:r>
    </w:p>
    <w:p>
      <w:pPr>
        <w:spacing w:after="0" w:line="186"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7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w:t>
      </w:r>
    </w:p>
    <w:p>
      <w:pPr>
        <w:spacing w:after="0" w:line="9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97"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COVID- 19 pandemic and mitigation efforts have also adversely affected our customers’ financial condition, resulting in reduced spending for the products we sell.</w:t>
      </w:r>
    </w:p>
    <w:p>
      <w:pPr>
        <w:spacing w:after="0" w:line="97"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72"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 prolonged economic downturn, particularly in light of the COVID-19 pandemic, could adversely affect our business.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4" w:name="page35"/>
    <w:bookmarkEnd w:id="3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Increases in costs, disruption of supply or shortage of raw materials could harm our business.</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Matters relating to the employment market and prevailing wage standards may adversely affect our business.</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ability to meet our labor needs on a cost-effective basis is subject to numerous external factors, including the availability of qualified personnel in the workforce in the markets in which we operate, unemployment levels within those markets, prevailing wage rates, which have increased significantly, health and other insurance costs and changes in employment and labor laws. In the event prevailing wage rates continue to increase in the markets in which we operate, we may be required to concurrently increase the wages paid to our employees to maintain the quality of our workforce. To the extent such increases are not offset by price increases, our business and operating results could be adversely affected. If we are unable to hire and retain employees capable of meeting our business needs and expectations, our business and reputation may be impaired. Any failure to meet our staffing needs or any material increase in turnover rates of our employees may adversely affect our business, results of operations and financial condition.</w:t>
      </w:r>
    </w:p>
    <w:p>
      <w:pPr>
        <w:spacing w:after="0" w:line="10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Further, we rely on the ability to attract and retain employees on a cost-effective basis. The availability of employees in the markets in which we operate has declined in recent years and competition for such personnel has increased, especially under the economic crises experienced throughout the COVID-19 pandemic. Our ability to attract and retain a sufficient workforce on a cost-effective basis depends on several factors, including the ability to protect staff during the COVID-19 pandemic. We may not be able to attract and retain a sufficient workforce on a cost-effective basis in the future. In the event of increased costs of attracting and retaining a workforce, our business and operating results could be adversely affected.</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Litigation may adversely affect our business, financial condition and results of operations.</w:t>
      </w:r>
    </w:p>
    <w:p>
      <w:pPr>
        <w:spacing w:after="0" w:line="120"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328"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An active, liquid, and orderly trading market for our common stock may not develop, the price of our stock may be volatile, and you could lose all or part of your investment.</w:t>
      </w:r>
    </w:p>
    <w:p>
      <w:pPr>
        <w:spacing w:after="0" w:line="79"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92" w:lineRule="exact"/>
        <w:rPr>
          <w:sz w:val="20"/>
          <w:szCs w:val="20"/>
          <w:color w:val="auto"/>
        </w:rPr>
      </w:pPr>
    </w:p>
    <w:p>
      <w:pPr>
        <w:ind w:left="4420" w:right="3800" w:hanging="3129"/>
        <w:spacing w:after="0" w:line="401" w:lineRule="auto"/>
        <w:tabs>
          <w:tab w:leader="none" w:pos="166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achieve our anticipated corporate objectives;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165100</wp:posOffset>
            </wp:positionV>
            <wp:extent cx="457327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5" w:name="page36"/>
    <w:bookmarkEnd w:id="3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quarterly or annual operating results;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financial or operational estimates or projections;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implement our operational plans;</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the lock-up agreement or other restrictions on the ability of our stockholders to sell shares;</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economic performance or market valuations of companies similar to ours;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or political conditions in the U.S. or elsewhere.</w:t>
      </w:r>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addition, the stock market in general, and the market for technology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6"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incur increased costs and demands upon management as a result of complying with the laws and regulations affecting public companies, which could adversely affect our operating results.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As a public company, we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In addition, our management team also has to adapt to the requirements of being a public company. We expect complying with these rules and regulations will substantially increase our legal and financial compliance costs and to make some activities more time-consuming and costly.</w:t>
      </w:r>
    </w:p>
    <w:p>
      <w:pPr>
        <w:spacing w:after="0" w:line="98"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6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63" w:lineRule="exact"/>
        <w:rPr>
          <w:sz w:val="20"/>
          <w:szCs w:val="20"/>
          <w:color w:val="auto"/>
        </w:rPr>
      </w:pPr>
    </w:p>
    <w:p>
      <w:pPr>
        <w:jc w:val="both"/>
        <w:ind w:left="900" w:right="92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98" w:lineRule="exact"/>
        <w:rPr>
          <w:sz w:val="20"/>
          <w:szCs w:val="20"/>
          <w:color w:val="auto"/>
        </w:rPr>
      </w:pPr>
    </w:p>
    <w:p>
      <w:pPr>
        <w:jc w:val="both"/>
        <w:ind w:left="900" w:right="900" w:firstLine="384"/>
        <w:spacing w:after="0" w:line="299" w:lineRule="auto"/>
        <w:rPr>
          <w:sz w:val="20"/>
          <w:szCs w:val="20"/>
          <w:color w:val="auto"/>
        </w:rPr>
      </w:pPr>
      <w:r>
        <w:rPr>
          <w:rFonts w:ascii="Times New Roman" w:cs="Times New Roman" w:eastAsia="Times New Roman" w:hAnsi="Times New Roman"/>
          <w:sz w:val="14"/>
          <w:szCs w:val="14"/>
          <w:color w:val="auto"/>
        </w:rPr>
        <w:t>We may experience cyber- 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6" w:name="page37"/>
    <w:bookmarkEnd w:id="3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3" w:lineRule="auto"/>
        <w:rPr>
          <w:sz w:val="20"/>
          <w:szCs w:val="20"/>
          <w:color w:val="auto"/>
        </w:rPr>
      </w:pPr>
      <w:r>
        <w:rPr>
          <w:rFonts w:ascii="Times New Roman" w:cs="Times New Roman" w:eastAsia="Times New Roman" w:hAnsi="Times New Roman"/>
          <w:sz w:val="16"/>
          <w:szCs w:val="16"/>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63"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operations may be impaired if our information technology systems fail to perform adequately or if we are the subject of a data breach or cyber-attack.</w:t>
      </w:r>
    </w:p>
    <w:p>
      <w:pPr>
        <w:spacing w:after="0" w:line="7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rely on information technology systems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01"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 evolving types of cyber-attacks. Any such attacks or precautionary measures taken to prevent anticipated attacks may result in increasing costs, including costs for additional technologies, training, and third-party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328" w:lineRule="exact"/>
        <w:rPr>
          <w:sz w:val="20"/>
          <w:szCs w:val="20"/>
          <w:color w:val="auto"/>
        </w:rPr>
      </w:pPr>
    </w:p>
    <w:p>
      <w:pPr>
        <w:jc w:val="both"/>
        <w:ind w:left="900" w:right="90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7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69" w:lineRule="exact"/>
        <w:rPr>
          <w:sz w:val="20"/>
          <w:szCs w:val="20"/>
          <w:color w:val="auto"/>
        </w:rPr>
      </w:pPr>
    </w:p>
    <w:p>
      <w:pPr>
        <w:jc w:val="both"/>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If our shares of common stock become subject to the penny stock rules, it would become more difficult to trade our shares.</w:t>
      </w:r>
    </w:p>
    <w:p>
      <w:pPr>
        <w:spacing w:after="0" w:line="79"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 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7" w:name="page38"/>
    <w:bookmarkEnd w:id="3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financial and operational projections that we may make from time to time are subject to inherent risks.</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If we were to dissolve, the holders of our securities may lose all or substantial amounts of their investments.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65" w:lineRule="exact"/>
        <w:rPr>
          <w:sz w:val="20"/>
          <w:szCs w:val="20"/>
          <w:color w:val="auto"/>
        </w:rPr>
      </w:pPr>
    </w:p>
    <w:p>
      <w:pPr>
        <w:jc w:val="both"/>
        <w:ind w:left="900" w:right="900"/>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Risks Relating to This Offering</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You will experience immediate and substantial dilution.</w:t>
      </w:r>
    </w:p>
    <w:p>
      <w:pPr>
        <w:spacing w:after="0" w:line="120"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Since the price per share of our common stock being offered is substantially higher than the net tangible book value per share of our common stock, you will suffer substantial dilution in the net tangible book value of the common stock you purchase in this offering. The exercise of our outstanding stock options and warrants could result in further dilution of your investment. See the section titled “Dilution” below for a more detailed illustration of the dilution you would incur if you participate in this offering.</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Our stockholders may be subject to dilution resulting from future offerings of common stock by us.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Our management team will have broad discretion with respect to the use of any net proceeds of this offering.</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Although we have described the intended use of any net proceeds of this offering in the section titled “Use of Proceeds,” our management will have broad discretion in the application of these net proceeds and could use them for purposes other than those contemplated at the time of this offering. Accordingly, you will be relying on the judgment of our management with regard to the use of these net proceeds, and you will not have the opportunity, as part of your investment decision, to assess whether the proceeds are being used appropriately. Our failure to apply these funds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8" w:name="page39"/>
    <w:bookmarkEnd w:id="3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3" w:lineRule="auto"/>
        <w:rPr>
          <w:sz w:val="20"/>
          <w:szCs w:val="20"/>
          <w:color w:val="auto"/>
        </w:rPr>
      </w:pPr>
      <w:r>
        <w:rPr>
          <w:rFonts w:ascii="Times New Roman" w:cs="Times New Roman" w:eastAsia="Times New Roman" w:hAnsi="Times New Roman"/>
          <w:sz w:val="16"/>
          <w:szCs w:val="16"/>
          <w:color w:val="auto"/>
        </w:rPr>
        <w:t>effectively could have a material adverse effect on our business, financial condition, results of operations, liquidity or ability to pay dividends and cause the price of our common stock to decline. Pending another use, we may invest the net proceeds in short-term interest-bearing investment grade instruments. These investments may not yield a favorable return to our stockholders.</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There are risks, including stock market volatility, inherent in owning our common stock.</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market price and volume of our common stock have been, and may continue to be, subject to significant fluctuations. These fluctuations may arise from general stock market conditions, the impact of risk factors described herein on our results of operations and financial position, or a change in opinion in the market regarding our business prospects, financial performance and other factors.</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The Pre-Funded Warrants are speculative in nature.</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Commencing on the date of issuance, holders of Pre-Funded Warrants may exercise their right to acquire our common stock and pay an exercise price per share equal to $0.001 per share, subject to certain adjustments, without expiration. Following this offering, the market value of the Pre- Funded Warrants, if any, is uncertain and there can be no assurance that the market price of our common stock will ever equal or exceed their imputed offering price.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We expect that the liquidity of the Pre-Funded Warrants will be limited.</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There is no established public trading market for the Pre-Funded Warrants being offered in this offering, and we do not expect a market to develop. In addition, we do not intend to apply to list the Pre- Funded Warrants on any national securities exchange or other nationally recognized trading system, including The Nasdaq Capital Market. Without an active market, the liquidity of the Pre-Funded Warrants will be limited.</w:t>
      </w:r>
    </w:p>
    <w:p>
      <w:pPr>
        <w:spacing w:after="0" w:line="163" w:lineRule="exact"/>
        <w:rPr>
          <w:sz w:val="20"/>
          <w:szCs w:val="20"/>
          <w:color w:val="auto"/>
        </w:rPr>
      </w:pPr>
    </w:p>
    <w:p>
      <w:pPr>
        <w:ind w:left="900" w:right="9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Holders of the Pre-Funded Warrants purchased in this offering will have no rights as stockholders until such holders exercise such warrants and acquire our common stock.</w:t>
      </w:r>
    </w:p>
    <w:p>
      <w:pPr>
        <w:spacing w:after="0" w:line="79"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Until holders of the Pre-Funded Warrants acquire shares of our common stock upon exercise thereof, holders of such Pre-Funded Warrants will have no rights with respect to the shares of our common stock underlying such Pre-Funded Warrants. Upon exercise of the Pre-Funded Warrants, such holders will be entitled to exercise the rights of a common stockholder only as to matters for which the record date occurs after the exercise date.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39" w:name="page40"/>
    <w:bookmarkEnd w:id="3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SPECIAL NOTE REGARDING FORWARD-LOOKING STATEMENTS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This prospectus contains, and the documents incorporated herein by reference contain, forward-looking statements and information relating to Agrify Corporation. All statements other than statements of historical facts contained in this prospectus and the documents incorporated by reference herein,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86" w:lineRule="exact"/>
        <w:rPr>
          <w:sz w:val="20"/>
          <w:szCs w:val="20"/>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market opportunity;</w:t>
      </w:r>
    </w:p>
    <w:p>
      <w:pPr>
        <w:spacing w:after="0" w:line="104"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increased competition as well as innovations by new and existing competitors in our market;</w:t>
      </w:r>
    </w:p>
    <w:p>
      <w:pPr>
        <w:spacing w:after="0" w:line="71"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retain our existing customers and to increase our number of customers;</w:t>
      </w:r>
    </w:p>
    <w:p>
      <w:pPr>
        <w:spacing w:after="0" w:line="104"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revenue from our customers pursuant to existing total turn-key (TTK) solution implementations;</w:t>
      </w:r>
    </w:p>
    <w:p>
      <w:pPr>
        <w:spacing w:after="0" w:line="71"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growth of the indoor agriculture industry and demands of our customers;</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manage or sustain our growth;</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integration of complementary businesses and technologies;</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or strengthen awareness of, our brand;</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revenue, hiring plans, expenses, capital expenditures, and capital requirements;</w:t>
      </w:r>
    </w:p>
    <w:p>
      <w:pPr>
        <w:spacing w:after="0" w:line="104"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new or modified laws and regulations that currently apply or become applicable to our business;</w:t>
      </w:r>
    </w:p>
    <w:p>
      <w:pPr>
        <w:spacing w:after="0" w:line="71"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loss of key employees or management personnel;</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performance and capital requirements; and</w:t>
      </w:r>
    </w:p>
    <w:p>
      <w:pPr>
        <w:spacing w:after="0" w:line="104"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protect, and enhance our intellectual property.</w:t>
      </w:r>
    </w:p>
    <w:p>
      <w:pPr>
        <w:spacing w:after="0" w:line="116"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We caution you that the foregoing list may not contain all of the forward-looking statements made in this prospectus and the documents incorporated by reference herein. We have based these forward-looking statements largely on our current expectations and projections about future events and financial trends that we believe may affect our financial condition, results of operations, business strategy, short term and long -term business operations and objectives, and financial needs. These forward-looking statements are subject to a number of risks, uncertainties and assumptions, including those described under the heading “Risk Factors” in this prospectus and in the documents incorporated by reference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and in the documents incorporated by reference herein may not occur and actual results could differ materially and adversely from those anticipated or implied in the forward-looking statements.</w:t>
      </w:r>
    </w:p>
    <w:p>
      <w:pPr>
        <w:spacing w:after="0" w:line="26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 -looking statements by these cautionary statements.</w:t>
      </w:r>
    </w:p>
    <w:p>
      <w:pPr>
        <w:spacing w:after="0" w:line="95" w:lineRule="exact"/>
        <w:rPr>
          <w:sz w:val="20"/>
          <w:szCs w:val="20"/>
          <w:color w:val="auto"/>
        </w:rPr>
      </w:pPr>
    </w:p>
    <w:p>
      <w:pPr>
        <w:jc w:val="both"/>
        <w:ind w:left="900" w:right="880" w:firstLine="384"/>
        <w:spacing w:after="0" w:line="284"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0" w:name="page41"/>
    <w:bookmarkEnd w:id="4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 FOR COMMON STOCK</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“AGFY”. On February 27, 2024, the last reported sale price of our common stock as reported by The Nasdaq Capital Market was $0.5171 per share. As of such date, we had approximately 62 stockholders of record.</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have never declared or paid any cash dividends on our capital stock. We currently intend to retain future earnings, if any, and all currently available funds for use in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our current or future financing instruments.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1" w:name="page42"/>
    <w:bookmarkEnd w:id="4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1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certain information about our executive officers, key employees and directors as of the date of this prospectus.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26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Raymond Chang</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8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and Chief Executive Officer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David Kessler</w:t>
            </w:r>
          </w:p>
        </w:tc>
        <w:tc>
          <w:tcPr>
            <w:tcW w:w="5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45</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Chief Science Officer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Brian Towns</w:t>
            </w:r>
          </w:p>
        </w:tc>
        <w:tc>
          <w:tcPr>
            <w:tcW w:w="540" w:type="dxa"/>
            <w:vAlign w:val="bottom"/>
            <w:gridSpan w:val="2"/>
            <w:shd w:val="clear" w:color="auto" w:fill="CCEEFF"/>
          </w:tcPr>
          <w:p>
            <w:pPr>
              <w:jc w:val="center"/>
              <w:ind w:left="22"/>
              <w:spacing w:after="0" w:line="167" w:lineRule="exact"/>
              <w:rPr>
                <w:sz w:val="20"/>
                <w:szCs w:val="20"/>
                <w:color w:val="auto"/>
              </w:rPr>
            </w:pPr>
            <w:r>
              <w:rPr>
                <w:rFonts w:ascii="Times New Roman" w:cs="Times New Roman" w:eastAsia="Times New Roman" w:hAnsi="Times New Roman"/>
                <w:sz w:val="16"/>
                <w:szCs w:val="16"/>
                <w:color w:val="auto"/>
                <w:w w:val="99"/>
              </w:rPr>
              <w:t>37</w:t>
            </w:r>
          </w:p>
        </w:tc>
        <w:tc>
          <w:tcPr>
            <w:tcW w:w="80" w:type="dxa"/>
            <w:vAlign w:val="bottom"/>
            <w:shd w:val="clear" w:color="auto" w:fill="CCEEFF"/>
          </w:tcPr>
          <w:p>
            <w:pPr>
              <w:spacing w:after="0"/>
              <w:rPr>
                <w:sz w:val="14"/>
                <w:szCs w:val="14"/>
                <w:color w:val="auto"/>
              </w:rPr>
            </w:pPr>
          </w:p>
        </w:tc>
        <w:tc>
          <w:tcPr>
            <w:tcW w:w="42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Executive Vice President and General Manager of Extraction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Division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Max Holtzman</w:t>
            </w:r>
          </w:p>
        </w:tc>
        <w:tc>
          <w:tcPr>
            <w:tcW w:w="5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54</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I-Tseng Jenny Chan</w:t>
            </w:r>
          </w:p>
        </w:tc>
        <w:tc>
          <w:tcPr>
            <w:tcW w:w="5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50</w:t>
            </w:r>
          </w:p>
        </w:tc>
        <w:tc>
          <w:tcPr>
            <w:tcW w:w="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Leonard J. Sokolow</w:t>
            </w:r>
          </w:p>
        </w:tc>
        <w:tc>
          <w:tcPr>
            <w:tcW w:w="5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67</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4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 Mahoney</w:t>
            </w:r>
          </w:p>
        </w:tc>
        <w:tc>
          <w:tcPr>
            <w:tcW w:w="5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67</w:t>
            </w:r>
          </w:p>
        </w:tc>
        <w:tc>
          <w:tcPr>
            <w:tcW w:w="8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3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Krishnan Varier</w:t>
            </w:r>
          </w:p>
        </w:tc>
        <w:tc>
          <w:tcPr>
            <w:tcW w:w="5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44</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900" w:right="900" w:firstLine="384"/>
        <w:spacing w:after="0" w:line="251" w:lineRule="auto"/>
        <w:rPr>
          <w:sz w:val="20"/>
          <w:szCs w:val="20"/>
          <w:color w:val="auto"/>
        </w:rPr>
      </w:pPr>
      <w:r>
        <w:rPr>
          <w:rFonts w:ascii="Times New Roman" w:cs="Times New Roman" w:eastAsia="Times New Roman" w:hAnsi="Times New Roman"/>
          <w:sz w:val="15"/>
          <w:szCs w:val="15"/>
          <w:b w:val="1"/>
          <w:bCs w:val="1"/>
          <w:i w:val="1"/>
          <w:iCs w:val="1"/>
          <w:color w:val="auto"/>
        </w:rPr>
        <w:t xml:space="preserve">Raymond Chang. </w:t>
      </w:r>
      <w:r>
        <w:rPr>
          <w:rFonts w:ascii="Times New Roman" w:cs="Times New Roman" w:eastAsia="Times New Roman" w:hAnsi="Times New Roman"/>
          <w:sz w:val="15"/>
          <w:szCs w:val="15"/>
          <w:color w:val="auto"/>
        </w:rPr>
        <w:t>Mr. Chang has served as Chief Executive Officer and Chairman of the Board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Directors since June 2019 and served as the Company’s President from June 2019 to November 2021.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 -five “Next Generation Global Leaders Under 40” and by Business Week Asia as one of Asia’s 20 most influential new economy leaders in the 21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5"/>
          <w:szCs w:val="15"/>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Mr. Chang has served as a Director of our Company since June 2019.</w:t>
      </w:r>
    </w:p>
    <w:p>
      <w:pPr>
        <w:spacing w:after="0" w:line="270" w:lineRule="exact"/>
        <w:rPr>
          <w:sz w:val="20"/>
          <w:szCs w:val="20"/>
          <w:color w:val="auto"/>
        </w:rPr>
      </w:pPr>
    </w:p>
    <w:p>
      <w:pPr>
        <w:jc w:val="both"/>
        <w:ind w:left="900" w:right="900" w:firstLine="384"/>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David Kessler. </w:t>
      </w:r>
      <w:r>
        <w:rPr>
          <w:rFonts w:ascii="Times New Roman" w:cs="Times New Roman" w:eastAsia="Times New Roman" w:hAnsi="Times New Roman"/>
          <w:sz w:val="14"/>
          <w:szCs w:val="14"/>
          <w:color w:val="auto"/>
        </w:rPr>
        <w:t>Mr. Kessler has served as our Chief Science Officer since July 2022. Since 2013, he has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served as owner and operator of Willowbrook Orchids LLC, a national award -winning boutique orchid nursery. From 2006 through 2016, Mr. Kessler served as a Horticulturist at Atlantic Hydroponics, where he oversaw project management. Mr. Kessler has over twenty years of cannabis cultivation experience including ten years of CEA (closed environmental agriculture) indoor farm design. Mr. Kessler’s focus on the application of technology to optimize process &amp; workflow while reducing operational costs are a common theme throughout his prolific industry publications having written for such companies as Sunlight Supply, Maximum Yield Magazine, Botanicare, and Hawthorne Gardening Company. Mr. Kessler also regularly lectures at many cannabis industry events and appears regularly on industry podcasts. Mr. Kessler’s decades of experience with horticultural lighting have allowed him the opportunity to be a product tester for companies such as Sharp Electronics and the Horticultural Lighting Group. He has worked with independent 3 party laboratories to provide unbiased testing data comparing product performance from a multitude of horticultural lighting manufacturers. Mr. Kessler received a Bachelor of Arts degree and undertook post graduate studies in biology at SUNY-Oswego.</w:t>
      </w:r>
    </w:p>
    <w:p>
      <w:pPr>
        <w:spacing w:after="0" w:line="25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Brian Towns. </w:t>
      </w:r>
      <w:r>
        <w:rPr>
          <w:rFonts w:ascii="Times New Roman" w:cs="Times New Roman" w:eastAsia="Times New Roman" w:hAnsi="Times New Roman"/>
          <w:sz w:val="16"/>
          <w:szCs w:val="16"/>
          <w:color w:val="auto"/>
        </w:rPr>
        <w:t>Mr. Towns has served as the Executive Vice President and General Manager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Extraction Division since May 2023, and previously served as Vice President of Operations from October 2021 through May 2023. Prior to that role, Mr. Towns served as Operations Manager of Precision Extraction from October 2016 through January 2019, at which time, Mr. Towns was appointed as the Director of Operations role at Precision Extraction in January 2019 until the acquisition by Agrify in October 2021. In these roles, with increasing responsibility, he oversaw multiple critical functions, including supply chain management, manufacturing, compliance, engineering, customer support, and field service teams. Mr. Town’s visionary approach and commitment to maintaining the highest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2" w:name="page43"/>
    <w:bookmarkEnd w:id="4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900" w:right="920"/>
        <w:spacing w:after="0" w:line="237" w:lineRule="auto"/>
        <w:rPr>
          <w:sz w:val="20"/>
          <w:szCs w:val="20"/>
          <w:color w:val="auto"/>
        </w:rPr>
      </w:pPr>
      <w:r>
        <w:rPr>
          <w:rFonts w:ascii="Times New Roman" w:cs="Times New Roman" w:eastAsia="Times New Roman" w:hAnsi="Times New Roman"/>
          <w:sz w:val="16"/>
          <w:szCs w:val="16"/>
          <w:color w:val="auto"/>
        </w:rPr>
        <w:t>standards ensured that Precision Extraction delivered top-notch products and services to its customers. The acquisition of Precision Extraction by Agrify in October of 2021 and the addition of industry leading equipment providers Pure Pressure, Lab Society, and Cascade Sciences put Mr. Towns in the position to lead the extraction businesses. At Agrify, Mr. Town’s expertise and innovative mindset continue to drive the extraction division’s success. With 7 years of experience in the cannabis extraction industry, Mr. Towns helps spearhead the development and implementation of cutting-edge extraction technologies, ensuring Agrify remains at the forefront of the market. Before joining Agrify, Mr. Towns honed his skills in executive protection, ensuring the safety and security of high- profile individuals from January 2012 through September 2014 as an account executive. Mr. Town’s early career led him to regional management in the wireless retail business from August 2014 to October 2016, where he demonstrated exceptional leadership and strategic acumen. Mr. Towns received his formal education in Michigan.</w:t>
      </w:r>
    </w:p>
    <w:p>
      <w:pPr>
        <w:spacing w:after="0" w:line="98" w:lineRule="exact"/>
        <w:rPr>
          <w:sz w:val="20"/>
          <w:szCs w:val="20"/>
          <w:color w:val="auto"/>
        </w:rPr>
      </w:pPr>
    </w:p>
    <w:p>
      <w:pPr>
        <w:jc w:val="both"/>
        <w:ind w:left="900" w:right="900" w:firstLine="384"/>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Max Holtzman. </w:t>
      </w:r>
      <w:r>
        <w:rPr>
          <w:rFonts w:ascii="Times New Roman" w:cs="Times New Roman" w:eastAsia="Times New Roman" w:hAnsi="Times New Roman"/>
          <w:sz w:val="14"/>
          <w:szCs w:val="14"/>
          <w:color w:val="auto"/>
        </w:rPr>
        <w:t>Mr. Holtzman has served as a member of our Board of Directors since July 14, 2022.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Mr. Holtzman has served as Operations Director at Ocean 14 Capital, a private equity impact fund focused on the Blue Economy, since December 2021. Mr. Holtzman has also served as Investments Principal at Pontos Aqua, LLC, which provides strategic advisory services in the global seafood and aquaculture space, since June 2017. Mr. Holtzman is a founding officer of Stronger America through Seafood, which strives to increase the production of healthy, sustainable, and affordable seafood in the United States. Mr. Holtzman previously served as the Vice Chairman of Capitol Peak Asset Management, which focused on infrastructure projects and companies in Rural America. Prior to Capitol Peak, Mr. Holtzman was appointed by President Obama as the Senior Advisor to the United States Secretary of Agriculture. From 2009 to 2014, Mr. Holtzman advised the Secretary on the development of new public-private partnerships, aquaculture, trade, biotechnology, and international food security. He also served as Acting Deputy Under Secretary for Farm and Foreign Agriculture Services and as Acting Deputy Under Secretary of Marketing and Regulatory Programs. In these roles, Mr. Holtzman represented the United States in its negotiations with the Peoples Republic of China as a four- time Delegate on the Joint Committee on Commerce and Trade, and he was regularly involved with a multitude of international trade issues, trade missions, and trade negotiations. He also served as the United States Chairman of the North American Biotechnology Initiative, which includes the United States, Canada, and Mexico. Prior to this appointment, Mr. Holtzman, an attorney for over 25 years, provided strategic consulting to multi- national companies related to transportation infrastructure, project finance, public-private partnerships, health care, and government procurement. He also served as a City Attorney and Special Counsel to several municipalities. Mr. Holtzman has served as a Board Member of The Arcadia Center for Sustainable Food and Agriculture since September 2016, the Founding Chairman of Adopt-A-Classroom, and he has sat on the Global Advisory Council of Secure System since January 2018. Mr. Holtzman received his undergraduate degree in Agricultural Economics from the University of Florida’s Institute of Food and Agricultural Sciences and his law degree from the University of Miami.</w:t>
      </w:r>
    </w:p>
    <w:p>
      <w:pPr>
        <w:spacing w:after="0" w:line="200" w:lineRule="exact"/>
        <w:rPr>
          <w:sz w:val="20"/>
          <w:szCs w:val="20"/>
          <w:color w:val="auto"/>
        </w:rPr>
      </w:pPr>
    </w:p>
    <w:p>
      <w:pPr>
        <w:spacing w:after="0" w:line="244" w:lineRule="exact"/>
        <w:rPr>
          <w:sz w:val="20"/>
          <w:szCs w:val="20"/>
          <w:color w:val="auto"/>
        </w:rPr>
      </w:pPr>
    </w:p>
    <w:p>
      <w:pPr>
        <w:jc w:val="both"/>
        <w:ind w:left="900" w:right="900" w:firstLine="384"/>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I-Tseng Jenny Chan. </w:t>
      </w:r>
      <w:r>
        <w:rPr>
          <w:rFonts w:ascii="Times New Roman" w:cs="Times New Roman" w:eastAsia="Times New Roman" w:hAnsi="Times New Roman"/>
          <w:sz w:val="16"/>
          <w:szCs w:val="16"/>
          <w:color w:val="auto"/>
        </w:rPr>
        <w:t>Ms. Chan joined Agrify’s Board of Directors in January 2024. Ms. Chan is a luxury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brand professional with more than twenty years’ expertise in selling and curating rare gems and antiques. From 2012 to 2018, Ms. Chan served as founder of Studio Rouge in Taipei, Taiwan, where she was responsible for jewelry procurement and merchandise development. Prior to that, Ms. Chan served in various roles at De Beers, Dior Joallerie, JP Collections, Nortel Networks and Thomasville Jewelry Company. Ms. Chan received a Bachelor of Engineering from McGill University and a Master of Science at the University of Illinois.</w:t>
      </w:r>
    </w:p>
    <w:p>
      <w:pPr>
        <w:spacing w:after="0" w:line="96"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Leonard J. Sokolow. </w:t>
      </w:r>
      <w:r>
        <w:rPr>
          <w:rFonts w:ascii="Times New Roman" w:cs="Times New Roman" w:eastAsia="Times New Roman" w:hAnsi="Times New Roman"/>
          <w:sz w:val="16"/>
          <w:szCs w:val="16"/>
          <w:color w:val="auto"/>
        </w:rPr>
        <w:t>Mr. Sokolow has served as a member of Agrify’s Board of Directors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December 2021. Since September 2023, Mr. Sokolow has served as co-Chief Executive Officer of SKYX Platforms Corp. (Nasdaq: SKYX). He had served as in independent director and board committee member of SKYX Platforms since 2015 and continues to serve as a board member of that company. From 2015 to August 2023, Mr. Sokolow served as Chief Executive Officer and President of Newbridge Financial, Inc., a financial services holding company. From 2015 to July 2022 Mr. Sokolow served as Chairman of Newbridge Securities Corporation, Newbridge Financial, Inc.’s full service broker -dealer. From August 2022 to August 2023 Mr. Sokolow served as CEO of Newbridge Securities Corporation and Newbridge Financial Services Group, Inc., Newbridge Financial, Inc.’s, full service registered investment adviser. From 2008 through 2012, he served as President and Vice Chairman of National Holdings Corporation, a publicly traded financial services company. From November 1999 until January 2008, Mr. Sokolow was Chief Executive Officer and President, and a member of the Board of Directors, of vFinance Inc., a publicly traded financial services company, which he cofounded. Mr. Sokolow was the Chairman of the Board of Directors and Chief Executive Officer of vFinance Inc. from January 2007 until July 2008, when it merged into National Holdings Corporation. From 1994 to 1998, Mr. Sokolow was founder, Chairman and Chief Executive Officer of the Americas Growth Fund Inc., a closed -end registered investment company. From 1988 until 1993, Mr. Sokolow was an Executive Vice President and the General Counsel of Applica Inc., a publicly traded appliance marketing and distribution</w:t>
      </w:r>
    </w:p>
    <w:p>
      <w:pPr>
        <w:spacing w:after="0" w:line="1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3" w:name="page44"/>
    <w:bookmarkEnd w:id="4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16"/>
          <w:szCs w:val="16"/>
          <w:color w:val="auto"/>
        </w:rPr>
        <w:t>company. From 1982 until 1988, Mr. Sokolow practiced corporate, securities and tax law and was one of the founding attorneys and a partner of an international boutique law firm. From 1980 until 1982, he worked as a Certified Public Accountant for Ernst &amp; Young and KPMG Peat Marwick. Since June 2006, Mr. Sokolow has served on the Board of Directors of Consolidated Water Company Ltd. (Nasdaq: CWCO) and as Chairman of its Audit Committee; as well as a member of its Nominations and Corporate Governance Committee since 2011. Since December 2021, Mr. Sokolow has served as a member of the Board of Directors of Agrify Corporation (Nasdaq: AGFY), where he currently serves as a member of the Audit Committee and the Compensation Committee. Mr. Sokolow received his B.A. and J.D. degrees from the University of Florida and a Masters of Law in Taxation from New York University Law School and remains a Certified Public Accountant.</w:t>
      </w:r>
    </w:p>
    <w:p>
      <w:pPr>
        <w:spacing w:after="0" w:line="94"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b w:val="1"/>
          <w:bCs w:val="1"/>
          <w:i w:val="1"/>
          <w:iCs w:val="1"/>
          <w:color w:val="auto"/>
        </w:rPr>
        <w:t xml:space="preserve">Timothy Mahoney. </w:t>
      </w:r>
      <w:r>
        <w:rPr>
          <w:rFonts w:ascii="Times New Roman" w:cs="Times New Roman" w:eastAsia="Times New Roman" w:hAnsi="Times New Roman"/>
          <w:sz w:val="14"/>
          <w:szCs w:val="14"/>
          <w:color w:val="auto"/>
        </w:rPr>
        <w:t>Mr. Mahoney is the owner of Caribou LLC, a strategic advisory firm he founded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Mr. Mahoney served as a U.S. Representative for Florida’s 16 congressional district from January 2007 to January 2009. From 1998 to 2007, Mr. Mahoney was a Co-Founder of vFinance, Inc., which subsequently acquired National Holdings Corporation. National Holdings Corporation has grown to become one of America’s leading middle - market investment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Mr. Mahoney has served as a member of Agrify’s Board of Directors since December 2020.</w:t>
      </w:r>
    </w:p>
    <w:p>
      <w:pPr>
        <w:spacing w:after="0" w:line="257"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b w:val="1"/>
          <w:bCs w:val="1"/>
          <w:i w:val="1"/>
          <w:iCs w:val="1"/>
          <w:color w:val="auto"/>
        </w:rPr>
        <w:t xml:space="preserve">Krishnan Varier. </w:t>
      </w:r>
      <w:r>
        <w:rPr>
          <w:rFonts w:ascii="Times New Roman" w:cs="Times New Roman" w:eastAsia="Times New Roman" w:hAnsi="Times New Roman"/>
          <w:sz w:val="16"/>
          <w:szCs w:val="16"/>
          <w:color w:val="auto"/>
        </w:rPr>
        <w:t>Mr. Varier joined Agrify’s Board of Directors in June 2020, after briefly serving as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board observer. He is a Managing Partner and the Chief Investment Officer of Arcadian Capital Management, a Los Angeles, California based venture capital private equity firm particularly focused on investing in ancillary businesses related to the cannabis and hemp industries. He has served in this role since joining Arcadian in 2018 to help lead its principal investing activities, bringing more than 15 years of financial services and Wall Street deal-making experience. From 2016 through 2018, Mr. Varier formed Varier Venture Consulting LLC to assist in the growth of early-stage startup companies, primarily by providing strategic advice regarding capital raising strategies. From 2014 through 2016, Mr. Varier was an investment banker with Cowen &amp; Company, where he covered corporate clients in the healthcare biotechnology industry. From 2013 through 2014, he was a Senior Investment Analyst with Health Care REIT, which has since been re -branded as Welltower REIT, and is a leading provider of real estate capital to seniors housing operators, post- acute healthcare providers and health systems. From 2011 through 2013, Mr. Varier was an investment banker in BofA -Merrill Lynch’s Global Corporate &amp; Investment Banking group covering healthcare corporate clients. He began his investment banking career in 2010 with Morgan Keegan, which is now part of Raymond James Financial Services, Inc. Mr. Varier has been involved in more than $6 billion in closed capital raising and merger and acquisition transactions as an investment banking professional. Mr. Varier earned a B.A. in Economics with a focus in Business Administration in 2001 from the University of Texas at Austin. In 2010, Mr. Varier received an MBA degree in Finance and Investment Management from the University of North Carolina at Chapel Hill, Kenan-Flagler Business School. Mr. Varier has served as a member of our Board of Directors since June 2020.</w:t>
      </w:r>
    </w:p>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Family relationships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There are no family relationships among any of our executive officers or directors.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4" w:name="page45"/>
    <w:bookmarkEnd w:id="4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1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Board and Board Committee Matters</w:t>
      </w:r>
    </w:p>
    <w:p>
      <w:pPr>
        <w:spacing w:after="0" w:line="106"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Board currently consists of six directors. The Board has determined that Max Holtzman, Timothy Mahoney, Leonard J. Sokolow, and Krishnan Varier are all “Independent” directors under the Nasdaq listing standards.</w:t>
      </w:r>
    </w:p>
    <w:p>
      <w:pPr>
        <w:spacing w:after="0" w:line="8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As required by the Nasdaq listing standards, the Board must be composed of a majority of independent directors. The committee charters are reviewed annually and updated as necessary to reflect changes in regulatory requirements and evolving oversight practices.</w:t>
      </w:r>
    </w:p>
    <w:p>
      <w:pPr>
        <w:spacing w:after="0" w:line="80"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 xml:space="preserve">The Board currently has four standing committees consisting of: the Nominating and Corporate Governance Committee, the Compensation Committee, and the Audit Committee and the Mergers and Acquisitions Committee. No member of the Audit, Compensation or Nominating and Corporate Governance Committee is an employee of the Company or its subsidiaries, and all are currently independent as defined by the Nasdaq listing standards. In March 2022, the Company became aware of a consulting arrangement between an entity partially owned by Mr. Mahoney and the Company that resulted in Mr. Mahoney not being considered independent for purposes of Audit Committee membership. Mr. Mahoney did not provide any consulting services on behalf of the consulting group and did not receive any fees from the consulting group in connection with the agreement between the consulting group and the Company. The Company promptly terminated the consulting relationship, upon which Mr. Mahoney regained his independent status for Audit Committee purposes. Each of the Audit, Compensation and Nominating and Corporate Governance Committees has a written charter approved by the Board of Directors. The committee charters as well as the Company’s Code of Conduct and Ethics, which applies to all directors, officers and employees, are available under “Corporate Governance” in the Investor Relations section of our Company’s website at </w:t>
      </w:r>
      <w:r>
        <w:rPr>
          <w:rFonts w:ascii="Times New Roman" w:cs="Times New Roman" w:eastAsia="Times New Roman" w:hAnsi="Times New Roman"/>
          <w:sz w:val="14"/>
          <w:szCs w:val="14"/>
          <w:i w:val="1"/>
          <w:iCs w:val="1"/>
          <w:color w:val="auto"/>
        </w:rPr>
        <w:t>https://ir.agrify.com.</w:t>
      </w:r>
      <w:r>
        <w:rPr>
          <w:rFonts w:ascii="Times New Roman" w:cs="Times New Roman" w:eastAsia="Times New Roman" w:hAnsi="Times New Roman"/>
          <w:sz w:val="14"/>
          <w:szCs w:val="14"/>
          <w:color w:val="auto"/>
        </w:rPr>
        <w:t xml:space="preserve"> Please note that the information contained on the Company website is not incorporated by reference in, or considered to be a part of, this proxy statement.</w:t>
      </w: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current members of the Committees are identified below:</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Corporate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Mergers and</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0" w:type="dxa"/>
            <w:vAlign w:val="bottom"/>
          </w:tcPr>
          <w:p>
            <w:pPr>
              <w:spacing w:after="0"/>
              <w:rPr>
                <w:sz w:val="1"/>
                <w:szCs w:val="1"/>
                <w:color w:val="auto"/>
              </w:rPr>
            </w:pPr>
          </w:p>
        </w:tc>
      </w:tr>
      <w:tr>
        <w:trPr>
          <w:trHeight w:val="28"/>
        </w:trPr>
        <w:tc>
          <w:tcPr>
            <w:tcW w:w="17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Max Holtzman</w:t>
            </w:r>
          </w:p>
        </w:tc>
        <w:tc>
          <w:tcPr>
            <w:tcW w:w="8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X (Chair)</w:t>
            </w:r>
          </w:p>
        </w:tc>
        <w:tc>
          <w:tcPr>
            <w:tcW w:w="100" w:type="dxa"/>
            <w:vAlign w:val="bottom"/>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51"/>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Timothy Mahoney</w:t>
            </w:r>
          </w:p>
        </w:tc>
        <w:tc>
          <w:tcPr>
            <w:tcW w:w="8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X (Chair)</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Leonard J. Sokolow</w:t>
            </w:r>
          </w:p>
        </w:tc>
        <w:tc>
          <w:tcPr>
            <w:tcW w:w="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Krishnan Varier</w:t>
            </w:r>
          </w:p>
        </w:tc>
        <w:tc>
          <w:tcPr>
            <w:tcW w:w="8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6"/>
              </w:rPr>
              <w:t>X</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X (Chair)</w:t>
            </w:r>
          </w:p>
        </w:tc>
        <w:tc>
          <w:tcPr>
            <w:tcW w:w="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X (Chair)</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900" w:right="9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The current members of the Nominating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Governance Committee are directors Holtzman, who chairs the committee, Mahoney and Varier. Each of these directors is independent as defined under applicable Nasdaq listing requirements. This Committee’s responsibilities include the selection of potential candidates for the Board.</w:t>
      </w:r>
    </w:p>
    <w:p>
      <w:pPr>
        <w:spacing w:after="0" w:line="8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The current members of the Compensation Committee are directors Mahoney,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who chairs the committee, Sokolow and Holtzman. Each of these directors is independent as defined under applicable Nasdaq listing requirements. The Compensation Committee is responsible for discharging the responsibilities of the Board with respect to the compensation of our executive officers. The Compensation Committee sets performance goals and objectives for the Chief Executive Officer and the other executive officers, evaluates their performance with respect to those goals and sets their compensation based upon the evaluation of their performance. In evaluating executive officer pay, the Compensation Committee has retained the services of a compensation consultant and considers recommendations from the Chief Executive Officer with respect to goals and compensation of the other executive officers. The Compensation Committee assesses the information it receives in accordance with its business judgment. The Compensation Committee also periodically reviews director compensation. All decisions with respect to executive and director compensation are approved by the Compensation Committee and, in the case of director compensation, ratified by the Board.</w:t>
      </w:r>
    </w:p>
    <w:p>
      <w:pPr>
        <w:spacing w:after="0" w:line="8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i w:val="1"/>
          <w:iCs w:val="1"/>
          <w:color w:val="auto"/>
        </w:rPr>
        <w:t xml:space="preserve">Audit Committee. </w:t>
      </w:r>
      <w:r>
        <w:rPr>
          <w:rFonts w:ascii="Times New Roman" w:cs="Times New Roman" w:eastAsia="Times New Roman" w:hAnsi="Times New Roman"/>
          <w:sz w:val="16"/>
          <w:szCs w:val="16"/>
          <w:color w:val="auto"/>
        </w:rPr>
        <w:t>The current members of the Audit Committee are directors Varier, who chairs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Mahoney and Sokolow. The Board of Directors has determined that all members of the Audit Committee satisfy the financial literacy requirements of the Nasdaq listing standards and are independent as defined under the Nasdaq listing requirements and applicable Securities and Exchange Commission (“SEC”) rules. In addition, our Board of Directors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5" w:name="page46"/>
    <w:bookmarkEnd w:id="4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0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has determined that each of Messrs. Varier and Sokolow qualifies as an “Audit Committee Financial Expert” as defined under SEC rules. The Audit Committee is primarily concerned with the accuracy and effectiveness of the audits of our Company’s financial statements by our independent registered public accountants. Its duties include, among other things:</w:t>
      </w:r>
    </w:p>
    <w:p>
      <w:pPr>
        <w:spacing w:after="0" w:line="95" w:lineRule="exact"/>
        <w:rPr>
          <w:sz w:val="20"/>
          <w:szCs w:val="20"/>
          <w:color w:val="auto"/>
        </w:rPr>
      </w:pPr>
    </w:p>
    <w:p>
      <w:pPr>
        <w:ind w:left="1680" w:right="920" w:hanging="389"/>
        <w:spacing w:after="0" w:line="259" w:lineRule="auto"/>
        <w:tabs>
          <w:tab w:leader="none" w:pos="1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compensating, retaining, evaluating, terminating, and overseeing our independent registered public accounting firm;</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with our independent registered public accounting firm the independence of its members from our management;</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our independent registered public accounting firm the scope and results of their audit;</w:t>
      </w:r>
    </w:p>
    <w:p>
      <w:pPr>
        <w:spacing w:after="0" w:line="139" w:lineRule="exact"/>
        <w:rPr>
          <w:rFonts w:ascii="Times New Roman" w:cs="Times New Roman" w:eastAsia="Times New Roman" w:hAnsi="Times New Roman"/>
          <w:sz w:val="14"/>
          <w:szCs w:val="14"/>
          <w:color w:val="auto"/>
        </w:rPr>
      </w:pPr>
    </w:p>
    <w:p>
      <w:pPr>
        <w:ind w:left="1680" w:right="900" w:hanging="389"/>
        <w:spacing w:after="0" w:line="259" w:lineRule="auto"/>
        <w:tabs>
          <w:tab w:leader="none" w:pos="1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all audit and permissible non-audit services to be performed by our independent registered public accounting firm;</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7" w:lineRule="auto"/>
        <w:tabs>
          <w:tab w:leader="none" w:pos="1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92"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monitoring our accounting principles, accounting policies, financial and accounting controls, and compliance with legal and regulatory requirements;</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the oversight by our board of directors of our code of business conduct and our disclosure controls and procedures;</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confidential and/or anonymous submission of concerns regarding accounting, internal controls or auditing matters; and</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related party transactions.</w:t>
      </w:r>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Audit Committee considers whether the provisions of these services are compatible with maintaining the auditor’s independence, and it determined such services for 2023 and 2022 were compatible.</w:t>
      </w:r>
    </w:p>
    <w:p>
      <w:pPr>
        <w:spacing w:after="0" w:line="81" w:lineRule="exact"/>
        <w:rPr>
          <w:sz w:val="20"/>
          <w:szCs w:val="20"/>
          <w:color w:val="auto"/>
        </w:rPr>
      </w:pPr>
    </w:p>
    <w:p>
      <w:pPr>
        <w:jc w:val="both"/>
        <w:ind w:left="900" w:right="92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 xml:space="preserve">Mergers and Acquisitions Committee. </w:t>
      </w:r>
      <w:r>
        <w:rPr>
          <w:rFonts w:ascii="Times New Roman" w:cs="Times New Roman" w:eastAsia="Times New Roman" w:hAnsi="Times New Roman"/>
          <w:sz w:val="16"/>
          <w:szCs w:val="16"/>
          <w:color w:val="auto"/>
        </w:rPr>
        <w:t>The current members of the Mergers and Acquisitions Committee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directors Varier, who chairs the committee, Mahoney and Holtzman. The purpose of the Mergers &amp; Acquisitions Committee is to assist the Board and the Audit Committee in evaluating any related party transactions that the Company may consider from time to time.</w:t>
      </w:r>
    </w:p>
    <w:p>
      <w:pPr>
        <w:spacing w:after="0" w:line="1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2023, Messrs. Mahoney, Sokolow and Holtzman each served as members of the Compensation Committee. During 2023, no member of the Compensation Committee is or has ever been one of our officers or an employee of the Company. None of our executive officers serves as a member of the board of directors or compensation committee of any entity that has one or more of its executive officers serving as a member of our Board of Directors or Compensation Committee.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Director Nomination Process</w:t>
      </w:r>
    </w:p>
    <w:p>
      <w:pPr>
        <w:spacing w:after="0" w:line="118"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Our Board of Directors has adopted a Nominating and Corporate Governance Committee Charter, which includes director nomination policies and provisions that are intended to describe the process by which candidates for possible inclusion in the Company’s recommended slate of director nominees are selected. The nomination policies are administered by the Nominating and Corporate Governance Committee of the Board of Directors.</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6" w:name="page47"/>
    <w:bookmarkEnd w:id="4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The Board of Directors does not currently prescribe any minimum qualifications for director candidates. Consistent with the criteria for the selection of directors approved by the Board of Directors, the Nominating and Corporate Governance Committee will take into account our current needs and the expertise needed for board service, including experience and achievement in business, finance, technology or other areas relevant to our activities; reputation, ethical character and maturity of judgment; diversity of viewpoints, backgrounds and experiences; absence of conflicts of interest including competitive conflict that might impede the proper performance of the responsibilities of a director; independence under SEC and Nasdaq listing standards; service on other boards of directors; sufficient time to devote to Board matters; and ability to work effectively and collegially with other Board members. In the case of incumbent directors, the Nominating and Corporate Governance Committee will review such directors’ overall service during their term, including the number of meetings attended, level of participation, and quality of performance during their term. For those potential new director candidates who appear upon first consideration to meet the Board’s selection criteria, the Nominating and Corporate Governance Committee will conduct appropriate inquiries into their background and qualifications and, depending on the result of such inquiries, arrange for meetings with the potential candidates. Although the Company does not maintain a separate policy regarding the diversity of the Board, during the director selection process the Nominating and Corporate Governance Committee does consider issues of diversity, such as occupation, gender, race and origin, when evaluating directors for nomination.</w:t>
      </w:r>
    </w:p>
    <w:p>
      <w:pPr>
        <w:spacing w:after="0" w:line="10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The Nominating and Corporate Governance Committee may use multiple sources for identifying director candidates, including its own contacts and referrals from other directors, members of management, the Company’s advisors, and executive search firms. The Nominating and Corporate Governance Committee will consider director candidates recommended by stockholders and will evaluate such director candidates in the same manner in which it evaluates candidates recommended by other sources. In making recommendations for director nominees for the Annual Meeting of Stockholders, the Nominating and Corporate Governance Committee will consider any written recommendations of director candidates by stockholders received by the Corporate Secretary of the Company. Recommendations must include the candidate’s name and contact information and a statement of the candidate’s background and qualifications and must be mailed to Nominating and Corporate Governance Committee, Agrify Corporation, 2468 Industrial Row Drive, Troy, Michigan 48084, Attn: Corporate Secretary.</w:t>
      </w:r>
    </w:p>
    <w:p>
      <w:pPr>
        <w:spacing w:after="0" w:line="260"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 xml:space="preserve">The nomination procedures are intended to provide a flexible set of guidelines for the effective functioning of our director nominations process. The Nominating and Corporate Governance Committee reviews periodically the nomination procedures and anticipates that modifications may be necessary from time to time as our needs and circumstances evolve, and as applicable legal or listing standards change. The Nominating and Corporate Governance Committee may amend, with the approval of our Board of Directors, the nomination procedures included in the Nominating and Corporate Governance Committee charter and our other governance documents at any time, in which case the most current version will be available on our website at </w:t>
      </w:r>
      <w:r>
        <w:rPr>
          <w:rFonts w:ascii="Times New Roman" w:cs="Times New Roman" w:eastAsia="Times New Roman" w:hAnsi="Times New Roman"/>
          <w:sz w:val="14"/>
          <w:szCs w:val="14"/>
          <w:i w:val="1"/>
          <w:iCs w:val="1"/>
          <w:color w:val="auto"/>
        </w:rPr>
        <w:t>https://ir.agrify.com</w:t>
      </w:r>
      <w:r>
        <w:rPr>
          <w:rFonts w:ascii="Times New Roman" w:cs="Times New Roman" w:eastAsia="Times New Roman" w:hAnsi="Times New Roman"/>
          <w:sz w:val="14"/>
          <w:szCs w:val="14"/>
          <w:color w:val="auto"/>
        </w:rPr>
        <w:t>.</w:t>
      </w:r>
    </w:p>
    <w:p>
      <w:pPr>
        <w:spacing w:after="0" w:line="145"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Board Diversity Matrix (As of February 28, 2024)</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Total Number of Directors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492"/>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Part I. Gender Identity</w:t>
            </w:r>
          </w:p>
        </w:tc>
        <w:tc>
          <w:tcPr>
            <w:tcW w:w="100" w:type="dxa"/>
            <w:vAlign w:val="bottom"/>
          </w:tcPr>
          <w:p>
            <w:pPr>
              <w:spacing w:after="0"/>
              <w:rPr>
                <w:sz w:val="16"/>
                <w:szCs w:val="16"/>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80" w:type="dxa"/>
            <w:vAlign w:val="bottom"/>
          </w:tcPr>
          <w:p>
            <w:pPr>
              <w:spacing w:after="0"/>
              <w:rPr>
                <w:sz w:val="16"/>
                <w:szCs w:val="16"/>
                <w:color w:val="auto"/>
              </w:rPr>
            </w:pP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Male</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Non-Binary</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Disclose Gender</w:t>
            </w:r>
          </w:p>
        </w:tc>
        <w:tc>
          <w:tcPr>
            <w:tcW w:w="0" w:type="dxa"/>
            <w:vAlign w:val="bottom"/>
          </w:tcPr>
          <w:p>
            <w:pPr>
              <w:spacing w:after="0"/>
              <w:rPr>
                <w:sz w:val="1"/>
                <w:szCs w:val="1"/>
                <w:color w:val="auto"/>
              </w:rPr>
            </w:pPr>
          </w:p>
        </w:tc>
      </w:tr>
      <w:tr>
        <w:trPr>
          <w:trHeight w:val="28"/>
        </w:trPr>
        <w:tc>
          <w:tcPr>
            <w:tcW w:w="2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Directors</w:t>
            </w:r>
          </w:p>
        </w:tc>
        <w:tc>
          <w:tcPr>
            <w:tcW w:w="10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80" w:type="dxa"/>
            <w:vAlign w:val="bottom"/>
            <w:vMerge w:val="continue"/>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vMerge w:val="continue"/>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vMerge w:val="continue"/>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 II. Demographic Background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African American or Black</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Alaskan Native or Native American</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Asian</w:t>
            </w:r>
          </w:p>
        </w:tc>
        <w:tc>
          <w:tcPr>
            <w:tcW w:w="11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1</w:t>
            </w:r>
          </w:p>
        </w:tc>
        <w:tc>
          <w:tcPr>
            <w:tcW w:w="11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Hispanic or Latinx</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Native Hawaiian or Pacific Islander</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White</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3</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Two or More Races or Ethnicities</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LGBTQ+</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1"/>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Did Not Disclose Demographic</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3"/>
        </w:trPr>
        <w:tc>
          <w:tcPr>
            <w:tcW w:w="2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Background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board diversity matrix for 2022 can be found in our definitive proxy statement filed with the Securities and Exchange Commission on April 29, 2022.</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7" w:name="page48"/>
    <w:bookmarkEnd w:id="4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Director Qualifications</w:t>
      </w:r>
    </w:p>
    <w:p>
      <w:pPr>
        <w:spacing w:after="0" w:line="118"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The Nominating and Corporate Governance Committee reviews annually with the Board the composition of the Board as a whole and recommends, if necessary, measures to be taken so that the Board reflects the appropriate balance of knowledge, experience, skills, expertise and diversity required for the Board as a whole and contains at least the minimum number of independent directors required by applicable laws and regulations. The Nominating and Corporate Governance Committee is responsible for ensuring that the composition of the Board accurately reflects the needs of the Company’s business and, in furtherance of this goal, proposing the addition of members and the necessary resignation of members for purposes of achieving this goal. The Committee also considers the nominees’ roles in assisting with development and implementation of the Company’s strategic plan.</w:t>
      </w:r>
    </w:p>
    <w:p>
      <w:pPr>
        <w:spacing w:after="0" w:line="74"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Board of Directors believes that each director nominee brings a strong and unique background and set of skills to the Board, giving the Board as a whole competence and experience in a wide variety of areas, including corporate governance and board service, executive management, private equity, finance, marketing and international business. Set forth below are the particular experiences, qualifications, attributes or skills, which led the Company’s Board of Directors to conclude that each director nominee should serve as a director of the Company.</w:t>
      </w:r>
    </w:p>
    <w:p>
      <w:pPr>
        <w:spacing w:after="0" w:line="101"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Mr. Chang, a director since June 2019, is currently the chairman and chief executive officer of the Company. Mr. Chang has a wealth of successful experience directing, managing and/or financing early-stage agricultural- and technology -based companies. Mr. Chang’s entrepreneurial nature and well-developed leadership and financial experience led the Nominating and Corporate Governance Committee to conclude that his skills fit with the needs of the Board of Directors and qualified him to continue to serve as a director of the Company.</w:t>
      </w:r>
    </w:p>
    <w:p>
      <w:pPr>
        <w:spacing w:after="0" w:line="6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Mr. Holtzman, a director since July 2022, is Operations Director at Ocean 14 Capital, a private equity impact fund. Mr. Holtzman’s extensive experience in finance, government relations and international trade led the Nominating and Corporate Governance Committee to conclude that his skills and background fit the needs of the Board of Directors and qualified him to continue to serve as a director of the Company.</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Ms. Chan, a director since January 2024, provides the Company with extensive experience in business development and retail sales. Ms. Chan’s experience as an entrepreneur led the Nominating and Corporate Governance Committee to conclude that her skills and background fit the needs of the Board of Directors and qualified her to be a director nominee.</w:t>
      </w:r>
    </w:p>
    <w:p>
      <w:pPr>
        <w:spacing w:after="0" w:line="95"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Mr. Mahoney, a director since December 2020, through his strategic advisory firm, has worked as an independent consultant assisting management teams and boards of directors through the identification of systemic risk and the development of creative strategies targeted towards maximizing shareholder value. He also qualifies as an “audit committee financial expert” as defined under SEC rules. Mr. Mahoney’s knowledge and experience with the legislative process of Congress and his diverse experience and knowledge in corporate governance led the Nominating and Corporate Governance Committee to conclude that his skills and background fit the needs of the Board of Directors and qualified him to continue to serve as a director of the Company.</w:t>
      </w:r>
    </w:p>
    <w:p>
      <w:pPr>
        <w:spacing w:after="0" w:line="75"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Mr. Sokolow, a director since December 2021, is currently the co-Chief Executive Officer of SKYX Platforms, a Nasdaq-listed company. Mr. Sokolow has vast financing and public company executive management and board of director experience. He also qualifies as an “audit committee financial expert” as defined under SEC rules. Mr. Sokolow’s financial experience, combined with his operational and board of director experience led the Nominating and Corporate Governance Committee to conclude that his skills and background fit the needs of the Board of Directors and qualified him to continue to serve as a director of the Company.</w:t>
      </w:r>
    </w:p>
    <w:p>
      <w:pPr>
        <w:spacing w:after="0" w:line="7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Mr. Varier, a director since June 2020, is a managing partner of Arcadian Capital Management, a leader in cannabis venture capital. Mr. Varier has nearly 20 years of experience in corporate finance and investment advisory. He also qualifies as an “audit committee financial expert” as defined under SEC rules. Mr. Varier’s extensive capital markets experience, knowledge of the cannabis industry, as well as his experience working with cannabis companies as an investor, mentor, advisor and consultant, led the Nominating and Corporate Governance Committee to conclude that his overall experience fits the needs of the Board of Directors and qualified him to continue to serve as a director of the Company.</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8" w:name="page49"/>
    <w:bookmarkEnd w:id="4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Leadership Structure</w:t>
      </w:r>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Combining Chairman and Chief Executive Officer Roles. </w:t>
      </w:r>
      <w:r>
        <w:rPr>
          <w:rFonts w:ascii="Times New Roman" w:cs="Times New Roman" w:eastAsia="Times New Roman" w:hAnsi="Times New Roman"/>
          <w:sz w:val="16"/>
          <w:szCs w:val="16"/>
          <w:color w:val="auto"/>
        </w:rPr>
        <w:t>Our Board of Directors is committed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principle of independence from management and to the highest standards of corporate governance. All of our directors other than Mr. Chang and Ms. Chan are independent under Nasdaq listing rules. Our Nominating and Corporate Governance, Audit and Compensation Committees are currently composed entirely of independent directors. Our Board of Directors has adopted a flexible policy regarding the issue of whether the positions of Chairman and Chief Executive Officer should be separate or combined. This policy allows the Board to evaluate regularly whether the Company is best served at any particular time by having our Chief Executive Officer or another director hold the position of Chairman.</w:t>
      </w:r>
    </w:p>
    <w:p>
      <w:pPr>
        <w:spacing w:after="0" w:line="103"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Currently, the Board believes there are several important advantages to combining the positions of Chairman and Chief Executive Officer. The Chief Executive Officer is the director most familiar with our business and industry and is most capable of effectively identifying strategic priorities and leading the discussion and execution of strategy. The Company’s independent directors bring experience, oversight, and expertise from outside the Company and industry, while the Chief Executive Officer brings Company- specific experience and expertise. Combining the Chief Executive Officer and Chairman positions creates a firm link between management and the Board, promotes the development and implementation of corporate strategy and facilitates information flow between management and the Board, which are essential to effective governance. The Board currently believes that combining the roles of Chairman and Chief Executive Officer contributes to a more efficient and effective Board, does not undermine the independence of the Board, and has no bearing on the ethical integrity of the directors.</w:t>
      </w:r>
    </w:p>
    <w:p>
      <w:pPr>
        <w:spacing w:after="0" w:line="3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Board of Directors’ Oversight of Risk</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management bears responsibility for the management and assessment of risk at the Company on a daily basis. Management is also responsible for communicating the most material risks to the Board and its committees, who provide oversight of the risk management practices implemented by management. Our full Board provides oversight for risk management, except for the oversight of risks that have been specifically delegated to a committee. Even when the oversight of a specific area of risk has been delegated to a committee, the full Board may maintain oversight over such risks through the receipt of reports from the committee. In addition, the full Board may assume oversight over a particular risk, even if the risk was initially overseen by a committee, when the Board deems it appropriate. The Board and committee reviews occur principally through the receipt of regular reports from Company management on these areas of risk and discussions with management regarding risk assessment and risk management.</w:t>
      </w:r>
    </w:p>
    <w:p>
      <w:pPr>
        <w:spacing w:after="0" w:line="102"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i w:val="1"/>
          <w:iCs w:val="1"/>
          <w:color w:val="auto"/>
        </w:rPr>
        <w:t xml:space="preserve">Committees. </w:t>
      </w:r>
      <w:r>
        <w:rPr>
          <w:rFonts w:ascii="Times New Roman" w:cs="Times New Roman" w:eastAsia="Times New Roman" w:hAnsi="Times New Roman"/>
          <w:sz w:val="14"/>
          <w:szCs w:val="14"/>
          <w:color w:val="auto"/>
        </w:rPr>
        <w:t>The Audit Committee maintains initial oversight over risks related to the integrity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financial statements, internal control over financial reporting and disclosure controls, the performance of the Company’s independent registered public accounting firm and the operation of the Company’s ethics program. The Company’s Compensation Committee maintains initial oversight of risks related to the Company’s compensation practices, including practices related to equity programs, other executive or Company-wide incentive programs and hiring and retention. The Nominating and Corporate Governance Committee assists the Board of Directors in fulfilling its oversight responsibilities with respect to independence of Board members and compliance with SEC rules and Nasdaq listing standards with respect to Board and committee composition.</w:t>
      </w:r>
    </w:p>
    <w:p>
      <w:pPr>
        <w:spacing w:after="0" w:line="74"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Full Board. </w:t>
      </w:r>
      <w:r>
        <w:rPr>
          <w:rFonts w:ascii="Times New Roman" w:cs="Times New Roman" w:eastAsia="Times New Roman" w:hAnsi="Times New Roman"/>
          <w:sz w:val="16"/>
          <w:szCs w:val="16"/>
          <w:color w:val="auto"/>
        </w:rPr>
        <w:t>At its regularly scheduled meetings, the Board generally receives several reports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include information relating to specific risks faced by the Company. As appropriate, the Company’s Chief Executive Officer or other members of senior management provide operational reports, which include risks relating to the Company’s business. At each regularly scheduled Board meeting, the full Board also receives reports from committee chairpersons, which may include a discussion of risks initially overseen by the committees for discussion and input from the full Board. As noted above, in addition to these regular reports, the Board receives reports on specific areas of risk from time-to-time, such as cyclical or other risks that are not covered in the regular reports given to the Board.</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Stockholder Communications with the Board</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Board of Directors welcomes communications from stockholders. Parties interested in the Company and the operation of the Board or its committees, in addition to contacting management, may contact the Chairman of the Board or the Independent directors as a group by directing requests for such contact through the Company’s Corporate Secretary at “Board of Directors/Non-Employee Directors, Agrify Corporation, 2468 Industrial Row Drive, Troy, Michigan 48084, Attn: Corporate Secretary”. Communications by e - mail should be addressed to board@agrify.com and marked “Attention: Corporate Secretary” in the “Subject” field. Requests for contact, except for those stockholder</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49" w:name="page50"/>
    <w:bookmarkEnd w:id="4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39" w:lineRule="auto"/>
        <w:rPr>
          <w:sz w:val="20"/>
          <w:szCs w:val="20"/>
          <w:color w:val="auto"/>
        </w:rPr>
      </w:pPr>
      <w:r>
        <w:rPr>
          <w:rFonts w:ascii="Times New Roman" w:cs="Times New Roman" w:eastAsia="Times New Roman" w:hAnsi="Times New Roman"/>
          <w:sz w:val="16"/>
          <w:szCs w:val="16"/>
          <w:color w:val="auto"/>
        </w:rPr>
        <w:t>communications that are outside the scope of Board matters or duplicative of other communications by the applicable stockholder and previously forwarded to the intended recipient, shall be directed by the Company’s Corporate Secretary to (a) the intended recipient or (b) the Chairman of the Board, who shall, subject to advice and assistance from the Company’s legal advisors, (i) be primarily responsible for monitoring communications from shareholders and other interested parties and (ii) provide copies or summaries of such communications to the other directors as he or she considers appropriate.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Code of Ethics and Business Conduct</w:t>
      </w:r>
    </w:p>
    <w:p>
      <w:pPr>
        <w:spacing w:after="0" w:line="118"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 xml:space="preserve">The Company has adopted a code of ethics and business conduct that applies to our directors, officers and employees. This code of ethics and business conduct (which we refer to as a “code of conduct”) may be accessed and reviewed through the Company’s website at </w:t>
      </w:r>
      <w:r>
        <w:rPr>
          <w:rFonts w:ascii="Times New Roman" w:cs="Times New Roman" w:eastAsia="Times New Roman" w:hAnsi="Times New Roman"/>
          <w:sz w:val="14"/>
          <w:szCs w:val="14"/>
          <w:i w:val="1"/>
          <w:iCs w:val="1"/>
          <w:color w:val="auto"/>
        </w:rPr>
        <w:t>https://ir.agrify.com</w:t>
      </w:r>
      <w:r>
        <w:rPr>
          <w:rFonts w:ascii="Times New Roman" w:cs="Times New Roman" w:eastAsia="Times New Roman" w:hAnsi="Times New Roman"/>
          <w:sz w:val="14"/>
          <w:szCs w:val="14"/>
          <w:color w:val="auto"/>
        </w:rPr>
        <w:t>. Any amendments to, or waivers from, any provisions of the code of conduct which apply to our principal executive officer, principal financial officer, principal accounting officer or controller, or any person performing similar functions, will be disclosed either on a Current Report on Form 8-K or on our website promptly following the date of any such amendment or waiver.</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0" w:name="page51"/>
    <w:bookmarkEnd w:id="5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18"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This section describes the compensation paid, or payable, for the last two fiscal years to our named executive officers. Our named executive officers during the fiscal year ended December 31, 2023 were Raymond Chang, our Chairman and Chief Executive Officer, David Kessler, our Chief Science Officer, Brian Towns, our Executive Vice President and General Manager of Extraction, Timothy Oakes, our former Chief Financial Officer, and Stuart Wilcox, our former Chief Operating Officer. Mr. Oakes resigned as Chief Financial Officer effective as of February 28, 2023. Mr. Wilcox resigned as Chief Operating Officer effective as of May 22, 2023.</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table below summarizes the total compensation paid or earned by each of the named executive officers noted below for services rendered in all capacities, during the fiscal years ended December 31, 2023 and 2022. As a smaller reporting company, we are only required to provide two years of compensation information for our named executive officers.</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3"/>
                <w:szCs w:val="13"/>
                <w:color w:val="auto"/>
              </w:rPr>
            </w:pP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5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3"/>
                <w:szCs w:val="13"/>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Compensation</w:t>
            </w:r>
          </w:p>
        </w:tc>
        <w:tc>
          <w:tcPr>
            <w:tcW w:w="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60" w:type="dxa"/>
            <w:vAlign w:val="bottom"/>
          </w:tcPr>
          <w:p>
            <w:pPr>
              <w:spacing w:after="0"/>
              <w:rPr>
                <w:sz w:val="15"/>
                <w:szCs w:val="15"/>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58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80" w:type="dxa"/>
            <w:vAlign w:val="bottom"/>
            <w:gridSpan w:val="2"/>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Chang</w:t>
            </w:r>
          </w:p>
        </w:tc>
        <w:tc>
          <w:tcPr>
            <w:tcW w:w="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2023</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300,070</w:t>
            </w:r>
          </w:p>
        </w:tc>
        <w:tc>
          <w:tcPr>
            <w:tcW w:w="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330,000</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w w:val="94"/>
              </w:rPr>
              <w:t>29,268</w:t>
            </w:r>
          </w:p>
        </w:tc>
        <w:tc>
          <w:tcPr>
            <w:tcW w:w="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659,338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Chairman and Chief</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350,479</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471,000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33,099</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1,029,578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Executive Officer</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David Kessler</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220,521</w:t>
            </w:r>
          </w:p>
        </w:tc>
        <w:tc>
          <w:tcPr>
            <w:tcW w:w="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310,000</w:t>
            </w:r>
          </w:p>
        </w:tc>
        <w:tc>
          <w:tcPr>
            <w:tcW w:w="80" w:type="dxa"/>
            <w:vAlign w:val="bottom"/>
          </w:tcPr>
          <w:p>
            <w:pPr>
              <w:spacing w:after="0"/>
              <w:rPr>
                <w:sz w:val="14"/>
                <w:szCs w:val="14"/>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28,588</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559,109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Chief Science Officer</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220,233</w:t>
            </w:r>
          </w:p>
        </w:tc>
        <w:tc>
          <w:tcPr>
            <w:tcW w:w="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177,550</w:t>
            </w:r>
          </w:p>
        </w:tc>
        <w:tc>
          <w:tcPr>
            <w:tcW w:w="80" w:type="dxa"/>
            <w:vAlign w:val="bottom"/>
          </w:tcPr>
          <w:p>
            <w:pPr>
              <w:spacing w:after="0"/>
              <w:rPr>
                <w:sz w:val="21"/>
                <w:szCs w:val="21"/>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50,000</w:t>
            </w:r>
          </w:p>
        </w:tc>
        <w:tc>
          <w:tcPr>
            <w:tcW w:w="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32,164</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479,947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Brian Towns</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211,726</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310,000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29,268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550,994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Executive Vice President</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125,655</w:t>
            </w:r>
          </w:p>
        </w:tc>
        <w:tc>
          <w:tcPr>
            <w:tcW w:w="6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20,550</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15,034</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14,198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and General Manager of</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Extraction</w:t>
            </w: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Timothy Oakes</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51,920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3,340</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Former Chief Financial</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264,454</w:t>
            </w:r>
          </w:p>
        </w:tc>
        <w:tc>
          <w:tcPr>
            <w:tcW w:w="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247,625</w:t>
            </w:r>
          </w:p>
        </w:tc>
        <w:tc>
          <w:tcPr>
            <w:tcW w:w="80" w:type="dxa"/>
            <w:vAlign w:val="bottom"/>
          </w:tcPr>
          <w:p>
            <w:pPr>
              <w:spacing w:after="0"/>
              <w:rPr>
                <w:sz w:val="20"/>
                <w:szCs w:val="20"/>
                <w:color w:val="auto"/>
              </w:rPr>
            </w:pPr>
          </w:p>
        </w:tc>
        <w:tc>
          <w:tcPr>
            <w:tcW w:w="50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78,022</w:t>
            </w: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3"/>
          </w:tcPr>
          <w:p>
            <w:pPr>
              <w:ind w:left="520"/>
              <w:spacing w:after="0"/>
              <w:rPr>
                <w:sz w:val="20"/>
                <w:szCs w:val="20"/>
                <w:color w:val="auto"/>
              </w:rPr>
            </w:pPr>
            <w:r>
              <w:rPr>
                <w:rFonts w:ascii="Times New Roman" w:cs="Times New Roman" w:eastAsia="Times New Roman" w:hAnsi="Times New Roman"/>
                <w:sz w:val="13"/>
                <w:szCs w:val="13"/>
                <w:color w:val="auto"/>
              </w:rPr>
              <w:t>19,626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609,727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3"/>
                <w:szCs w:val="13"/>
                <w:i w:val="1"/>
                <w:iCs w:val="1"/>
                <w:color w:val="auto"/>
              </w:rPr>
              <w:t>Officer</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Stuart Wilcox</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2023</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122,061</w:t>
            </w:r>
          </w:p>
        </w:tc>
        <w:tc>
          <w:tcPr>
            <w:tcW w:w="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150,727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Former Chief Operating</w:t>
            </w: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2022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142,539</w:t>
            </w: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316,000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8,188</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466,727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i w:val="1"/>
                <w:iCs w:val="1"/>
                <w:color w:val="auto"/>
              </w:rPr>
              <w:t>Officer</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20" w:hanging="394"/>
        <w:spacing w:after="0" w:line="260" w:lineRule="auto"/>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based on the aggregate grant date fair value of stock awards and stock option awards made to the Named Executive Officers in the applicable year. The reported amounts are calculated in accordance with the provisions of ASC Topic 718. See Note 13 of the notes to consolidated financial statements included in our Annual Report on Form 10-K filed on November 28, 2023, regarding assumptions underlying the valuation of our equity awards.</w:t>
      </w:r>
    </w:p>
    <w:p>
      <w:pPr>
        <w:spacing w:after="0" w:line="158"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amounts earned by each Named Executive Officer under our performance -based annual incentive plan.</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payment of health plan premiums as per Company policy.</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Oakes resigned as Chief Financial Officer effective February 28, 2023.</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Wilcox resigned as Chief Operating Officer effective May 22, 2023.</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1" w:name="page52"/>
    <w:bookmarkEnd w:id="5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sets forth outstanding equity awards for Named Executive Officers as of December 31,</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2023.</w:t>
      </w:r>
    </w:p>
    <w:p>
      <w:pPr>
        <w:spacing w:after="0" w:line="206"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gridSpan w:val="4"/>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4"/>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4"/>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20" w:type="dxa"/>
            <w:vAlign w:val="bottom"/>
            <w:gridSpan w:val="4"/>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Securities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8"/>
              </w:rPr>
              <w:t>Value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8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gridSpan w:val="4"/>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vMerge w:val="restart"/>
          </w:tcPr>
          <w:p>
            <w:pPr>
              <w:spacing w:after="0"/>
              <w:rPr>
                <w:sz w:val="6"/>
                <w:szCs w:val="6"/>
                <w:color w:val="auto"/>
              </w:rPr>
            </w:pPr>
          </w:p>
        </w:tc>
        <w:tc>
          <w:tcPr>
            <w:tcW w:w="6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Vesting</w:t>
            </w:r>
          </w:p>
        </w:tc>
        <w:tc>
          <w:tcPr>
            <w:tcW w:w="4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vMerge w:val="restart"/>
          </w:tcPr>
          <w:p>
            <w:pPr>
              <w:spacing w:after="0"/>
              <w:rPr>
                <w:sz w:val="6"/>
                <w:szCs w:val="6"/>
                <w:color w:val="auto"/>
              </w:rPr>
            </w:pPr>
          </w:p>
        </w:tc>
        <w:tc>
          <w:tcPr>
            <w:tcW w:w="680" w:type="dxa"/>
            <w:vAlign w:val="bottom"/>
            <w:gridSpan w:val="2"/>
            <w:vMerge w:val="restart"/>
          </w:tcPr>
          <w:p>
            <w:pPr>
              <w:jc w:val="center"/>
              <w:ind w:right="80"/>
              <w:spacing w:after="0" w:line="143"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6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w w:val="99"/>
              </w:rPr>
              <w:t>Expiration</w:t>
            </w:r>
          </w:p>
        </w:tc>
        <w:tc>
          <w:tcPr>
            <w:tcW w:w="80" w:type="dxa"/>
            <w:vAlign w:val="bottom"/>
          </w:tcPr>
          <w:p>
            <w:pPr>
              <w:spacing w:after="0"/>
              <w:rPr>
                <w:sz w:val="6"/>
                <w:szCs w:val="6"/>
                <w:color w:val="auto"/>
              </w:rPr>
            </w:pPr>
          </w:p>
        </w:tc>
        <w:tc>
          <w:tcPr>
            <w:tcW w:w="6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80" w:type="dxa"/>
            <w:vAlign w:val="bottom"/>
            <w:vMerge w:val="restart"/>
          </w:tcPr>
          <w:p>
            <w:pPr>
              <w:spacing w:after="0"/>
              <w:rPr>
                <w:sz w:val="6"/>
                <w:szCs w:val="6"/>
                <w:color w:val="auto"/>
              </w:rPr>
            </w:pPr>
          </w:p>
        </w:tc>
        <w:tc>
          <w:tcPr>
            <w:tcW w:w="68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b w:val="1"/>
                <w:bCs w:val="1"/>
                <w:color w:val="auto"/>
              </w:rPr>
              <w:t>That Have</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1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5"/>
                <w:szCs w:val="15"/>
                <w:color w:val="auto"/>
              </w:rPr>
            </w:pPr>
          </w:p>
        </w:tc>
        <w:tc>
          <w:tcPr>
            <w:tcW w:w="6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80" w:type="dxa"/>
            <w:vAlign w:val="bottom"/>
          </w:tcPr>
          <w:p>
            <w:pPr>
              <w:spacing w:after="0"/>
              <w:rPr>
                <w:sz w:val="15"/>
                <w:szCs w:val="15"/>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8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Not Vested</w:t>
            </w:r>
          </w:p>
        </w:tc>
        <w:tc>
          <w:tcPr>
            <w:tcW w:w="0" w:type="dxa"/>
            <w:vAlign w:val="bottom"/>
          </w:tcPr>
          <w:p>
            <w:pPr>
              <w:spacing w:after="0"/>
              <w:rPr>
                <w:sz w:val="1"/>
                <w:szCs w:val="1"/>
                <w:color w:val="auto"/>
              </w:rPr>
            </w:pPr>
          </w:p>
        </w:tc>
      </w:tr>
      <w:tr>
        <w:trPr>
          <w:trHeight w:val="32"/>
        </w:trPr>
        <w:tc>
          <w:tcPr>
            <w:tcW w:w="14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Chang</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5/6/20</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1,689</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456.00</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5/6/30</w:t>
            </w: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456.00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10/19/20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972.00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10/19/30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2/17/21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3,069</w:t>
            </w: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2,768.00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8/8/22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11/28/23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217,120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272,659</w:t>
            </w:r>
          </w:p>
        </w:tc>
        <w:tc>
          <w:tcPr>
            <w:tcW w:w="0" w:type="dxa"/>
            <w:vAlign w:val="bottom"/>
          </w:tcPr>
          <w:p>
            <w:pPr>
              <w:spacing w:after="0"/>
              <w:rPr>
                <w:sz w:val="1"/>
                <w:szCs w:val="1"/>
                <w:color w:val="auto"/>
              </w:rPr>
            </w:pPr>
          </w:p>
        </w:tc>
      </w:tr>
      <w:tr>
        <w:trPr>
          <w:trHeight w:val="9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1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David Kessler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5/6/20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456.00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456.00</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7/20/30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10/19/20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972.00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10/19/30</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2/17/21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2,768.00</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2/17/31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8/8/22</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jc w:val="center"/>
              <w:spacing w:after="0" w:line="11" w:lineRule="exact"/>
              <w:rPr>
                <w:sz w:val="20"/>
                <w:szCs w:val="20"/>
                <w:color w:val="auto"/>
              </w:rPr>
            </w:pPr>
            <w:r>
              <w:rPr>
                <w:rFonts w:ascii="Times New Roman" w:cs="Times New Roman" w:eastAsia="Times New Roman" w:hAnsi="Times New Roman"/>
                <w:sz w:val="1"/>
                <w:szCs w:val="1"/>
                <w:color w:val="auto"/>
              </w:rPr>
              <w:t>9/30/22</w:t>
            </w:r>
          </w:p>
        </w:tc>
        <w:tc>
          <w:tcPr>
            <w:tcW w:w="100" w:type="dxa"/>
            <w:vAlign w:val="bottom"/>
          </w:tcPr>
          <w:p>
            <w:pPr>
              <w:spacing w:after="0" w:line="20" w:lineRule="exact"/>
              <w:rPr>
                <w:sz w:val="1"/>
                <w:szCs w:val="1"/>
                <w:color w:val="auto"/>
              </w:rPr>
            </w:pPr>
          </w:p>
        </w:tc>
        <w:tc>
          <w:tcPr>
            <w:tcW w:w="600" w:type="dxa"/>
            <w:vAlign w:val="bottom"/>
            <w:gridSpan w:val="2"/>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tcPr>
          <w:p>
            <w:pPr>
              <w:spacing w:after="0" w:line="20" w:lineRule="exact"/>
              <w:rPr>
                <w:sz w:val="1"/>
                <w:szCs w:val="1"/>
                <w:color w:val="auto"/>
              </w:rPr>
            </w:pPr>
          </w:p>
        </w:tc>
        <w:tc>
          <w:tcPr>
            <w:tcW w:w="700" w:type="dxa"/>
            <w:vAlign w:val="bottom"/>
            <w:gridSpan w:val="2"/>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line="20" w:lineRule="exact"/>
              <w:rPr>
                <w:sz w:val="1"/>
                <w:szCs w:val="1"/>
                <w:color w:val="auto"/>
              </w:rPr>
            </w:pPr>
          </w:p>
        </w:tc>
        <w:tc>
          <w:tcPr>
            <w:tcW w:w="78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68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tcPr>
          <w:p>
            <w:pPr>
              <w:jc w:val="right"/>
              <w:spacing w:after="0" w:line="11" w:lineRule="exact"/>
              <w:rPr>
                <w:sz w:val="20"/>
                <w:szCs w:val="20"/>
                <w:color w:val="auto"/>
              </w:rPr>
            </w:pPr>
            <w:r>
              <w:rPr>
                <w:rFonts w:ascii="Times New Roman" w:cs="Times New Roman" w:eastAsia="Times New Roman" w:hAnsi="Times New Roman"/>
                <w:sz w:val="1"/>
                <w:szCs w:val="1"/>
                <w:color w:val="auto"/>
              </w:rPr>
              <w:t>167</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210</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jc w:val="center"/>
              <w:spacing w:after="0" w:line="11" w:lineRule="exact"/>
              <w:rPr>
                <w:sz w:val="20"/>
                <w:szCs w:val="20"/>
                <w:color w:val="auto"/>
              </w:rPr>
            </w:pPr>
            <w:r>
              <w:rPr>
                <w:rFonts w:ascii="Times New Roman" w:cs="Times New Roman" w:eastAsia="Times New Roman" w:hAnsi="Times New Roman"/>
                <w:sz w:val="1"/>
                <w:szCs w:val="1"/>
                <w:color w:val="auto"/>
              </w:rPr>
              <w:t>11/28/23</w:t>
            </w: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shd w:val="clear" w:color="auto" w:fill="CCEEFF"/>
          </w:tcPr>
          <w:p>
            <w:pPr>
              <w:spacing w:after="0" w:line="20" w:lineRule="exact"/>
              <w:rPr>
                <w:sz w:val="1"/>
                <w:szCs w:val="1"/>
                <w:color w:val="auto"/>
              </w:rPr>
            </w:pPr>
          </w:p>
        </w:tc>
        <w:tc>
          <w:tcPr>
            <w:tcW w:w="700" w:type="dxa"/>
            <w:vAlign w:val="bottom"/>
            <w:gridSpan w:val="2"/>
            <w:shd w:val="clear" w:color="auto" w:fill="CCEEFF"/>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203,961</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256,134</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(5)</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
        </w:trPr>
        <w:tc>
          <w:tcPr>
            <w:tcW w:w="20" w:type="dxa"/>
            <w:vAlign w:val="bottom"/>
            <w:vMerge w:val="continue"/>
          </w:tcPr>
          <w:p>
            <w:pPr>
              <w:spacing w:after="0" w:line="20" w:lineRule="exact"/>
              <w:rPr>
                <w:sz w:val="1"/>
                <w:szCs w:val="1"/>
                <w:color w:val="auto"/>
              </w:rPr>
            </w:pPr>
          </w:p>
        </w:tc>
        <w:tc>
          <w:tcPr>
            <w:tcW w:w="1520" w:type="dxa"/>
            <w:vAlign w:val="bottom"/>
            <w:gridSpan w:val="2"/>
          </w:tcPr>
          <w:p>
            <w:pPr>
              <w:spacing w:after="0" w:line="11" w:lineRule="exact"/>
              <w:rPr>
                <w:sz w:val="20"/>
                <w:szCs w:val="20"/>
                <w:color w:val="auto"/>
              </w:rPr>
            </w:pPr>
            <w:r>
              <w:rPr>
                <w:rFonts w:ascii="Times New Roman" w:cs="Times New Roman" w:eastAsia="Times New Roman" w:hAnsi="Times New Roman"/>
                <w:sz w:val="1"/>
                <w:szCs w:val="1"/>
                <w:color w:val="auto"/>
              </w:rPr>
              <w:t>Brian Towns</w:t>
            </w:r>
          </w:p>
        </w:tc>
        <w:tc>
          <w:tcPr>
            <w:tcW w:w="560" w:type="dxa"/>
            <w:vAlign w:val="bottom"/>
          </w:tcPr>
          <w:p>
            <w:pPr>
              <w:jc w:val="center"/>
              <w:spacing w:after="0" w:line="11" w:lineRule="exact"/>
              <w:rPr>
                <w:sz w:val="20"/>
                <w:szCs w:val="20"/>
                <w:color w:val="auto"/>
              </w:rPr>
            </w:pPr>
            <w:r>
              <w:rPr>
                <w:rFonts w:ascii="Times New Roman" w:cs="Times New Roman" w:eastAsia="Times New Roman" w:hAnsi="Times New Roman"/>
                <w:sz w:val="1"/>
                <w:szCs w:val="1"/>
                <w:color w:val="auto"/>
              </w:rPr>
              <w:t>9/30/22</w:t>
            </w:r>
          </w:p>
        </w:tc>
        <w:tc>
          <w:tcPr>
            <w:tcW w:w="100" w:type="dxa"/>
            <w:vAlign w:val="bottom"/>
          </w:tcPr>
          <w:p>
            <w:pPr>
              <w:spacing w:after="0" w:line="20" w:lineRule="exact"/>
              <w:rPr>
                <w:sz w:val="1"/>
                <w:szCs w:val="1"/>
                <w:color w:val="auto"/>
              </w:rPr>
            </w:pPr>
          </w:p>
        </w:tc>
        <w:tc>
          <w:tcPr>
            <w:tcW w:w="600" w:type="dxa"/>
            <w:vAlign w:val="bottom"/>
            <w:gridSpan w:val="2"/>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tcPr>
          <w:p>
            <w:pPr>
              <w:spacing w:after="0" w:line="20" w:lineRule="exact"/>
              <w:rPr>
                <w:sz w:val="1"/>
                <w:szCs w:val="1"/>
                <w:color w:val="auto"/>
              </w:rPr>
            </w:pPr>
          </w:p>
        </w:tc>
        <w:tc>
          <w:tcPr>
            <w:tcW w:w="700" w:type="dxa"/>
            <w:vAlign w:val="bottom"/>
            <w:gridSpan w:val="2"/>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line="20" w:lineRule="exact"/>
              <w:rPr>
                <w:sz w:val="1"/>
                <w:szCs w:val="1"/>
                <w:color w:val="auto"/>
              </w:rPr>
            </w:pPr>
          </w:p>
        </w:tc>
        <w:tc>
          <w:tcPr>
            <w:tcW w:w="78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68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tcPr>
          <w:p>
            <w:pPr>
              <w:jc w:val="right"/>
              <w:spacing w:after="0" w:line="11" w:lineRule="exact"/>
              <w:rPr>
                <w:sz w:val="20"/>
                <w:szCs w:val="20"/>
                <w:color w:val="auto"/>
              </w:rPr>
            </w:pPr>
            <w:r>
              <w:rPr>
                <w:rFonts w:ascii="Times New Roman" w:cs="Times New Roman" w:eastAsia="Times New Roman" w:hAnsi="Times New Roman"/>
                <w:sz w:val="1"/>
                <w:szCs w:val="1"/>
                <w:color w:val="auto"/>
              </w:rPr>
              <w:t>167</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210</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jc w:val="center"/>
              <w:spacing w:after="0" w:line="11" w:lineRule="exact"/>
              <w:rPr>
                <w:sz w:val="20"/>
                <w:szCs w:val="20"/>
                <w:color w:val="auto"/>
              </w:rPr>
            </w:pPr>
            <w:r>
              <w:rPr>
                <w:rFonts w:ascii="Times New Roman" w:cs="Times New Roman" w:eastAsia="Times New Roman" w:hAnsi="Times New Roman"/>
                <w:sz w:val="1"/>
                <w:szCs w:val="1"/>
                <w:color w:val="auto"/>
              </w:rPr>
              <w:t>11/28/23</w:t>
            </w:r>
          </w:p>
        </w:tc>
        <w:tc>
          <w:tcPr>
            <w:tcW w:w="1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shd w:val="clear" w:color="auto" w:fill="CCEEFF"/>
          </w:tcPr>
          <w:p>
            <w:pPr>
              <w:spacing w:after="0" w:line="20" w:lineRule="exact"/>
              <w:rPr>
                <w:sz w:val="1"/>
                <w:szCs w:val="1"/>
                <w:color w:val="auto"/>
              </w:rPr>
            </w:pPr>
          </w:p>
        </w:tc>
        <w:tc>
          <w:tcPr>
            <w:tcW w:w="700" w:type="dxa"/>
            <w:vAlign w:val="bottom"/>
            <w:gridSpan w:val="2"/>
            <w:shd w:val="clear" w:color="auto" w:fill="CCEEFF"/>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CCEEFF"/>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203,961</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jc w:val="right"/>
              <w:spacing w:after="0" w:line="11" w:lineRule="exact"/>
              <w:rPr>
                <w:sz w:val="20"/>
                <w:szCs w:val="20"/>
                <w:color w:val="auto"/>
              </w:rPr>
            </w:pPr>
            <w:r>
              <w:rPr>
                <w:rFonts w:ascii="Times New Roman" w:cs="Times New Roman" w:eastAsia="Times New Roman" w:hAnsi="Times New Roman"/>
                <w:sz w:val="1"/>
                <w:szCs w:val="1"/>
                <w:color w:val="auto"/>
              </w:rPr>
              <w:t>256,134</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7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0"/>
                <w:szCs w:val="10"/>
                <w:color w:val="auto"/>
              </w:rPr>
              <w:t>(5)</w:t>
            </w: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vMerge w:val="restart"/>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
        </w:trPr>
        <w:tc>
          <w:tcPr>
            <w:tcW w:w="20" w:type="dxa"/>
            <w:vAlign w:val="bottom"/>
            <w:vMerge w:val="continue"/>
          </w:tcPr>
          <w:p>
            <w:pPr>
              <w:spacing w:after="0" w:line="20" w:lineRule="exact"/>
              <w:rPr>
                <w:sz w:val="1"/>
                <w:szCs w:val="1"/>
                <w:color w:val="auto"/>
              </w:rPr>
            </w:pPr>
          </w:p>
        </w:tc>
        <w:tc>
          <w:tcPr>
            <w:tcW w:w="1520" w:type="dxa"/>
            <w:vAlign w:val="bottom"/>
            <w:gridSpan w:val="2"/>
          </w:tcPr>
          <w:p>
            <w:pPr>
              <w:spacing w:after="0" w:line="11" w:lineRule="exact"/>
              <w:rPr>
                <w:sz w:val="20"/>
                <w:szCs w:val="20"/>
                <w:color w:val="auto"/>
              </w:rPr>
            </w:pPr>
            <w:r>
              <w:rPr>
                <w:rFonts w:ascii="Times New Roman" w:cs="Times New Roman" w:eastAsia="Times New Roman" w:hAnsi="Times New Roman"/>
                <w:sz w:val="1"/>
                <w:szCs w:val="1"/>
                <w:color w:val="auto"/>
              </w:rPr>
              <w:t>Stuart Wilcox</w:t>
            </w:r>
          </w:p>
        </w:tc>
        <w:tc>
          <w:tcPr>
            <w:tcW w:w="560" w:type="dxa"/>
            <w:vAlign w:val="bottom"/>
          </w:tcPr>
          <w:p>
            <w:pPr>
              <w:jc w:val="center"/>
              <w:spacing w:after="0" w:line="11" w:lineRule="exact"/>
              <w:rPr>
                <w:sz w:val="20"/>
                <w:szCs w:val="20"/>
                <w:color w:val="auto"/>
              </w:rPr>
            </w:pPr>
            <w:r>
              <w:rPr>
                <w:rFonts w:ascii="Times New Roman" w:cs="Times New Roman" w:eastAsia="Times New Roman" w:hAnsi="Times New Roman"/>
                <w:sz w:val="1"/>
                <w:szCs w:val="1"/>
                <w:color w:val="auto"/>
              </w:rPr>
              <w:t>7/14/22</w:t>
            </w:r>
          </w:p>
        </w:tc>
        <w:tc>
          <w:tcPr>
            <w:tcW w:w="100" w:type="dxa"/>
            <w:vAlign w:val="bottom"/>
          </w:tcPr>
          <w:p>
            <w:pPr>
              <w:spacing w:after="0" w:line="20" w:lineRule="exact"/>
              <w:rPr>
                <w:sz w:val="1"/>
                <w:szCs w:val="1"/>
                <w:color w:val="auto"/>
              </w:rPr>
            </w:pPr>
          </w:p>
        </w:tc>
        <w:tc>
          <w:tcPr>
            <w:tcW w:w="600" w:type="dxa"/>
            <w:vAlign w:val="bottom"/>
            <w:gridSpan w:val="2"/>
          </w:tcPr>
          <w:p>
            <w:pPr>
              <w:ind w:left="440"/>
              <w:spacing w:after="0" w:line="11" w:lineRule="exact"/>
              <w:rPr>
                <w:sz w:val="20"/>
                <w:szCs w:val="20"/>
                <w:color w:val="auto"/>
              </w:rPr>
            </w:pPr>
            <w:r>
              <w:rPr>
                <w:rFonts w:ascii="Arial" w:cs="Arial" w:eastAsia="Arial" w:hAnsi="Arial"/>
                <w:sz w:val="1"/>
                <w:szCs w:val="1"/>
                <w:color w:val="auto"/>
              </w:rPr>
              <w:t>​</w:t>
            </w:r>
          </w:p>
        </w:tc>
        <w:tc>
          <w:tcPr>
            <w:tcW w:w="40" w:type="dxa"/>
            <w:vAlign w:val="bottom"/>
          </w:tcPr>
          <w:p>
            <w:pPr>
              <w:spacing w:after="0" w:line="20" w:lineRule="exact"/>
              <w:rPr>
                <w:sz w:val="1"/>
                <w:szCs w:val="1"/>
                <w:color w:val="auto"/>
              </w:rPr>
            </w:pPr>
          </w:p>
        </w:tc>
        <w:tc>
          <w:tcPr>
            <w:tcW w:w="700" w:type="dxa"/>
            <w:vAlign w:val="bottom"/>
            <w:gridSpan w:val="2"/>
          </w:tcPr>
          <w:p>
            <w:pPr>
              <w:jc w:val="right"/>
              <w:ind w:right="60"/>
              <w:spacing w:after="0" w:line="11" w:lineRule="exact"/>
              <w:rPr>
                <w:sz w:val="20"/>
                <w:szCs w:val="20"/>
                <w:color w:val="auto"/>
              </w:rPr>
            </w:pPr>
            <w:r>
              <w:rPr>
                <w:rFonts w:ascii="Times New Roman" w:cs="Times New Roman" w:eastAsia="Times New Roman" w:hAnsi="Times New Roman"/>
                <w:sz w:val="1"/>
                <w:szCs w:val="1"/>
                <w:color w:val="auto"/>
              </w:rPr>
              <w:t>—</w:t>
            </w:r>
          </w:p>
        </w:tc>
        <w:tc>
          <w:tcPr>
            <w:tcW w:w="40" w:type="dxa"/>
            <w:vAlign w:val="bottom"/>
          </w:tcPr>
          <w:p>
            <w:pPr>
              <w:spacing w:after="0" w:line="20" w:lineRule="exact"/>
              <w:rPr>
                <w:sz w:val="1"/>
                <w:szCs w:val="1"/>
                <w:color w:val="auto"/>
              </w:rPr>
            </w:pPr>
          </w:p>
        </w:tc>
        <w:tc>
          <w:tcPr>
            <w:tcW w:w="78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Pr>
          <w:p>
            <w:pPr>
              <w:spacing w:after="0" w:line="20" w:lineRule="exact"/>
              <w:rPr>
                <w:sz w:val="1"/>
                <w:szCs w:val="1"/>
                <w:color w:val="auto"/>
              </w:rPr>
            </w:pPr>
          </w:p>
        </w:tc>
        <w:tc>
          <w:tcPr>
            <w:tcW w:w="680" w:type="dxa"/>
            <w:vAlign w:val="bottom"/>
            <w:gridSpan w:val="2"/>
          </w:tcPr>
          <w:p>
            <w:pPr>
              <w:jc w:val="right"/>
              <w:ind w:right="80"/>
              <w:spacing w:after="0" w:line="11" w:lineRule="exact"/>
              <w:rPr>
                <w:sz w:val="20"/>
                <w:szCs w:val="20"/>
                <w:color w:val="auto"/>
              </w:rPr>
            </w:pPr>
            <w:r>
              <w:rPr>
                <w:rFonts w:ascii="Times New Roman" w:cs="Times New Roman" w:eastAsia="Times New Roman" w:hAnsi="Times New Roman"/>
                <w:sz w:val="1"/>
                <w:szCs w:val="1"/>
                <w:color w:val="auto"/>
              </w:rPr>
              <w:t>—</w:t>
            </w:r>
          </w:p>
        </w:tc>
        <w:tc>
          <w:tcPr>
            <w:tcW w:w="62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w:t>
            </w:r>
          </w:p>
        </w:tc>
        <w:tc>
          <w:tcPr>
            <w:tcW w:w="700" w:type="dxa"/>
            <w:vAlign w:val="bottom"/>
            <w:gridSpan w:val="2"/>
          </w:tcPr>
          <w:p>
            <w:pPr>
              <w:jc w:val="right"/>
              <w:spacing w:after="0" w:line="11" w:lineRule="exact"/>
              <w:rPr>
                <w:sz w:val="20"/>
                <w:szCs w:val="20"/>
                <w:color w:val="auto"/>
              </w:rPr>
            </w:pPr>
            <w:r>
              <w:rPr>
                <w:rFonts w:ascii="Times New Roman" w:cs="Times New Roman" w:eastAsia="Times New Roman" w:hAnsi="Times New Roman"/>
                <w:sz w:val="1"/>
                <w:szCs w:val="1"/>
                <w:color w:val="auto"/>
              </w:rPr>
              <w:t>667</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jc w:val="right"/>
              <w:spacing w:after="0" w:line="11" w:lineRule="exact"/>
              <w:rPr>
                <w:sz w:val="20"/>
                <w:szCs w:val="20"/>
                <w:color w:val="auto"/>
              </w:rPr>
            </w:pPr>
            <w:r>
              <w:rPr>
                <w:rFonts w:ascii="Times New Roman" w:cs="Times New Roman" w:eastAsia="Times New Roman" w:hAnsi="Times New Roman"/>
                <w:sz w:val="1"/>
                <w:szCs w:val="1"/>
                <w:color w:val="auto"/>
              </w:rPr>
              <w:t>838</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gridSpan w:val="3"/>
          </w:tcPr>
          <w:p>
            <w:pPr>
              <w:ind w:left="540"/>
              <w:spacing w:after="0"/>
              <w:rPr>
                <w:sz w:val="20"/>
                <w:szCs w:val="20"/>
                <w:color w:val="auto"/>
              </w:rPr>
            </w:pPr>
            <w:r>
              <w:rPr>
                <w:rFonts w:ascii="Times New Roman" w:cs="Times New Roman" w:eastAsia="Times New Roman" w:hAnsi="Times New Roman"/>
                <w:sz w:val="10"/>
                <w:szCs w:val="10"/>
                <w:color w:val="auto"/>
              </w:rPr>
              <w:t>(4)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00" w:hanging="394"/>
        <w:spacing w:after="0" w:line="256" w:lineRule="auto"/>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granted replaced previous options awards issued on December 27, 2019, which were cancelled in May 2020. A portion of the May 6, 2020 option awards re-issued were partially vest at the time of re-issuance, with the remaining unvested portion of the stock options vesting between 24 and 48 months. 50% of the options vested upon the initial public offering.</w:t>
      </w:r>
    </w:p>
    <w:p>
      <w:pPr>
        <w:spacing w:after="0" w:line="1" w:lineRule="exact"/>
        <w:rPr>
          <w:rFonts w:ascii="Times New Roman" w:cs="Times New Roman" w:eastAsia="Times New Roman" w:hAnsi="Times New Roman"/>
          <w:sz w:val="14"/>
          <w:szCs w:val="14"/>
          <w:color w:val="auto"/>
        </w:rPr>
      </w:pPr>
    </w:p>
    <w:p>
      <w:pPr>
        <w:ind w:left="1300" w:right="900" w:hanging="394"/>
        <w:spacing w:after="0" w:line="250" w:lineRule="auto"/>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options granted will vest 12 months from the date of grant with the balance vesting in 36 equal monthly installments thereafter. 50% of the options vested upon the initial public offering.</w:t>
      </w:r>
    </w:p>
    <w:p>
      <w:pPr>
        <w:ind w:left="1300" w:hanging="394"/>
        <w:spacing w:after="0"/>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granted will vest in 36 equal monthly installments from the date of grant.</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 of the restricted stock units vest on each of the 1-year, 2-year and 3-year anniversaries of grant.</w:t>
      </w:r>
    </w:p>
    <w:p>
      <w:pPr>
        <w:spacing w:after="0" w:line="7"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restricted stock units will vest on November 28, 2024, subject to shareholder approval.</w:t>
      </w:r>
    </w:p>
    <w:p>
      <w:pPr>
        <w:spacing w:after="0" w:line="7" w:lineRule="exact"/>
        <w:rPr>
          <w:rFonts w:ascii="Times New Roman" w:cs="Times New Roman" w:eastAsia="Times New Roman" w:hAnsi="Times New Roman"/>
          <w:sz w:val="14"/>
          <w:szCs w:val="14"/>
          <w:color w:val="auto"/>
        </w:rPr>
      </w:pPr>
    </w:p>
    <w:p>
      <w:pPr>
        <w:ind w:left="1300" w:right="940" w:hanging="394"/>
        <w:spacing w:after="0" w:line="267" w:lineRule="auto"/>
        <w:tabs>
          <w:tab w:leader="none" w:pos="13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terms of his separation agreement, Mr. Wilcox’s restricted stock units will continue vesting in accordance with their original terms following the separation.</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Employment and Separation Agreements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Compensation Committee believes that it is in our best interest as well as the interests of our stockholders to offer severance and change in control benefits to certain of our Named Executive Officers. We compete for talent in a highly competitive market in which companies routinely offer similar benefits to senior executives. The Compensation Committee believes that providing severance and change in control benefits to our Named Executive Officers reduces any reluctance of senior management to pursue potential change in control transactions that may be in the best interests of stockholders. In addition, the income security provided by competitive severance and change in control arrangements helps minimize distractions caused by uncertain personal financial circumstances during the negotiation of a potential change in control transaction, a period of time requiring focused and thoughtful leadership to ensure a successful outcome.</w:t>
      </w:r>
    </w:p>
    <w:p>
      <w:pPr>
        <w:spacing w:after="0" w:line="96" w:lineRule="exact"/>
        <w:rPr>
          <w:sz w:val="20"/>
          <w:szCs w:val="20"/>
          <w:color w:val="auto"/>
        </w:rPr>
      </w:pPr>
    </w:p>
    <w:p>
      <w:pPr>
        <w:jc w:val="both"/>
        <w:ind w:left="900" w:right="9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Employment Agreement for Mr. Chang</w:t>
      </w:r>
      <w:r>
        <w:rPr>
          <w:rFonts w:ascii="Times New Roman" w:cs="Times New Roman" w:eastAsia="Times New Roman" w:hAnsi="Times New Roman"/>
          <w:sz w:val="16"/>
          <w:szCs w:val="16"/>
          <w:color w:val="auto"/>
        </w:rPr>
        <w:t>: On January 4, 2021, we entered into a three-year employment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with Mr. Chang as the Company’s Chief Executive Officer, effective February 1, 2021 (the “Mr. Chang’s Employment Agreement”). The agreement, at the end of the initial three -year term, automatically renewed for a successive three-year period.</w:t>
      </w:r>
    </w:p>
    <w:p>
      <w:pPr>
        <w:spacing w:after="0" w:line="9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At signing, Mr. Chang’s Employment Agreement established a minimum annual base salary level of $300,000 and provided for a discretionary bonus of $300,000, with payment subject to Mr. Chang being employed by us at this time of payment.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2" w:name="page53"/>
    <w:bookmarkEnd w:id="5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accordance with the terms of the agreement, if Mr. Chang’s employment is terminated by us without cause, or in connection with a change of control, or by Mr. Chang for good reason, Mr. Chang will be entitled to receive certain severance benefits, including severance pay equal to the greater of (a) 300% of his annual base salary and (b) $1,000,000. Mr. Chang will also be eligible to receive insurance benefits for a period of up to twelve months following his termination of employment.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In addition to the terms of our standard invention assignment, restrictive covenants, and confidentiality agreement, Mr. Chang’s employment agreement contains confidentiality, non - solicitation and non-competition provisions, whereby Mr. Chang is subject to non -solicitation restrictions for a period of at least one year and to non-competition restrictions for a period of at least six months following his employment period.</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November 8, 2021, the Compensation Committee, in contemplation of expected executive level changes within the Company, performed a market study of compensation trends related to our various executive level positions. Based upon this review, the Compensation Committee approved increases to Mr. Chang’s base salary (increasing it from $300,000 to $350,000) and discretionary bonus (from $300,000 to $400,000), effective as of January 1, 2022.</w:t>
      </w:r>
    </w:p>
    <w:p>
      <w:pPr>
        <w:spacing w:after="0" w:line="95"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Employment Offer Letter for Mr. Kessler</w:t>
      </w:r>
      <w:r>
        <w:rPr>
          <w:rFonts w:ascii="Times New Roman" w:cs="Times New Roman" w:eastAsia="Times New Roman" w:hAnsi="Times New Roman"/>
          <w:sz w:val="16"/>
          <w:szCs w:val="16"/>
          <w:color w:val="auto"/>
        </w:rPr>
        <w:t>: On January 20, 2020, we provided a letter of employment offer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Mr. Kessler, as amended by the updated offer letter effective as of August 9, 2022.</w:t>
      </w:r>
    </w:p>
    <w:p>
      <w:pPr>
        <w:spacing w:after="0" w:line="8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Mr. Kessler’s offer letter establishes a minimum annual base salary level of $250,000 and provides for a discretionary performance- based bonus of $150,000. Mr. Kessler is an at will employee, and there are no severance benefits if his employment is terminated.</w:t>
      </w:r>
    </w:p>
    <w:p>
      <w:pPr>
        <w:spacing w:after="0" w:line="90"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Employment Agreement for Mr. Towns</w:t>
      </w:r>
      <w:r>
        <w:rPr>
          <w:rFonts w:ascii="Times New Roman" w:cs="Times New Roman" w:eastAsia="Times New Roman" w:hAnsi="Times New Roman"/>
          <w:sz w:val="16"/>
          <w:szCs w:val="16"/>
          <w:color w:val="auto"/>
        </w:rPr>
        <w:t>: On October 22, 2021, we provided a letter of employment offer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Mr. Towns, as amended on March 1, 2023, and May 25, 2023.</w:t>
      </w:r>
    </w:p>
    <w:p>
      <w:pPr>
        <w:spacing w:after="0" w:line="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Mr. Towns’ offer letter, as amended, establishes a minimum annual base salary level of $250,000.</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Mr. Towns is an at will employee, and there are no severance benefits if his employment is terminated.</w:t>
      </w:r>
    </w:p>
    <w:p>
      <w:pPr>
        <w:spacing w:after="0" w:line="96" w:lineRule="exact"/>
        <w:rPr>
          <w:sz w:val="20"/>
          <w:szCs w:val="20"/>
          <w:color w:val="auto"/>
        </w:rPr>
      </w:pPr>
    </w:p>
    <w:p>
      <w:pPr>
        <w:jc w:val="both"/>
        <w:ind w:left="900" w:right="900" w:firstLine="384"/>
        <w:spacing w:after="0" w:line="244" w:lineRule="auto"/>
        <w:rPr>
          <w:sz w:val="20"/>
          <w:szCs w:val="20"/>
          <w:color w:val="auto"/>
        </w:rPr>
      </w:pPr>
      <w:r>
        <w:rPr>
          <w:rFonts w:ascii="Times New Roman" w:cs="Times New Roman" w:eastAsia="Times New Roman" w:hAnsi="Times New Roman"/>
          <w:sz w:val="16"/>
          <w:szCs w:val="16"/>
          <w:i w:val="1"/>
          <w:iCs w:val="1"/>
          <w:color w:val="auto"/>
        </w:rPr>
        <w:t>Employment Agreement for Mr. Oakes</w:t>
      </w:r>
      <w:r>
        <w:rPr>
          <w:rFonts w:ascii="Times New Roman" w:cs="Times New Roman" w:eastAsia="Times New Roman" w:hAnsi="Times New Roman"/>
          <w:sz w:val="16"/>
          <w:szCs w:val="16"/>
          <w:color w:val="auto"/>
        </w:rPr>
        <w:t>: On November 10, 2021, we entered into a two-year employment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agreement with Mr. Massie as our Chief Financial Officer, effective November 10, 2021. The agreement, at the end of the initial one-year term, if not terminated by either Mr. Oakes or the Company, would have automatically renewed for successive one-year periods.</w:t>
      </w:r>
    </w:p>
    <w:p>
      <w:pPr>
        <w:spacing w:after="0" w:line="94"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Mr. Oakes’ Employment Agreement established a minimum annual base salary level of $250,000 and provided for a discretionary performance-based bonus of $200,000, payable in quarterly $50,000 installment, with payment subject to Mr. Oakes being employed by us at this time of payment. The Board could from time to time elect to pay additional bonuses based on performance that exceeds the mutually agreed upon goals. On August 8, 2022, based on a report from its independent compensation consultant and discussions with the consultant, the Compensation Committee approved an increase to Mr. Oakes’ base salary from $250,000 to $ 275,000 per year, and an increase in his maximum discretionary bonus opportunity from $200,000 to $250,000 per year.</w:t>
      </w:r>
    </w:p>
    <w:p>
      <w:pPr>
        <w:spacing w:after="0" w:line="75"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accordance with the terms of the agreement, if Mr. Oakes’ employment was terminated by us without cause, or in connection with a change of control, or by Mr. Oakes for good reason, Mr. Oakes would be entitled to receive certain severance benefits, including severance pay equal to 100% of his annual base salary plus his projected bonus for such fiscal year. Mr. Oakes would also be eligible to receive insurance benefits for a period of up to twelve months following his termination of employment. We could terminate Mr. Oakes’ employment for cause only if we received the unanimous agreement of our board of directors. In addition, if we terminated his employment without cause, or if Mr. Oakes resigned for good reason, or upon the occurrence of a change of control, all of his issued but unvested options would immediately vest.</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addition to the terms of our standard invention assignment, restrictive covenants, and confidentiality agreement, Mr. Oakes’ employment agreement contained confidentiality, non -solicitation and non-competition provisions, whereby Mr. Oakes was subject to non-solicitation restrictions for a period of at least one year and to non-competition restrictions for a period of at least six months following his employment period. Mr. Oakes resigned as Chief Financial Officer effective February 28, 2023.</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3" w:name="page54"/>
    <w:bookmarkEnd w:id="5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4"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Employment Agreement for Mr. Wilcox: </w:t>
      </w:r>
      <w:r>
        <w:rPr>
          <w:rFonts w:ascii="Times New Roman" w:cs="Times New Roman" w:eastAsia="Times New Roman" w:hAnsi="Times New Roman"/>
          <w:sz w:val="14"/>
          <w:szCs w:val="14"/>
          <w:color w:val="auto"/>
        </w:rPr>
        <w:t>On July 14, 2022, we entered into an employment agreement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Mr. Wilcox as our Chief Operating Officer. Pursuant to the terms of the agreement, Mr. Wilcox received an annual base salary of $300,000 and was eligible to participate in all employee benefit programs. Mr. Wilcox was also eligible to receive a discretionary performance-based bonus of up to $ 300,000 with respect to each fiscal year, based on the mutually agreed upon goals that will be set by our Chief Executive Officer and the compensation committee of the Board, and was issued 1,000 restricted stock units that would vest in three equal installments on the one-year, two-year and three-year anniversaries of grant. If Mr. Wilcox’s employment with us was terminated for any reason, he would be entitled to (i) his annual base salary through the termination date, (ii) any accrued unused paid time off, (iii) any vested benefit due and owing under any employee benefit plan and (iv) any unreimbursed business expenses. If Mr. Wilcox’s employment had been terminated by us without cause or by Mr. Wilcox for good reason (as such terms are defined in his employment agreement), he would have also been entitled to receive (i) 100% of his annual base salary and his projected bonus for such fiscal year, (ii) only in the instance of termination without cause or for good reason that occurs within 30 days prior to, or within six months following, a change in control, immediate vesting of all his issued but unvested options or restricted stock units and (iii) continued participation in our group health insurance benefits through August 31, 2025.</w:t>
      </w:r>
    </w:p>
    <w:p>
      <w:pPr>
        <w:spacing w:after="0" w:line="259"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In connection with Mr. Wilcox’s resignation, on May 23, 2023, we entered into a separation agreement with Mr. Wilcox. The separation agreement provided that, among other things, (a) Mr. Wilcox would receive reimbursement for COBRA premiums for medical, dental and vision benefits for a period of six months, and (b) all of Mr. Wilcox’s restricted stock units will continue to vest in accordance with their original vesting terms, notwithstanding his resignation. The separation agreement also contained a general release in favor of the Company.</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Potential Termination Payments and Equity Awards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Employment Agreements for our Named Executive Officers, as described above, generally provide for cash payment in the event that their employment with the Company is terminated in certain circumstances by the Company without cause or by such Named Executive Officer for good reason (1) outside of a change of control and (2) in connection with a change of control. The potential payouts each Named Executive Officer may be eligible to receive in either instance under their respective employment agreements is calculated based upon the measurement criteria described above.</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If the Named Executive Officers covered by employment agreements or severance agreements had their employment terminated as of December 31, 2023, the Named Executive Officers would have been eligible to receive payments, depending upon whether the termination was for good reason or based upon a change in control, as set forth in the following table.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Termination Payout Table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following table sets forth information concerning termination payouts for Named Executive Officers serving as of December 31, 2023. These disclosed amounts are estimates only and do not necessarily reflect the actual amounts that would be paid to the Named Executive Officers, which would only be known at the time that they become eligible for payment and would only be payable if the events set forth in the table below occur.</w:t>
      </w:r>
    </w:p>
    <w:p>
      <w:pPr>
        <w:spacing w:after="0" w:line="203"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8"/>
          </w:tcPr>
          <w:p>
            <w:pPr>
              <w:ind w:left="540"/>
              <w:spacing w:after="0"/>
              <w:rPr>
                <w:sz w:val="20"/>
                <w:szCs w:val="20"/>
                <w:color w:val="auto"/>
              </w:rPr>
            </w:pPr>
            <w:r>
              <w:rPr>
                <w:rFonts w:ascii="Times New Roman" w:cs="Times New Roman" w:eastAsia="Times New Roman" w:hAnsi="Times New Roman"/>
                <w:sz w:val="13"/>
                <w:szCs w:val="13"/>
                <w:b w:val="1"/>
                <w:bCs w:val="1"/>
                <w:color w:val="auto"/>
              </w:rPr>
              <w:t>Potential Termination Payments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gridSpan w:val="9"/>
          </w:tcPr>
          <w:p>
            <w:pPr>
              <w:ind w:left="400"/>
              <w:spacing w:after="0"/>
              <w:rPr>
                <w:sz w:val="20"/>
                <w:szCs w:val="20"/>
                <w:color w:val="auto"/>
              </w:rPr>
            </w:pPr>
            <w:r>
              <w:rPr>
                <w:rFonts w:ascii="Times New Roman" w:cs="Times New Roman" w:eastAsia="Times New Roman" w:hAnsi="Times New Roman"/>
                <w:sz w:val="13"/>
                <w:szCs w:val="13"/>
                <w:b w:val="1"/>
                <w:bCs w:val="1"/>
                <w:color w:val="auto"/>
              </w:rPr>
              <w:t>Without Cause or for Good Reason</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5"/>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Change of Control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ind w:right="74"/>
              <w:spacing w:after="0" w:line="134"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Salary and</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Award</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Salary and</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Bonus</w:t>
            </w:r>
          </w:p>
        </w:tc>
        <w:tc>
          <w:tcPr>
            <w:tcW w:w="80" w:type="dxa"/>
            <w:vAlign w:val="bottom"/>
          </w:tcPr>
          <w:p>
            <w:pPr>
              <w:spacing w:after="0"/>
              <w:rPr>
                <w:sz w:val="15"/>
                <w:szCs w:val="15"/>
                <w:color w:val="auto"/>
              </w:rPr>
            </w:pPr>
          </w:p>
        </w:tc>
        <w:tc>
          <w:tcPr>
            <w:tcW w:w="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0" w:type="dxa"/>
            <w:vAlign w:val="bottom"/>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Acceleration</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Bonus</w:t>
            </w:r>
          </w:p>
        </w:tc>
        <w:tc>
          <w:tcPr>
            <w:tcW w:w="80" w:type="dxa"/>
            <w:vAlign w:val="bottom"/>
          </w:tcPr>
          <w:p>
            <w:pPr>
              <w:spacing w:after="0"/>
              <w:rPr>
                <w:sz w:val="15"/>
                <w:szCs w:val="15"/>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Acceleration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2"/>
        </w:trPr>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Raymond Chang</w:t>
            </w:r>
          </w:p>
        </w:tc>
        <w:tc>
          <w:tcPr>
            <w:tcW w:w="74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$ 1,050,000</w:t>
            </w:r>
          </w:p>
        </w:tc>
        <w:tc>
          <w:tcPr>
            <w:tcW w:w="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35,858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$ 1,087,407</w:t>
            </w:r>
          </w:p>
        </w:tc>
        <w:tc>
          <w:tcPr>
            <w:tcW w:w="7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3"/>
                <w:szCs w:val="13"/>
                <w:color w:val="auto"/>
              </w:rPr>
              <w:t>$ 1,050,000</w:t>
            </w: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35,858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6"/>
              </w:rPr>
              <w:t>1,087,407</w:t>
            </w:r>
          </w:p>
        </w:tc>
        <w:tc>
          <w:tcPr>
            <w:tcW w:w="0" w:type="dxa"/>
            <w:vAlign w:val="bottom"/>
          </w:tcPr>
          <w:p>
            <w:pPr>
              <w:spacing w:after="0"/>
              <w:rPr>
                <w:sz w:val="1"/>
                <w:szCs w:val="1"/>
                <w:color w:val="auto"/>
              </w:rPr>
            </w:pPr>
          </w:p>
        </w:tc>
      </w:tr>
      <w:tr>
        <w:trPr>
          <w:trHeight w:val="224"/>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1300" w:hanging="394"/>
        <w:spacing w:after="0"/>
        <w:tabs>
          <w:tab w:leader="none" w:pos="1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circumstances involving termination without cause or for Good Reason outside of any Change in Control.</w:t>
      </w:r>
    </w:p>
    <w:p>
      <w:pPr>
        <w:spacing w:after="0" w:line="23" w:lineRule="exact"/>
        <w:rPr>
          <w:rFonts w:ascii="Times New Roman" w:cs="Times New Roman" w:eastAsia="Times New Roman" w:hAnsi="Times New Roman"/>
          <w:sz w:val="14"/>
          <w:szCs w:val="14"/>
          <w:color w:val="auto"/>
        </w:rPr>
      </w:pPr>
    </w:p>
    <w:p>
      <w:pPr>
        <w:ind w:left="1300" w:right="900" w:hanging="394"/>
        <w:spacing w:after="0" w:line="250" w:lineRule="auto"/>
        <w:tabs>
          <w:tab w:leader="none" w:pos="1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circumstances involving termination without cause or for Good Reason in connection with a Change in Control.</w:t>
      </w:r>
    </w:p>
    <w:p>
      <w:pPr>
        <w:jc w:val="both"/>
        <w:ind w:left="1300" w:right="900" w:hanging="394"/>
        <w:spacing w:after="0" w:line="250" w:lineRule="auto"/>
        <w:tabs>
          <w:tab w:leader="none" w:pos="1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health, dental, and life insurance coverage for a period of twelve months. The reported value is based upon the type of insurance coverage carried by each Named Executive Officer as of December 31, 2023 and is valued at the premiums in effect on December 31, 2023.</w:t>
      </w:r>
    </w:p>
    <w:p>
      <w:pPr>
        <w:spacing w:after="0" w:line="1" w:lineRule="exact"/>
        <w:rPr>
          <w:rFonts w:ascii="Times New Roman" w:cs="Times New Roman" w:eastAsia="Times New Roman" w:hAnsi="Times New Roman"/>
          <w:sz w:val="14"/>
          <w:szCs w:val="14"/>
          <w:color w:val="auto"/>
        </w:rPr>
      </w:pPr>
    </w:p>
    <w:p>
      <w:pPr>
        <w:jc w:val="both"/>
        <w:ind w:left="1300" w:right="900" w:hanging="394"/>
        <w:spacing w:after="0" w:line="256" w:lineRule="auto"/>
        <w:tabs>
          <w:tab w:leader="none" w:pos="13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unvested outstanding equity awards contain acceleration provisions, and assuming the applicability and operation of such provisions as of December 31, 2023, the Named Executive Officer could have realized the following values from acceleration (based on the closing price of $1.20 on December 29, 2023 over any applicable exercise price or par value payment obligation for such accelerated awards).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4" w:name="page55"/>
    <w:bookmarkEnd w:id="5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Director and Officer Indemnification and Limitation of Liability</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have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98"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We are a Nevada corporation and generally governed by the Nevada Private Corporations Code, Title 78 of the Nevada Revised Statutes, or NRS. 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7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101"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6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Discretionary indemnification pursuant to Section 78.7502 may be made as authorized upon determination that the indemnification is proper under the circumstances. Such determination may be made by (i) 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101" w:lineRule="exact"/>
        <w:rPr>
          <w:sz w:val="20"/>
          <w:szCs w:val="20"/>
          <w:color w:val="auto"/>
        </w:rPr>
      </w:pPr>
    </w:p>
    <w:p>
      <w:pPr>
        <w:jc w:val="both"/>
        <w:ind w:left="900" w:right="920" w:firstLine="384"/>
        <w:spacing w:after="0" w:line="278" w:lineRule="auto"/>
        <w:rPr>
          <w:sz w:val="20"/>
          <w:szCs w:val="20"/>
          <w:color w:val="auto"/>
        </w:rPr>
      </w:pPr>
      <w:r>
        <w:rPr>
          <w:rFonts w:ascii="Times New Roman" w:cs="Times New Roman" w:eastAsia="Times New Roman" w:hAnsi="Times New Roman"/>
          <w:sz w:val="14"/>
          <w:szCs w:val="14"/>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75"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 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75"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5" w:name="page56"/>
    <w:bookmarkEnd w:id="5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78" w:lineRule="auto"/>
        <w:rPr>
          <w:sz w:val="20"/>
          <w:szCs w:val="20"/>
          <w:color w:val="auto"/>
        </w:rPr>
      </w:pPr>
      <w:r>
        <w:rPr>
          <w:rFonts w:ascii="Times New Roman" w:cs="Times New Roman" w:eastAsia="Times New Roman" w:hAnsi="Times New Roman"/>
          <w:sz w:val="14"/>
          <w:szCs w:val="14"/>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25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6" w:name="page57"/>
    <w:bookmarkEnd w:id="5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16" w:lineRule="exact"/>
        <w:rPr>
          <w:sz w:val="20"/>
          <w:szCs w:val="20"/>
          <w:color w:val="auto"/>
        </w:rPr>
      </w:pPr>
    </w:p>
    <w:p>
      <w:pPr>
        <w:jc w:val="both"/>
        <w:ind w:left="900" w:right="900" w:firstLine="384"/>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Annual Cash Compensation. </w:t>
      </w:r>
      <w:r>
        <w:rPr>
          <w:rFonts w:ascii="Times New Roman" w:cs="Times New Roman" w:eastAsia="Times New Roman" w:hAnsi="Times New Roman"/>
          <w:sz w:val="16"/>
          <w:szCs w:val="16"/>
          <w:color w:val="auto"/>
        </w:rPr>
        <w:t>Each of the Company’s non- employee directors receives an annual cash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retainer of $24,000, payable in twelve monthly installments. In addition, the following Committee retainer amounts are payable to Committee members.</w:t>
      </w:r>
    </w:p>
    <w:p>
      <w:pPr>
        <w:spacing w:after="0" w:line="8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Audit Committee Chair receives an annual retainer of $5,000 per year, while Audit Committee members are entitled to receive an annual retainer of $1,000. The annual retainers are paid in twelve monthly installments and are in addition to the annual cash retainer for non-employee directors described above.</w:t>
      </w:r>
    </w:p>
    <w:p>
      <w:pPr>
        <w:spacing w:after="0" w:line="8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Compensation Committee Chair receives an annual retainer of $5,000 per year, while Compensation Committee members are entitled to receive an annual retainer of $1,000. The annual retainers are paid in twelve monthly installments and are in addition to the annual cash retainer for non-employee directors described above.</w:t>
      </w:r>
    </w:p>
    <w:p>
      <w:pPr>
        <w:spacing w:after="0" w:line="8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Nominating and Corporate Governance Committee Chair receives an annual retainer of $5,000 per year, while Nominating and Corporate Governance Committee members are entitled to receive an annual retainer of $1,000. The annual retainers are paid in twelve monthly installments and are in addition to the annual cash retainer for non-employee directors described above.</w:t>
      </w:r>
    </w:p>
    <w:p>
      <w:pPr>
        <w:spacing w:after="0" w:line="83" w:lineRule="exact"/>
        <w:rPr>
          <w:sz w:val="20"/>
          <w:szCs w:val="20"/>
          <w:color w:val="auto"/>
        </w:rPr>
      </w:pPr>
    </w:p>
    <w:p>
      <w:pPr>
        <w:ind w:left="900" w:right="940" w:firstLine="384"/>
        <w:spacing w:after="0" w:line="259" w:lineRule="auto"/>
        <w:rPr>
          <w:sz w:val="20"/>
          <w:szCs w:val="20"/>
          <w:color w:val="auto"/>
        </w:rPr>
      </w:pPr>
      <w:r>
        <w:rPr>
          <w:rFonts w:ascii="Times New Roman" w:cs="Times New Roman" w:eastAsia="Times New Roman" w:hAnsi="Times New Roman"/>
          <w:sz w:val="16"/>
          <w:szCs w:val="16"/>
          <w:color w:val="auto"/>
        </w:rPr>
        <w:t>Currently, there are no annual retainer fees awarded to either the Merger and Acquisitions Committee Chair or the Merger and Acquisition Committee members.</w:t>
      </w:r>
    </w:p>
    <w:p>
      <w:pPr>
        <w:spacing w:after="0" w:line="69"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Stock Options and Share-Based Awards. </w:t>
      </w:r>
      <w:r>
        <w:rPr>
          <w:rFonts w:ascii="Times New Roman" w:cs="Times New Roman" w:eastAsia="Times New Roman" w:hAnsi="Times New Roman"/>
          <w:sz w:val="16"/>
          <w:szCs w:val="16"/>
          <w:color w:val="auto"/>
        </w:rPr>
        <w:t>Following initial election to the Company’s Board of Directors,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non-employee directors are eligible to receive restricted stock units as determined by the Board.</w:t>
      </w:r>
    </w:p>
    <w:p>
      <w:pPr>
        <w:spacing w:after="0" w:line="6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Company’s Board and Compensation Committee believe that equity-based awards are essential to our continued success. Equity-based awards are necessary to attract, retain and motivate highly qualified directors to serve Agrify and to improve Agrify’s business results and earnings by providing these individuals an opportunity to acquire or increase a direct proprietary interest in Agrify’s operations and future success while further aligning recipient’s interests with those of shareholders.</w:t>
      </w:r>
    </w:p>
    <w:p>
      <w:pPr>
        <w:spacing w:after="0" w:line="8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Board compensation guidelines described above are designed to (a) compensate Committee members through Committee cash retainers in order to provide compensation commensurate with relevant service level commitments for Committee service and (b) set overall Board compensation at a level that is competitive with market norms, in order to enable the Company to attract potential new directors and provide market-based remuneration for existing directors.</w:t>
      </w:r>
    </w:p>
    <w:p>
      <w:pPr>
        <w:spacing w:after="0" w:line="83"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Non-Equity Incentive Plan Compensation. </w:t>
      </w:r>
      <w:r>
        <w:rPr>
          <w:rFonts w:ascii="Times New Roman" w:cs="Times New Roman" w:eastAsia="Times New Roman" w:hAnsi="Times New Roman"/>
          <w:sz w:val="16"/>
          <w:szCs w:val="16"/>
          <w:color w:val="auto"/>
        </w:rPr>
        <w:t>We do not provide Non-Equity Incentive Compensation to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w:t>
      </w:r>
    </w:p>
    <w:p>
      <w:pPr>
        <w:spacing w:after="0" w:line="66" w:lineRule="exact"/>
        <w:rPr>
          <w:sz w:val="20"/>
          <w:szCs w:val="20"/>
          <w:color w:val="auto"/>
        </w:rPr>
      </w:pPr>
    </w:p>
    <w:p>
      <w:pPr>
        <w:jc w:val="both"/>
        <w:ind w:left="900" w:right="920" w:firstLine="384"/>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Pension Benefits. </w:t>
      </w:r>
      <w:r>
        <w:rPr>
          <w:rFonts w:ascii="Times New Roman" w:cs="Times New Roman" w:eastAsia="Times New Roman" w:hAnsi="Times New Roman"/>
          <w:sz w:val="16"/>
          <w:szCs w:val="16"/>
          <w:color w:val="auto"/>
        </w:rPr>
        <w:t>We do not have a pension plan and therefore, do not offer any such pension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arrangements to our directors.</w:t>
      </w:r>
    </w:p>
    <w:p>
      <w:pPr>
        <w:spacing w:after="0" w:line="6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table below provides compensation information for the year ended December 31, 2023 for each non-employee member of our Board of Directors. Guichao Hua served on the Board of Directors until our Annual Meeting of Stockholders held on January 8, 2024, at which point I-Tseng Jenny Chan was elected to the Board of Directors.</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Change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Value and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Fees</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Nonqualified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Earned or</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Non-Equity</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Deferred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Paid In</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8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Incentive Plan</w:t>
            </w:r>
          </w:p>
        </w:tc>
        <w:tc>
          <w:tcPr>
            <w:tcW w:w="8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1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80" w:type="dxa"/>
            <w:vAlign w:val="bottom"/>
          </w:tcPr>
          <w:p>
            <w:pPr>
              <w:spacing w:after="0"/>
              <w:rPr>
                <w:sz w:val="15"/>
                <w:szCs w:val="15"/>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15"/>
                <w:szCs w:val="15"/>
                <w:color w:val="auto"/>
              </w:rPr>
            </w:pP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2"/>
        </w:trPr>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Guichao Hua</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14,853</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20,417</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 $</w:t>
            </w:r>
          </w:p>
        </w:tc>
        <w:tc>
          <w:tcPr>
            <w:tcW w:w="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4"/>
              </w:rPr>
              <w:t>35,000</w:t>
            </w:r>
          </w:p>
        </w:tc>
        <w:tc>
          <w:tcPr>
            <w:tcW w:w="20" w:type="dxa"/>
            <w:vAlign w:val="bottom"/>
          </w:tcPr>
          <w:p>
            <w:pPr>
              <w:spacing w:after="0"/>
              <w:rPr>
                <w:sz w:val="19"/>
                <w:szCs w:val="19"/>
                <w:color w:val="auto"/>
              </w:rPr>
            </w:pP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Max Holtzman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65,000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75,000</w:t>
            </w:r>
          </w:p>
        </w:tc>
      </w:tr>
      <w:tr>
        <w:trPr>
          <w:trHeight w:val="32"/>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44"/>
        </w:trPr>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Timothy Mahoney</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23,452</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58,838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4"/>
              </w:rPr>
              <w:t>82,380</w:t>
            </w:r>
          </w:p>
        </w:tc>
        <w:tc>
          <w:tcPr>
            <w:tcW w:w="20" w:type="dxa"/>
            <w:vAlign w:val="bottom"/>
          </w:tcPr>
          <w:p>
            <w:pPr>
              <w:spacing w:after="0"/>
              <w:rPr>
                <w:sz w:val="21"/>
                <w:szCs w:val="21"/>
                <w:color w:val="auto"/>
              </w:rPr>
            </w:pPr>
          </w:p>
        </w:tc>
      </w:tr>
      <w:tr>
        <w:trPr>
          <w:trHeight w:val="232"/>
        </w:trPr>
        <w:tc>
          <w:tcPr>
            <w:tcW w:w="1420" w:type="dxa"/>
            <w:vAlign w:val="bottom"/>
          </w:tcPr>
          <w:p>
            <w:pPr>
              <w:spacing w:after="0"/>
              <w:rPr>
                <w:sz w:val="20"/>
                <w:szCs w:val="20"/>
                <w:color w:val="auto"/>
              </w:rPr>
            </w:pPr>
            <w:r>
              <w:rPr>
                <w:rFonts w:ascii="Times New Roman" w:cs="Times New Roman" w:eastAsia="Times New Roman" w:hAnsi="Times New Roman"/>
                <w:sz w:val="13"/>
                <w:szCs w:val="13"/>
                <w:color w:val="auto"/>
              </w:rPr>
              <w:t>Leonard J. Sokolow</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19,792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52,708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72,500</w:t>
            </w:r>
          </w:p>
        </w:tc>
      </w:tr>
      <w:tr>
        <w:trPr>
          <w:trHeight w:val="32"/>
        </w:trPr>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r>
      <w:tr>
        <w:trPr>
          <w:trHeight w:val="244"/>
        </w:trPr>
        <w:tc>
          <w:tcPr>
            <w:tcW w:w="1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Krishnan Varier</w:t>
            </w: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22,500</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56,500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4"/>
              </w:rPr>
              <w:t>79,000</w:t>
            </w:r>
          </w:p>
        </w:tc>
        <w:tc>
          <w:tcPr>
            <w:tcW w:w="20" w:type="dxa"/>
            <w:vAlign w:val="bottom"/>
          </w:tcPr>
          <w:p>
            <w:pPr>
              <w:spacing w:after="0"/>
              <w:rPr>
                <w:sz w:val="21"/>
                <w:szCs w:val="21"/>
                <w:color w:val="auto"/>
              </w:rPr>
            </w:pPr>
          </w:p>
        </w:tc>
      </w:t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64" w:lineRule="exact"/>
        <w:rPr>
          <w:sz w:val="20"/>
          <w:szCs w:val="20"/>
          <w:color w:val="auto"/>
        </w:rPr>
      </w:pPr>
    </w:p>
    <w:p>
      <w:pPr>
        <w:jc w:val="both"/>
        <w:ind w:left="1300" w:right="900" w:hanging="394"/>
        <w:spacing w:after="0" w:line="270" w:lineRule="auto"/>
        <w:tabs>
          <w:tab w:leader="none" w:pos="1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dollar amount of all fees earned or paid in cash for services as a director, including monthly retainer fees and committee membership, as described above. During the year ended December 31, 2023, directors elected to receive additional restricted stock units in lieu of a portion of their cash compensation.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7" w:name="page58"/>
    <w:bookmarkEnd w:id="5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3" w:lineRule="exact"/>
        <w:rPr>
          <w:sz w:val="20"/>
          <w:szCs w:val="20"/>
          <w:color w:val="auto"/>
        </w:rPr>
      </w:pPr>
    </w:p>
    <w:p>
      <w:pPr>
        <w:jc w:val="both"/>
        <w:ind w:left="1300" w:right="920" w:hanging="394"/>
        <w:spacing w:after="0" w:line="250" w:lineRule="auto"/>
        <w:tabs>
          <w:tab w:leader="none" w:pos="1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reported amounts are calculated in accordance with the provisions of Financial Accounting Standards Board (“FASB”) Accounting Standard Codification Topic 718, “Compensation — Stock Compensation (“ASC Topic 718”).</w:t>
      </w:r>
    </w:p>
    <w:p>
      <w:pPr>
        <w:jc w:val="both"/>
        <w:ind w:left="1300" w:right="920" w:hanging="394"/>
        <w:spacing w:after="0" w:line="250" w:lineRule="auto"/>
        <w:tabs>
          <w:tab w:leader="none" w:pos="1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aggregate number of unvested restricted stock units outstanding for each current non-employee director were as follows: 89 for each of Messrs. Hua, Mahoney, Varier, Sokolow and Holtzman. Value of stock awards reflects awards that were earned in 2023 but paid in January 2024.</w:t>
      </w:r>
    </w:p>
    <w:p>
      <w:pPr>
        <w:spacing w:after="0" w:line="1" w:lineRule="exact"/>
        <w:rPr>
          <w:rFonts w:ascii="Times New Roman" w:cs="Times New Roman" w:eastAsia="Times New Roman" w:hAnsi="Times New Roman"/>
          <w:sz w:val="14"/>
          <w:szCs w:val="14"/>
          <w:color w:val="auto"/>
        </w:rPr>
      </w:pPr>
    </w:p>
    <w:p>
      <w:pPr>
        <w:ind w:left="1300" w:right="900" w:hanging="394"/>
        <w:spacing w:after="0" w:line="258" w:lineRule="auto"/>
        <w:tabs>
          <w:tab w:leader="none" w:pos="13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aggregate number of unexercised stock option awards outstanding for each current non-employee director were as follows: 456 for Mr. Hua, 456 for Mr. Mahoney, 455 for Mr. Varier; 250 for Mr. Sokolow and none for Mr. Holtzman.</w:t>
      </w: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8" w:name="page59"/>
    <w:bookmarkEnd w:id="5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following table provides information, as of January 25, 2024,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January 25, 2024, there were 58 record holders and 6,846,419 outstanding shares of our Company’s Common Stock.</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January 25, 2024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January 25, 2024, are deemed outstanding for the purpose of computing the percentage ownership of the person holding those options or warrants but are not deemed outstanding for computing the percentage ownership of any other person.</w:t>
      </w:r>
    </w:p>
    <w:p>
      <w:pPr>
        <w:spacing w:after="0" w:line="10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240" w:type="dxa"/>
            <w:vAlign w:val="bottom"/>
            <w:gridSpan w:val="3"/>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Beneficial Ownership</w:t>
            </w:r>
          </w:p>
        </w:tc>
      </w:tr>
      <w:tr>
        <w:trPr>
          <w:trHeight w:val="28"/>
        </w:trPr>
        <w:tc>
          <w:tcPr>
            <w:tcW w:w="4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46"/>
        </w:trPr>
        <w:tc>
          <w:tcPr>
            <w:tcW w:w="4960" w:type="dxa"/>
            <w:vAlign w:val="bottom"/>
          </w:tcPr>
          <w:p>
            <w:pPr>
              <w:spacing w:after="0"/>
              <w:rPr>
                <w:sz w:val="12"/>
                <w:szCs w:val="12"/>
                <w:color w:val="auto"/>
              </w:rPr>
            </w:pPr>
          </w:p>
        </w:tc>
        <w:tc>
          <w:tcPr>
            <w:tcW w:w="1080" w:type="dxa"/>
            <w:vAlign w:val="bottom"/>
            <w:gridSpan w:val="2"/>
          </w:tcPr>
          <w:p>
            <w:pPr>
              <w:jc w:val="right"/>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right"/>
              <w:ind w:right="183"/>
              <w:spacing w:after="0" w:line="146" w:lineRule="exact"/>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496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8"/>
        </w:trPr>
        <w:tc>
          <w:tcPr>
            <w:tcW w:w="4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r>
              <w:rPr>
                <w:rFonts w:ascii="Times New Roman" w:cs="Times New Roman" w:eastAsia="Times New Roman" w:hAnsi="Times New Roman"/>
                <w:sz w:val="19"/>
                <w:szCs w:val="19"/>
                <w:color w:val="auto"/>
                <w:vertAlign w:val="superscript"/>
              </w:rPr>
              <w:t>(2)</w:t>
            </w: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Raymond Chang</w:t>
            </w:r>
            <w:r>
              <w:rPr>
                <w:rFonts w:ascii="Times New Roman" w:cs="Times New Roman" w:eastAsia="Times New Roman" w:hAnsi="Times New Roman"/>
                <w:sz w:val="19"/>
                <w:szCs w:val="19"/>
                <w:color w:val="auto"/>
                <w:vertAlign w:val="superscript"/>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11,966,841</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49.99%</w:t>
            </w: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Kessler</w:t>
            </w:r>
            <w:r>
              <w:rPr>
                <w:rFonts w:ascii="Times New Roman" w:cs="Times New Roman" w:eastAsia="Times New Roman" w:hAnsi="Times New Roman"/>
                <w:sz w:val="19"/>
                <w:szCs w:val="19"/>
                <w:color w:val="auto"/>
                <w:vertAlign w:val="superscript"/>
              </w:rPr>
              <w:t>(5)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1,038</w:t>
            </w:r>
          </w:p>
        </w:tc>
        <w:tc>
          <w:tcPr>
            <w:tcW w:w="11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I-Tseng Jenny Chan</w:t>
            </w:r>
            <w:r>
              <w:rPr>
                <w:rFonts w:ascii="Times New Roman" w:cs="Times New Roman" w:eastAsia="Times New Roman" w:hAnsi="Times New Roman"/>
                <w:sz w:val="19"/>
                <w:szCs w:val="19"/>
                <w:color w:val="auto"/>
                <w:vertAlign w:val="superscript"/>
              </w:rPr>
              <w:t>(4)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11,609,789</w:t>
            </w:r>
          </w:p>
        </w:tc>
        <w:tc>
          <w:tcPr>
            <w:tcW w:w="80" w:type="dxa"/>
            <w:vAlign w:val="bottom"/>
          </w:tcPr>
          <w:p>
            <w:pPr>
              <w:spacing w:after="0"/>
              <w:rPr>
                <w:sz w:val="22"/>
                <w:szCs w:val="22"/>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Max Holtzman</w:t>
            </w:r>
            <w:r>
              <w:rPr>
                <w:rFonts w:ascii="Times New Roman" w:cs="Times New Roman" w:eastAsia="Times New Roman" w:hAnsi="Times New Roman"/>
                <w:sz w:val="19"/>
                <w:szCs w:val="19"/>
                <w:color w:val="auto"/>
                <w:vertAlign w:val="superscript"/>
              </w:rPr>
              <w:t>(5)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52,724</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Timothy Mahoney</w:t>
            </w:r>
            <w:r>
              <w:rPr>
                <w:rFonts w:ascii="Times New Roman" w:cs="Times New Roman" w:eastAsia="Times New Roman" w:hAnsi="Times New Roman"/>
                <w:sz w:val="19"/>
                <w:szCs w:val="19"/>
                <w:color w:val="auto"/>
                <w:vertAlign w:val="superscript"/>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45,071</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Krishnan Varier</w:t>
            </w:r>
            <w:r>
              <w:rPr>
                <w:rFonts w:ascii="Times New Roman" w:cs="Times New Roman" w:eastAsia="Times New Roman" w:hAnsi="Times New Roman"/>
                <w:sz w:val="19"/>
                <w:szCs w:val="19"/>
                <w:color w:val="auto"/>
                <w:vertAlign w:val="superscript"/>
              </w:rPr>
              <w:t>(5)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41,993</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Leonard J. Sokolow</w:t>
            </w:r>
            <w:r>
              <w:rPr>
                <w:rFonts w:ascii="Times New Roman" w:cs="Times New Roman" w:eastAsia="Times New Roman" w:hAnsi="Times New Roman"/>
                <w:sz w:val="19"/>
                <w:szCs w:val="19"/>
                <w:color w:val="auto"/>
                <w:vertAlign w:val="superscript"/>
              </w:rPr>
              <w:t>(5)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36,738</w:t>
            </w:r>
          </w:p>
        </w:tc>
        <w:tc>
          <w:tcPr>
            <w:tcW w:w="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 (7 persons)</w:t>
            </w:r>
            <w:r>
              <w:rPr>
                <w:rFonts w:ascii="Times New Roman" w:cs="Times New Roman" w:eastAsia="Times New Roman" w:hAnsi="Times New Roman"/>
                <w:sz w:val="19"/>
                <w:szCs w:val="19"/>
                <w:color w:val="auto"/>
                <w:vertAlign w:val="superscript"/>
              </w:rPr>
              <w:t>(3)(5)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13,480,221</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52.57%</w:t>
            </w:r>
          </w:p>
        </w:tc>
      </w:tr>
      <w:tr>
        <w:trPr>
          <w:trHeight w:val="224"/>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64" w:lineRule="exact"/>
        <w:rPr>
          <w:sz w:val="20"/>
          <w:szCs w:val="20"/>
          <w:color w:val="auto"/>
        </w:rPr>
      </w:pPr>
    </w:p>
    <w:p>
      <w:pPr>
        <w:ind w:left="1300" w:hanging="394"/>
        <w:spacing w:after="0"/>
        <w:tabs>
          <w:tab w:leader="none" w:pos="1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3" w:lineRule="exact"/>
        <w:rPr>
          <w:sz w:val="20"/>
          <w:szCs w:val="20"/>
          <w:color w:val="auto"/>
        </w:rPr>
      </w:pPr>
    </w:p>
    <w:p>
      <w:pPr>
        <w:ind w:left="1300" w:hanging="394"/>
        <w:spacing w:after="0"/>
        <w:tabs>
          <w:tab w:leader="none" w:pos="1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percentages shown with respect to any identified individual or group are calculated by dividing: (i) the sum of</w:t>
      </w:r>
    </w:p>
    <w:p>
      <w:pPr>
        <w:spacing w:after="0" w:line="7" w:lineRule="exact"/>
        <w:rPr>
          <w:rFonts w:ascii="Times New Roman" w:cs="Times New Roman" w:eastAsia="Times New Roman" w:hAnsi="Times New Roman"/>
          <w:sz w:val="14"/>
          <w:szCs w:val="14"/>
          <w:color w:val="auto"/>
        </w:rPr>
      </w:pPr>
    </w:p>
    <w:p>
      <w:pPr>
        <w:jc w:val="both"/>
        <w:ind w:left="1300" w:right="920" w:hanging="9"/>
        <w:spacing w:after="0" w:line="250" w:lineRule="auto"/>
        <w:tabs>
          <w:tab w:leader="none" w:pos="1505"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actually owned as of January 25, 2024 plus (b) the number of shares of Common Stock that may be acquired through the exercise of stock options, warrants or any other rights, the conversion of convertible securities, or the vesting of Restricted Stock Units within 60 days thereof (“Currently Exercisable Awards”) by (ii) the sum of 6,846,419 shares of Common Stock outstanding as of January 25, 2024, plus the amount referenced in clause (i)(b) for such individual or group.</w:t>
      </w:r>
    </w:p>
    <w:p>
      <w:pPr>
        <w:spacing w:after="0" w:line="1" w:lineRule="exact"/>
        <w:rPr>
          <w:rFonts w:ascii="Times New Roman" w:cs="Times New Roman" w:eastAsia="Times New Roman" w:hAnsi="Times New Roman"/>
          <w:sz w:val="14"/>
          <w:szCs w:val="14"/>
          <w:color w:val="auto"/>
        </w:rPr>
      </w:pPr>
    </w:p>
    <w:p>
      <w:pPr>
        <w:ind w:left="1300" w:right="920" w:hanging="394"/>
        <w:spacing w:after="0" w:line="250" w:lineRule="auto"/>
        <w:tabs>
          <w:tab w:leader="none" w:pos="1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of the directors and executive officers listed above is c/o Agrify Corporation, 2468 Industrial Row Dr., Troy, MI 48084.</w:t>
      </w:r>
    </w:p>
    <w:p>
      <w:pPr>
        <w:jc w:val="both"/>
        <w:ind w:left="1300" w:right="900" w:hanging="394"/>
        <w:spacing w:after="0" w:line="252" w:lineRule="auto"/>
        <w:tabs>
          <w:tab w:leader="none" w:pos="1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options to purchase 6,334 shares of Common Stock that are exercisable within 60 days of January 25, 2024, (ii) 575 shares of Common Stock owned by Mr. Chang, (iii) 1,453,894 shares of common stock held by RTC3 2020 Irrevocable Family Trust, of which Mr. Chang retains the authority to remove the independent trustee, (iv) 648 shares of common stock held by NXT3J Capital, LLC, an entity controlled by Mr. Chang, (v) warrants to purchase 317 shares of common stock associated with our 2020 convertible promissory notes held by RTC3 2020 Irrevocable Family Trust, (vi) options to purchase 194 shares of common stock held by Mr. Chang’s son that are exercisable within 60 days of January 25, 2024, (vii) warrants to purchase 230,906 shares of Common Stock that are held by RTC3 2020 Irrevocable Family Trust, but only to the extent exercisable due to a 9.99% beneficial ownership limitation, and (viii) 10,273,973 shares of common stock that may be issued upon conversion of a secured convertible note held by CP Acquisitions, LLC (“CP”), over which Mr. Chang has shared voting and investment control, subject to a beneficial ownership limitation of 49.99% with respect to CP and/or Mr. Chang.</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59" w:name="page60"/>
    <w:bookmarkEnd w:id="5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3" w:lineRule="exact"/>
        <w:rPr>
          <w:sz w:val="20"/>
          <w:szCs w:val="20"/>
          <w:color w:val="auto"/>
        </w:rPr>
      </w:pPr>
    </w:p>
    <w:p>
      <w:pPr>
        <w:jc w:val="both"/>
        <w:ind w:left="1300" w:right="900" w:hanging="394"/>
        <w:spacing w:after="0" w:line="250" w:lineRule="auto"/>
        <w:tabs>
          <w:tab w:leader="none" w:pos="1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 1,335,816 shares of common stock owned in equal proportions by M. Zion Capital, LLC, M Olivet Capital, LLC and M Cannan Capital, LLC, over which Ms. Chan has voting and investment control, and (ii) 10,273,973 shares of common stock that may be issued upon conversion of a secured convertible note held by CP, over which Ms. Chan has shared voting and investment control, subject to a beneficial ownership limitation of 49.99% with respect to CP and/or Ms. Chan.</w:t>
      </w:r>
    </w:p>
    <w:p>
      <w:pPr>
        <w:spacing w:after="0" w:line="1" w:lineRule="exact"/>
        <w:rPr>
          <w:rFonts w:ascii="Times New Roman" w:cs="Times New Roman" w:eastAsia="Times New Roman" w:hAnsi="Times New Roman"/>
          <w:sz w:val="14"/>
          <w:szCs w:val="14"/>
          <w:color w:val="auto"/>
        </w:rPr>
      </w:pPr>
    </w:p>
    <w:p>
      <w:pPr>
        <w:jc w:val="both"/>
        <w:ind w:left="1300" w:right="920" w:hanging="394"/>
        <w:spacing w:after="0" w:line="256" w:lineRule="auto"/>
        <w:tabs>
          <w:tab w:leader="none" w:pos="13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shares subject to options that are exercisable within 60 days of January 25, 2024: Mr. Kessler, 788; Mr. Mahoney, 456; Mr. Varier, 454; and Mr. Sokolow, 188. Includes the following shares subject to Restricted Stock Units that vest within 60 days of January 25, 2024: Mr. Holtzman, 52,635; Mr. Mahoney, 44,526; Mr. Varier, 41, 450; and Mr. Sokolow, 36,461.</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0" w:name="page61"/>
    <w:bookmarkEnd w:id="6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MARKET, INDUSTRY AND OTHER DATA</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00"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and symbols, but we will assert, to the fullest extent under applicable law, our rights to our copyrights, trade names and trademarks. All other trademarks are the property of their respective owners.</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1" w:name="page62"/>
    <w:bookmarkEnd w:id="6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1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We estimate the net proceeds from this offering will be approximately $2.2 million, after deducting estimated placement agent fees and commissions and our estimated offering expenses.</w:t>
      </w:r>
    </w:p>
    <w:p>
      <w:pPr>
        <w:spacing w:after="0" w:line="8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intend to use the net proceeds of this offering for working capital and general corporate purposes, which may include capital expenditures and repayment of debt. We have not yet determined the amount of net proceeds to be used specifically for any of the foregoing purposes.</w:t>
      </w:r>
    </w:p>
    <w:p>
      <w:pPr>
        <w:spacing w:after="0" w:line="92"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Pending use of the proceeds as described above, we intend to invest the net proceeds of this offering in short-term interest-bearing investment grade instruments.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amounts and timing of our actual expenditures will depend on numerous factors, including the amount of cash used in our operations. We may find it necessary or advisable to use the net proceeds for other purposes, and we will have broad discretion in the application of the net proceeds and investors will be relying on the judgment of our management regarding the application of the net proceeds from this offering.</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Based upon our historical and anticipated future growth and our financial needs, we may engage in additional financings of a character and amount that we determine as the need arises. We may raise additional capital through additional public or private financings, the incurrence of debt and other available sources.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2" w:name="page63"/>
    <w:bookmarkEnd w:id="6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DILUTION</w:t>
      </w:r>
    </w:p>
    <w:p>
      <w:pPr>
        <w:spacing w:after="0" w:line="118"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If you invest in this offering, you will experience immediate and substantial dilution to the extent of the difference between the offering price per share paid in this offering (or the offering price per Pre-Funded Warrant, as applicable), in each case excluding shares of common stock issuable upon exercise of the Pre -Funded Warrants being offered in this offering and the payment of the exercise price therefor, and the adjusted net tangible book value per share of our common stock as of September 30, 2023, as adjusted to give effect to this offering.</w:t>
      </w:r>
    </w:p>
    <w:p>
      <w:pPr>
        <w:spacing w:after="0" w:line="6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net tangible book value per share of common stock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2023 was approximately $(21.2) million, or $(12.86) per share, based on 1,651,281 shares of common stock outstanding at September 30, 2023.</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After giving effect to the sale of 2,760,000 shares of our common stock in this offering (excluding shares of common stock issuable upon exercise of the Pre- Funded Warrants being offered in this offering) at the public offering price of $0.38 per share (or the public offering price per Pre-Funded Warrant of $0.38) and after deducting estimated offering expenses payable by us and placement agent fees), our as adjusted net tangible book value as of September 30, 2023 would have been approximately $(19.1) million, or $(4.33) per share of common stock. This represents an immediate increase in net tangible book value of $8.54 per share to existing stockholders and immediate dilution of $4.71 per share to investors purchasing securities in this offering at the offering price. The following table illustrates this dilution on a per share basis:</w:t>
      </w:r>
    </w:p>
    <w:p>
      <w:pPr>
        <w:spacing w:after="0" w:line="150"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price per share</w:t>
            </w: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0.38</w:t>
            </w:r>
          </w:p>
        </w:tc>
      </w:tr>
      <w:tr>
        <w:trPr>
          <w:trHeight w:val="238"/>
        </w:trPr>
        <w:tc>
          <w:tcPr>
            <w:tcW w:w="4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tangible book value per share as of September 30, 2023</w:t>
            </w:r>
          </w:p>
        </w:tc>
        <w:tc>
          <w:tcPr>
            <w:tcW w:w="5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442"/>
              <w:spacing w:after="0"/>
              <w:rPr>
                <w:sz w:val="20"/>
                <w:szCs w:val="20"/>
                <w:color w:val="auto"/>
              </w:rPr>
            </w:pPr>
            <w:r>
              <w:rPr>
                <w:rFonts w:ascii="Times New Roman" w:cs="Times New Roman" w:eastAsia="Times New Roman" w:hAnsi="Times New Roman"/>
                <w:sz w:val="16"/>
                <w:szCs w:val="16"/>
                <w:color w:val="auto"/>
              </w:rPr>
              <w:t>(12.86)</w:t>
            </w:r>
          </w:p>
        </w:tc>
        <w:tc>
          <w:tcPr>
            <w:tcW w:w="740" w:type="dxa"/>
            <w:vAlign w:val="bottom"/>
          </w:tcPr>
          <w:p>
            <w:pPr>
              <w:spacing w:after="0"/>
              <w:rPr>
                <w:sz w:val="20"/>
                <w:szCs w:val="20"/>
                <w:color w:val="auto"/>
              </w:rPr>
            </w:pPr>
          </w:p>
        </w:tc>
      </w:tr>
      <w:tr>
        <w:trPr>
          <w:trHeight w:val="26"/>
        </w:trPr>
        <w:tc>
          <w:tcPr>
            <w:tcW w:w="4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net tangible book value per share attributable to this offering</w:t>
            </w:r>
          </w:p>
        </w:tc>
        <w:tc>
          <w:tcPr>
            <w:tcW w:w="52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502"/>
              <w:spacing w:after="0"/>
              <w:rPr>
                <w:sz w:val="20"/>
                <w:szCs w:val="20"/>
                <w:color w:val="auto"/>
              </w:rPr>
            </w:pPr>
            <w:r>
              <w:rPr>
                <w:rFonts w:ascii="Times New Roman" w:cs="Times New Roman" w:eastAsia="Times New Roman" w:hAnsi="Times New Roman"/>
                <w:sz w:val="16"/>
                <w:szCs w:val="16"/>
                <w:color w:val="auto"/>
              </w:rPr>
              <w:t>8.54</w:t>
            </w:r>
          </w:p>
        </w:tc>
        <w:tc>
          <w:tcPr>
            <w:tcW w:w="740" w:type="dxa"/>
            <w:vAlign w:val="bottom"/>
            <w:tcBorders>
              <w:bottom w:val="single" w:sz="8" w:color="CCEEFF"/>
            </w:tcBorders>
            <w:shd w:val="clear" w:color="auto" w:fill="CCEEFF"/>
          </w:tcPr>
          <w:p>
            <w:pPr>
              <w:spacing w:after="0"/>
              <w:rPr>
                <w:sz w:val="21"/>
                <w:szCs w:val="2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As adjusted net tangible book value per share after giving effect</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 this offering based</w:t>
            </w:r>
          </w:p>
        </w:tc>
        <w:tc>
          <w:tcPr>
            <w:tcW w:w="520" w:type="dxa"/>
            <w:vAlign w:val="bottom"/>
          </w:tcPr>
          <w:p>
            <w:pPr>
              <w:spacing w:after="0"/>
              <w:rPr>
                <w:sz w:val="17"/>
                <w:szCs w:val="17"/>
                <w:color w:val="auto"/>
              </w:rPr>
            </w:pPr>
          </w:p>
        </w:tc>
        <w:tc>
          <w:tcPr>
            <w:tcW w:w="11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(4.33)</w:t>
            </w:r>
          </w:p>
        </w:tc>
      </w:tr>
      <w:tr>
        <w:trPr>
          <w:trHeight w:val="26"/>
        </w:trPr>
        <w:tc>
          <w:tcPr>
            <w:tcW w:w="476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8"/>
        </w:trPr>
        <w:tc>
          <w:tcPr>
            <w:tcW w:w="2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per share to new investors</w:t>
            </w:r>
          </w:p>
        </w:tc>
        <w:tc>
          <w:tcPr>
            <w:tcW w:w="52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4.71</w:t>
            </w:r>
          </w:p>
        </w:tc>
      </w:tr>
      <w:tr>
        <w:trPr>
          <w:trHeight w:val="26"/>
        </w:trPr>
        <w:tc>
          <w:tcPr>
            <w:tcW w:w="20" w:type="dxa"/>
            <w:vAlign w:val="bottom"/>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discussion and table above assume no exercise of the Pre-Funded Warrants sold in this offering.</w:t>
      </w:r>
    </w:p>
    <w:p>
      <w:pPr>
        <w:spacing w:after="0" w:line="116"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The above discussion and table do not take into account further dilution to investors purchasing our common stock in this offering that could occur upon the exercise of outstanding options and warrants, or the conversion of convertible securities, having a per share exercise or conversion price less than the public offering price per share in this offering. To the extent that outstanding options or warrants or other shares are issued, investors purchasing our common stock and/or Pre- Funded Warrants in this offering will experience further dilution. In addition, we may choose to raise additional capital due to market conditions or strategic considerations even if we believe that we have sufficient funds for our current or future operating plans. To the extent that additional capital is raised through the sale of our common stock, including through the sale of securities convertible into or exchangeable or exercisable for common stock, the issuance of these securities could result in further dilution to our stockholders, including investors purchasing our common stock in this offering.</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table and discussion above are based on 1,651,281 shares of our common stock outstanding as of</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September 30, 2023, but does not include, as of such date:</w:t>
      </w:r>
    </w:p>
    <w:p>
      <w:pPr>
        <w:spacing w:after="0" w:line="98" w:lineRule="exact"/>
        <w:rPr>
          <w:sz w:val="20"/>
          <w:szCs w:val="20"/>
          <w:color w:val="auto"/>
        </w:rPr>
      </w:pPr>
    </w:p>
    <w:p>
      <w:pPr>
        <w:ind w:left="1680" w:right="920" w:hanging="389"/>
        <w:spacing w:after="0" w:line="259" w:lineRule="auto"/>
        <w:tabs>
          <w:tab w:leader="none" w:pos="16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1,495,001 shares of our common stock issuable upon the exercise of warrants outstanding, at a weighted average exercise price of $38.07 per share;</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13,439 shares of our common stock issuable upon the exercise of stock options outstanding, at a weighted average exercise price of $1,518.05 per share;</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4,580 shares of our common stock issuable upon the vesting of restricted stock units;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3" w:name="page64"/>
    <w:bookmarkEnd w:id="6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right="900" w:hanging="389"/>
        <w:spacing w:after="0" w:line="259"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8,437 shares of our common stock reserved for future issuance under our 2022 Omnibus Equity Incentive Plan;</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shares of our common stock reserved for future issuance under our 2022 Employee Stock Purchase Plan;</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588 shares of our common stock reserved for future issuance in connection with completed acquisitions; and</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1,157,068 shares of our common stock reserved for future issuance in connection with the conversion of a secured convertible note held as of September 30, 2023 by the Former Lender.</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4" w:name="page65"/>
    <w:bookmarkEnd w:id="6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are a leading provider of innovative cultivation and extraction solutions for the cannabis industry, bringing data, science, and technology to the forefront of the market. Our proprietary micro-environment-controlled Agrify Vertical Farming Units (or “VFUs”) enable cultivators to produce high quality products with what we believe to be unmatched consistency, yield, and return investment at scale. Our comprehensive extraction product line, which includes hydrocarbon, alcohol, solventless, post-processing, and lab equipment, empowers producers to maximize the quantity and quality of extract required for premium concentrates.</w:t>
      </w:r>
    </w:p>
    <w:p>
      <w:pPr>
        <w:spacing w:after="0" w:line="101"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Since our inception, we have gone from primarily developing, selling, and supporting our VFUs along with our fully integrated Agrify Insights™ cultivation software (“Agrify Insights™”) to being able to offer customers a far more complete set of solutions, products, and services across both cultivation and extraction. This has been a function of both our natural evolution and through a set of strategic mergers and acquisitions. Since 2020, we have integrated six new brands into Agrify’s broader organization. Our first acquisition, TriGrow Systems, Inc., was completed in January 2020. TriGrow Systems, Inc. was formerly the exclusive distributor of Agrify’s VFUs. We added Harbor Mountain Holdings, LLC to our portfolio on July 21, 2020, to help scale up our manufacturing strategy with engineering, prototyping, manufacturing, testing, warehousing, and installation services. Since October 2021, we have been strategically focused on establishing ourselves as a global leader in the cannabis and hemp extraction equipment industry, complementing our cutting-edge cannabis and hemp cultivation solutions. Over five months, we acquired four of the top brand names in the industry. On October 1, 2021, we acquired Precision Extraction Solutions, a market leader in developing and producing high-quality hydrocarbon and alcohol extraction solutions, and Cascade Sciences, LLC, a market leader in developing and producing high-quality vacuum purge ovens and decarboxylation ovens. On December 31, 2021, we acquired PurePressure, LLC, a market leader in developing and producing high-quality solventless extraction solutions and advanced ice-water hash processing equipment in the cannabis and hemp industry. Lastly, on February 1, 2022, we completed our acquisition of LS Holdings Corp., a market leader in developing and producing high-quality distillation and solvent separation solutions for the cannabis and hemp industry.</w:t>
      </w:r>
    </w:p>
    <w:p>
      <w:pPr>
        <w:spacing w:after="0" w:line="104"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now offer our customers an extensive ecosystem of solutions, products, training, and service capabilities in what has historically been a highly fragmented market. Our offerings, which are described in more detail below, are compelling on their own. However, we believe what sets us apart is our ability to bring to the market the most comprehensive set of cultivation and extraction solutions from a single provider. As a result, we believe we are well-positioned to capture market share and create a dominant market position in the indoor cannabis sector. We currently have two primary areas of business focus:</w:t>
      </w:r>
    </w:p>
    <w:p>
      <w:pPr>
        <w:spacing w:after="0" w:line="101" w:lineRule="exact"/>
        <w:rPr>
          <w:sz w:val="20"/>
          <w:szCs w:val="20"/>
          <w:color w:val="auto"/>
        </w:rPr>
      </w:pPr>
    </w:p>
    <w:p>
      <w:pPr>
        <w:ind w:left="1680" w:hanging="389"/>
        <w:spacing w:after="0"/>
        <w:tabs>
          <w:tab w:leader="none" w:pos="16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Cultivation Solutions;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Extraction Solutions.</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Cultivation Solutions</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While we do not cultivate, come in contact with, distribute, or dispense cannabis or any cannabis derivatives that are currently prohibited under U.S. federal law, our equipment and business solutions can be used within indoor grow facilities by fully licensed cannabis cultivators. We sell our proprietary cultivation solutions to independent licensed cultivators. The two primary products we sell are the VFUs and Agrify Insights™. We believe we are one of a limited number of companies offering a fully integrated cultivation solution optimized for precision growing with robust automation capabilities in the industry.</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5" w:name="page66"/>
    <w:bookmarkEnd w:id="6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Agrify Vertical Farming Unit</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proprietary VFU technology offers a modular, compartmentalized micro-climate growing system for indoor vertical farming. Our VFU system is designed for craft farmers, single-state operators, and multi-state operators who are looking to consistently produce higher-quality crops at scale. The VFUs are designed to line up horizontally in rows, and can be stacked vertically up to three units tall, taking advantage of unused indoor vertical space with the below benefits:</w:t>
      </w:r>
    </w:p>
    <w:p>
      <w:pPr>
        <w:spacing w:after="0" w:line="93" w:lineRule="exact"/>
        <w:rPr>
          <w:sz w:val="20"/>
          <w:szCs w:val="20"/>
          <w:color w:val="auto"/>
        </w:rPr>
      </w:pPr>
    </w:p>
    <w:p>
      <w:pPr>
        <w:jc w:val="both"/>
        <w:ind w:left="1680" w:right="920" w:hanging="389"/>
        <w:spacing w:after="0" w:line="244" w:lineRule="auto"/>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Superior Floor Space Utilization</w:t>
      </w:r>
      <w:r>
        <w:rPr>
          <w:rFonts w:ascii="Times New Roman" w:cs="Times New Roman" w:eastAsia="Times New Roman" w:hAnsi="Times New Roman"/>
          <w:sz w:val="16"/>
          <w:szCs w:val="16"/>
          <w:color w:val="auto"/>
        </w:rPr>
        <w:t>. Each VFU provides two tiers of growing canopy. Our units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introduce an open-room facility design approach to maximize available cultivation floor space while offering superior risk mitigation via individual compartmentalized cultivation chambers which aim to contain potential biological threats to cultivation facilities.</w:t>
      </w:r>
    </w:p>
    <w:p>
      <w:pPr>
        <w:spacing w:after="0" w:line="92" w:lineRule="exact"/>
        <w:rPr>
          <w:rFonts w:ascii="Times New Roman" w:cs="Times New Roman" w:eastAsia="Times New Roman" w:hAnsi="Times New Roman"/>
          <w:sz w:val="16"/>
          <w:szCs w:val="16"/>
          <w:color w:val="auto"/>
        </w:rPr>
      </w:pPr>
    </w:p>
    <w:p>
      <w:pPr>
        <w:jc w:val="both"/>
        <w:ind w:left="1680" w:right="920" w:hanging="389"/>
        <w:spacing w:after="0" w:line="244" w:lineRule="auto"/>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Precise Environmental Controls</w:t>
      </w:r>
      <w:r>
        <w:rPr>
          <w:rFonts w:ascii="Times New Roman" w:cs="Times New Roman" w:eastAsia="Times New Roman" w:hAnsi="Times New Roman"/>
          <w:sz w:val="16"/>
          <w:szCs w:val="16"/>
          <w:color w:val="auto"/>
        </w:rPr>
        <w:t>. Each VFU has an Environmental Control Unit that is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with our proprietary cultivation software, Agrify Insights™. This integration allows for precise control and automation over light photoperiod and intensity, temperature, humidity, vapor pressure deficit (“VPD”), carbon dioxide, fertigation, and irrigation throughout the lifecycle of the plants.</w:t>
      </w:r>
    </w:p>
    <w:p>
      <w:pPr>
        <w:spacing w:after="0" w:line="92" w:lineRule="exact"/>
        <w:rPr>
          <w:rFonts w:ascii="Times New Roman" w:cs="Times New Roman" w:eastAsia="Times New Roman" w:hAnsi="Times New Roman"/>
          <w:sz w:val="16"/>
          <w:szCs w:val="16"/>
          <w:color w:val="auto"/>
        </w:rPr>
      </w:pPr>
    </w:p>
    <w:p>
      <w:pPr>
        <w:jc w:val="both"/>
        <w:ind w:left="1680" w:right="920" w:hanging="389"/>
        <w:spacing w:after="0" w:line="249" w:lineRule="auto"/>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Modular Scalability</w:t>
      </w:r>
      <w:r>
        <w:rPr>
          <w:rFonts w:ascii="Times New Roman" w:cs="Times New Roman" w:eastAsia="Times New Roman" w:hAnsi="Times New Roman"/>
          <w:sz w:val="16"/>
          <w:szCs w:val="16"/>
          <w:color w:val="auto"/>
        </w:rPr>
        <w:t>. The VFU is designed to stack up to three units tall, sextupling production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volume over the same traditional footprint. Each unit is designed to easily integrate with a mezzanine catwalk system providing unparalleled access to all levels of cultivation.</w:t>
      </w:r>
    </w:p>
    <w:p>
      <w:pPr>
        <w:spacing w:after="0" w:line="87" w:lineRule="exact"/>
        <w:rPr>
          <w:rFonts w:ascii="Times New Roman" w:cs="Times New Roman" w:eastAsia="Times New Roman" w:hAnsi="Times New Roman"/>
          <w:sz w:val="16"/>
          <w:szCs w:val="16"/>
          <w:color w:val="auto"/>
        </w:rPr>
      </w:pPr>
    </w:p>
    <w:p>
      <w:pPr>
        <w:jc w:val="both"/>
        <w:ind w:left="1680" w:right="920" w:hanging="389"/>
        <w:spacing w:after="0" w:line="244" w:lineRule="auto"/>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Worker Safety &amp; Efficiency</w:t>
      </w:r>
      <w:r>
        <w:rPr>
          <w:rFonts w:ascii="Times New Roman" w:cs="Times New Roman" w:eastAsia="Times New Roman" w:hAnsi="Times New Roman"/>
          <w:sz w:val="16"/>
          <w:szCs w:val="16"/>
          <w:color w:val="auto"/>
        </w:rPr>
        <w:t>. The VFU’s design was thoughtful and intentional; from the ergonomic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dimensions that facilitate safe, easy access to plants for scouting and plant husbandry, to the integrated catwalks that allow cultivators to work from a safe sitting or standing position without the need for scissor lifts, ladders or removable platforms.</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39" w:lineRule="auto"/>
        <w:tabs>
          <w:tab w:leader="none" w:pos="16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Biosecurity and Risk Mitigation</w:t>
      </w:r>
      <w:r>
        <w:rPr>
          <w:rFonts w:ascii="Times New Roman" w:cs="Times New Roman" w:eastAsia="Times New Roman" w:hAnsi="Times New Roman"/>
          <w:sz w:val="16"/>
          <w:szCs w:val="16"/>
          <w:color w:val="auto"/>
        </w:rPr>
        <w:t>. The VFU has a motorized curtain on both sides of the unit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encloses the grow area to prevent light pollution and the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VFU can be easily sanitized, especially with the VFU’s High Heat mode, which helps sanitize all internal VFU surfaces effortlessly.</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Agrify Insights™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VFUs are designed to work in conjunction with our Agrify Insights™ software. Each VFU sold includes</w:t>
      </w:r>
    </w:p>
    <w:p>
      <w:pPr>
        <w:spacing w:after="0" w:line="37" w:lineRule="exact"/>
        <w:rPr>
          <w:sz w:val="20"/>
          <w:szCs w:val="20"/>
          <w:color w:val="auto"/>
        </w:rPr>
      </w:pPr>
    </w:p>
    <w:p>
      <w:pPr>
        <w:jc w:val="both"/>
        <w:ind w:left="900" w:right="900" w:firstLine="6"/>
        <w:spacing w:after="0" w:line="236" w:lineRule="auto"/>
        <w:tabs>
          <w:tab w:leader="none" w:pos="1038"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license for Agrify Insights™ and a monthly Software-as-a-Service (“SaaS”) subscription fee is charged per VFU. The VFU cannot operate successfully without Agrify Insights™, and we typically charge between $1,500 to $2,400 per VFU sold annually. Agrify Insights™ license agreements are generally for a multi -year term, with an annual auto-renewal.</w:t>
      </w:r>
    </w:p>
    <w:p>
      <w:pPr>
        <w:spacing w:after="0" w:line="9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Agrify Insights™ is a SaaS- based solution that interfaces with our proprietary hardware to provide customers with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VFU system, is enabling our customers to transform their businesses and quality of the product they are cultivating.</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Agrify Insights™ is focused on optimizing four key components:</w:t>
      </w:r>
    </w:p>
    <w:p>
      <w:pPr>
        <w:spacing w:after="0" w:line="116" w:lineRule="exact"/>
        <w:rPr>
          <w:sz w:val="20"/>
          <w:szCs w:val="20"/>
          <w:color w:val="auto"/>
        </w:rPr>
      </w:pPr>
    </w:p>
    <w:p>
      <w:pPr>
        <w:ind w:left="1680" w:hanging="389"/>
        <w:spacing w:after="0"/>
        <w:tabs>
          <w:tab w:leader="none" w:pos="16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plant level;</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VFU unit level;</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facility level;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Optimization at the business level.</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6" w:name="page67"/>
    <w:bookmarkEnd w:id="6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When these key components are combined, they encompass the cultivation operations of an Agrify customer. By reducing human error and providing insights through data collection and analysis, Agrify Insights™ minimizes risk and increases operational efficiencies. Ultimately, our customers seek to produce end products with the highest level of consistency no matter where they are located.</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Plant-Level Optimization</w:t>
      </w:r>
    </w:p>
    <w:p>
      <w:pPr>
        <w:spacing w:after="0" w:line="118" w:lineRule="exact"/>
        <w:rPr>
          <w:sz w:val="20"/>
          <w:szCs w:val="20"/>
          <w:color w:val="auto"/>
        </w:rPr>
      </w:pPr>
    </w:p>
    <w:p>
      <w:pPr>
        <w:jc w:val="both"/>
        <w:ind w:left="900" w:right="920" w:firstLine="384"/>
        <w:spacing w:after="0" w:line="274" w:lineRule="auto"/>
        <w:rPr>
          <w:sz w:val="20"/>
          <w:szCs w:val="20"/>
          <w:color w:val="auto"/>
        </w:rPr>
      </w:pPr>
      <w:r>
        <w:rPr>
          <w:rFonts w:ascii="Times New Roman" w:cs="Times New Roman" w:eastAsia="Times New Roman" w:hAnsi="Times New Roman"/>
          <w:sz w:val="14"/>
          <w:szCs w:val="14"/>
          <w:color w:val="auto"/>
        </w:rPr>
        <w:t>Central to our solution is granular control of the cultivation environment. A crop’s end-product is determined by the plant’s genetics and the environment in which the plants are grown. Control over the growing environment is accomplished through the integration of Agrify Insights™. Agrify Insights collects data from multiple sensors on a per plant basis between 4 and 60 times an hour. This can result in between 100 thousand and 151 million data points annually, depending on the number of plants and fluctuations in the VFU microclimate. By recording data points and reproducing specific environments based on the data, cultivators can effectively minimize the variation in their crops and dial-in the maximum quality. Individual plant varietals can be optimized by tailoring the grow plan (recipe for cultivation) to enhance genetic traits; increasing the temperature can speed chemical processes and growth rates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which is beneficial for research and development purposes.</w:t>
      </w:r>
    </w:p>
    <w:p>
      <w:pPr>
        <w:spacing w:after="0" w:line="259"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Our “Grow Plans” are the templates or recipes that define the parameters for each lifecycle. Grow Plans define the environmental settings (light-photoperiod and intensity, temperature, humidity, VPD, CO2, irrigation, fertigation) for each crop variety and cultivator as well as the schedule for completing, as applicable, “plant touching” tasks such as bottoming, pruning, and harvesting. Agrify Insights™ ships to the customer with many pre-developed Grow Plans and customers can create their own Grow Plans, electing to share them with other customers or not.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Individual VFU Level Optimization</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Our VFU hardware provides cultivation environmental control within the grow chamber. This hardware and its component valves, motors and sensors are directed and controlled by Agrify Insights™.</w:t>
      </w:r>
    </w:p>
    <w:p>
      <w:pPr>
        <w:spacing w:after="0" w:line="79" w:lineRule="exact"/>
        <w:rPr>
          <w:sz w:val="20"/>
          <w:szCs w:val="20"/>
          <w:color w:val="auto"/>
        </w:rPr>
      </w:pPr>
    </w:p>
    <w:p>
      <w:pPr>
        <w:jc w:val="both"/>
        <w:ind w:left="1680" w:right="920" w:hanging="389"/>
        <w:spacing w:after="0" w:line="249"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Monitor and Control Agrify Hardware</w:t>
      </w:r>
      <w:r>
        <w:rPr>
          <w:rFonts w:ascii="Times New Roman" w:cs="Times New Roman" w:eastAsia="Times New Roman" w:hAnsi="Times New Roman"/>
          <w:sz w:val="16"/>
          <w:szCs w:val="16"/>
          <w:color w:val="auto"/>
        </w:rPr>
        <w:t>. Agrify Insights™ can either automatically or manually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control our hardware. For example, the water-chilled fan coil can keep the temperature in a range accurate to 1.5 degrees Fahrenheit.</w:t>
      </w:r>
    </w:p>
    <w:p>
      <w:pPr>
        <w:spacing w:after="0" w:line="87" w:lineRule="exact"/>
        <w:rPr>
          <w:rFonts w:ascii="Times New Roman" w:cs="Times New Roman" w:eastAsia="Times New Roman" w:hAnsi="Times New Roman"/>
          <w:sz w:val="16"/>
          <w:szCs w:val="16"/>
          <w:color w:val="auto"/>
        </w:rPr>
      </w:pPr>
    </w:p>
    <w:p>
      <w:pPr>
        <w:jc w:val="both"/>
        <w:ind w:left="1680" w:right="900" w:hanging="389"/>
        <w:spacing w:after="0" w:line="278" w:lineRule="auto"/>
        <w:tabs>
          <w:tab w:leader="none" w:pos="16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Cultivation Environmental Control</w:t>
      </w:r>
      <w:r>
        <w:rPr>
          <w:rFonts w:ascii="Times New Roman" w:cs="Times New Roman" w:eastAsia="Times New Roman" w:hAnsi="Times New Roman"/>
          <w:sz w:val="14"/>
          <w:szCs w:val="14"/>
          <w:color w:val="auto"/>
        </w:rPr>
        <w:t>. Using Agrify Insights™, users can view environmental charts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plot temperature, humidity, and carbon dioxide over time. It also shows when plant irrigation occurs and whether the unit is in cooling, circulating, or dehumidifying mode. We sample these values every minute and report them back to the cloud every 15 minutes or more often if significant changes occur. Each growing chamber reports millions of data points annually, enabling our clients to perform an in-depth analysis of their grow performance. The manual control screen visualizes the current state of the grow chamber and allows our technicians to take direct control for troubleshooting, if necessary. The device log shows us what decisions were made by Agrify Insights™ and why.</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Facility Level Optimization</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Our modular VFUs are deployed in scale at a customer’s facility with the smallest commercial operation deployment being 60 VFUs to date. Agrify Insights™ is designed to operate these individual VFUs as a combined facility. Agrify Insights™ features at the facility level include:</w:t>
      </w:r>
    </w:p>
    <w:p>
      <w:pPr>
        <w:spacing w:after="0" w:line="88" w:lineRule="exact"/>
        <w:rPr>
          <w:sz w:val="20"/>
          <w:szCs w:val="20"/>
          <w:color w:val="auto"/>
        </w:rPr>
      </w:pPr>
    </w:p>
    <w:p>
      <w:pPr>
        <w:jc w:val="both"/>
        <w:ind w:left="1680" w:right="900" w:hanging="379"/>
        <w:spacing w:after="0"/>
        <w:tabs>
          <w:tab w:leader="none" w:pos="1660" w:val="left"/>
        </w:tabs>
        <w:rPr>
          <w:sz w:val="20"/>
          <w:szCs w:val="20"/>
          <w:color w:val="auto"/>
        </w:rPr>
      </w:pPr>
      <w:r>
        <w:rPr>
          <w:rFonts w:ascii="Times New Roman" w:cs="Times New Roman" w:eastAsia="Times New Roman" w:hAnsi="Times New Roman"/>
          <w:sz w:val="16"/>
          <w:szCs w:val="16"/>
          <w:b w:val="1"/>
          <w:bCs w:val="1"/>
          <w:i w:val="1"/>
          <w:iCs w:val="1"/>
          <w:color w:val="auto"/>
        </w:rPr>
        <w:t>•</w:t>
      </w:r>
      <w:r>
        <w:rPr>
          <w:sz w:val="20"/>
          <w:szCs w:val="20"/>
          <w:color w:val="auto"/>
        </w:rPr>
        <w:tab/>
      </w:r>
      <w:r>
        <w:rPr>
          <w:rFonts w:ascii="Times New Roman" w:cs="Times New Roman" w:eastAsia="Times New Roman" w:hAnsi="Times New Roman"/>
          <w:sz w:val="16"/>
          <w:szCs w:val="16"/>
          <w:b w:val="1"/>
          <w:bCs w:val="1"/>
          <w:i w:val="1"/>
          <w:iCs w:val="1"/>
          <w:color w:val="auto"/>
        </w:rPr>
        <w:t xml:space="preserve">Production Planning. </w:t>
      </w:r>
      <w:r>
        <w:rPr>
          <w:rFonts w:ascii="Times New Roman" w:cs="Times New Roman" w:eastAsia="Times New Roman" w:hAnsi="Times New Roman"/>
          <w:sz w:val="16"/>
          <w:szCs w:val="16"/>
          <w:color w:val="auto"/>
        </w:rPr>
        <w:t>The production planning feature is designed to maximize a facility’s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utilization by executing a “best-fit” scheduling algorithm to selected Grow Plans across VFUs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7" w:name="page68"/>
    <w:bookmarkEnd w:id="6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2" w:lineRule="exact"/>
        <w:rPr>
          <w:sz w:val="20"/>
          <w:szCs w:val="20"/>
          <w:color w:val="auto"/>
        </w:rPr>
      </w:pPr>
    </w:p>
    <w:p>
      <w:pPr>
        <w:jc w:val="both"/>
        <w:ind w:left="1680" w:right="900" w:hanging="389"/>
        <w:spacing w:after="0" w:line="244" w:lineRule="auto"/>
        <w:tabs>
          <w:tab w:leader="none" w:pos="1680" w:val="left"/>
        </w:tabs>
        <w:numPr>
          <w:ilvl w:val="0"/>
          <w:numId w:val="4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Workforce Management. </w:t>
      </w:r>
      <w:r>
        <w:rPr>
          <w:rFonts w:ascii="Times New Roman" w:cs="Times New Roman" w:eastAsia="Times New Roman" w:hAnsi="Times New Roman"/>
          <w:sz w:val="16"/>
          <w:szCs w:val="16"/>
          <w:color w:val="auto"/>
        </w:rPr>
        <w:t>Agrify Insights™ includes a workforce planning feature to assign tasks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staff. These tasks can be automatically assigned based on the user role or their knowledge, skills, and abilities. The calendar displays the estimated time required to complete plant-touching tasks on any given day.</w:t>
      </w:r>
    </w:p>
    <w:p>
      <w:pPr>
        <w:spacing w:after="0" w:line="92" w:lineRule="exact"/>
        <w:rPr>
          <w:rFonts w:ascii="Times New Roman" w:cs="Times New Roman" w:eastAsia="Times New Roman" w:hAnsi="Times New Roman"/>
          <w:sz w:val="16"/>
          <w:szCs w:val="16"/>
          <w:b w:val="1"/>
          <w:bCs w:val="1"/>
          <w:i w:val="1"/>
          <w:iCs w:val="1"/>
          <w:color w:val="auto"/>
        </w:rPr>
      </w:pPr>
    </w:p>
    <w:p>
      <w:pPr>
        <w:jc w:val="both"/>
        <w:ind w:left="1680" w:right="900" w:hanging="389"/>
        <w:spacing w:after="0" w:line="244" w:lineRule="auto"/>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Automatic Notification System</w:t>
      </w:r>
      <w:r>
        <w:rPr>
          <w:rFonts w:ascii="Times New Roman" w:cs="Times New Roman" w:eastAsia="Times New Roman" w:hAnsi="Times New Roman"/>
          <w:sz w:val="16"/>
          <w:szCs w:val="16"/>
          <w:color w:val="auto"/>
        </w:rPr>
        <w:t>. Users can select to subscribe to anomalous events, and users 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92" w:lineRule="exact"/>
        <w:rPr>
          <w:rFonts w:ascii="Times New Roman" w:cs="Times New Roman" w:eastAsia="Times New Roman" w:hAnsi="Times New Roman"/>
          <w:sz w:val="16"/>
          <w:szCs w:val="16"/>
          <w:color w:val="auto"/>
        </w:rPr>
      </w:pPr>
    </w:p>
    <w:p>
      <w:pPr>
        <w:ind w:left="1680" w:right="920" w:hanging="389"/>
        <w:spacing w:after="0" w:line="264" w:lineRule="auto"/>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Preventative Maintenance</w:t>
      </w:r>
      <w:r>
        <w:rPr>
          <w:rFonts w:ascii="Times New Roman" w:cs="Times New Roman" w:eastAsia="Times New Roman" w:hAnsi="Times New Roman"/>
          <w:sz w:val="16"/>
          <w:szCs w:val="16"/>
          <w:color w:val="auto"/>
        </w:rPr>
        <w:t>. Our equipment and facility preventative maintenance schedules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related tasks are contained, tracked, and monitored within Agrify Insights™.</w:t>
      </w:r>
    </w:p>
    <w:p>
      <w:pPr>
        <w:spacing w:after="0" w:line="75" w:lineRule="exact"/>
        <w:rPr>
          <w:rFonts w:ascii="Times New Roman" w:cs="Times New Roman" w:eastAsia="Times New Roman" w:hAnsi="Times New Roman"/>
          <w:sz w:val="16"/>
          <w:szCs w:val="16"/>
          <w:color w:val="auto"/>
        </w:rPr>
      </w:pPr>
    </w:p>
    <w:p>
      <w:pPr>
        <w:jc w:val="both"/>
        <w:ind w:left="1680" w:right="920" w:hanging="389"/>
        <w:spacing w:after="0" w:line="249" w:lineRule="auto"/>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Facility Infrastructure Controls</w:t>
      </w:r>
      <w:r>
        <w:rPr>
          <w:rFonts w:ascii="Times New Roman" w:cs="Times New Roman" w:eastAsia="Times New Roman" w:hAnsi="Times New Roman"/>
          <w:sz w:val="16"/>
          <w:szCs w:val="16"/>
          <w:color w:val="auto"/>
        </w:rPr>
        <w:t>. Agrify Insights™ controls the irrigation on a facility level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connects with the water chilled HVAC system and ambient lighting system, providing our customers with a central piece of software for facility management.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Optimization at the Business Level</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88" w:lineRule="exact"/>
        <w:rPr>
          <w:sz w:val="20"/>
          <w:szCs w:val="20"/>
          <w:color w:val="auto"/>
        </w:rPr>
      </w:pPr>
    </w:p>
    <w:p>
      <w:pPr>
        <w:jc w:val="both"/>
        <w:ind w:left="1680" w:right="920" w:hanging="389"/>
        <w:spacing w:after="0" w:line="302" w:lineRule="auto"/>
        <w:tabs>
          <w:tab w:leader="none" w:pos="16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Consumables Procurement Integration</w:t>
      </w:r>
      <w:r>
        <w:rPr>
          <w:rFonts w:ascii="Times New Roman" w:cs="Times New Roman" w:eastAsia="Times New Roman" w:hAnsi="Times New Roman"/>
          <w:sz w:val="14"/>
          <w:szCs w:val="14"/>
          <w:color w:val="auto"/>
        </w:rPr>
        <w:t>. Each task can also be assigned a set of consumables whose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inventory will be reduced when the task is started. This feature can help customers manage supply levels and can automatically create purchase orders so that they never run out of required supplies.</w:t>
      </w:r>
    </w:p>
    <w:p>
      <w:pPr>
        <w:spacing w:after="0" w:line="52" w:lineRule="exact"/>
        <w:rPr>
          <w:rFonts w:ascii="Times New Roman" w:cs="Times New Roman" w:eastAsia="Times New Roman" w:hAnsi="Times New Roman"/>
          <w:sz w:val="14"/>
          <w:szCs w:val="14"/>
          <w:color w:val="auto"/>
        </w:rPr>
      </w:pPr>
    </w:p>
    <w:p>
      <w:pPr>
        <w:jc w:val="both"/>
        <w:ind w:left="1680" w:right="920" w:hanging="389"/>
        <w:spacing w:after="0" w:line="244" w:lineRule="auto"/>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Online Standard Operating Procedures (“SOPs’’) and Safety Datasheets</w:t>
      </w:r>
      <w:r>
        <w:rPr>
          <w:rFonts w:ascii="Times New Roman" w:cs="Times New Roman" w:eastAsia="Times New Roman" w:hAnsi="Times New Roman"/>
          <w:sz w:val="16"/>
          <w:szCs w:val="16"/>
          <w:color w:val="auto"/>
        </w:rPr>
        <w:t>. Agrify Insights™ hosts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digital copies of our included Standard Operating Procedures and datasheets, or users can upload their own via our content management system, ensuring that the most recent version of SOPs and forms are available to users.</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Roles-Based Dashboards</w:t>
      </w:r>
      <w:r>
        <w:rPr>
          <w:rFonts w:ascii="Times New Roman" w:cs="Times New Roman" w:eastAsia="Times New Roman" w:hAnsi="Times New Roman"/>
          <w:sz w:val="16"/>
          <w:szCs w:val="16"/>
          <w:color w:val="auto"/>
        </w:rPr>
        <w:t>. Ability to obtain access to information specifically suited to your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workforce’s various needs. Facility owners have access to high-level information about crop yields and equipment usage in an easy-to-understand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96" w:lineRule="exact"/>
        <w:rPr>
          <w:rFonts w:ascii="Times New Roman" w:cs="Times New Roman" w:eastAsia="Times New Roman" w:hAnsi="Times New Roman"/>
          <w:sz w:val="16"/>
          <w:szCs w:val="16"/>
          <w:color w:val="auto"/>
        </w:rPr>
      </w:pPr>
    </w:p>
    <w:p>
      <w:pPr>
        <w:jc w:val="both"/>
        <w:ind w:left="1680" w:right="920" w:hanging="389"/>
        <w:spacing w:after="0" w:line="244" w:lineRule="auto"/>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Data Collection</w:t>
      </w:r>
      <w:r>
        <w:rPr>
          <w:rFonts w:ascii="Times New Roman" w:cs="Times New Roman" w:eastAsia="Times New Roman" w:hAnsi="Times New Roman"/>
          <w:sz w:val="16"/>
          <w:szCs w:val="16"/>
          <w:color w:val="auto"/>
        </w:rPr>
        <w:t>. Agrify Insights™ is a centralized repository for all data relating to the cultivation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aspects of our clients’ business, including research and development testing data, and the ability to capture and compare test results. By doing so, Agrify Insights™ becomes a customers’ cultivation statement of record.</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4" w:lineRule="auto"/>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Financial Simulator/What If Scenarios</w:t>
      </w:r>
      <w:r>
        <w:rPr>
          <w:rFonts w:ascii="Times New Roman" w:cs="Times New Roman" w:eastAsia="Times New Roman" w:hAnsi="Times New Roman"/>
          <w:sz w:val="16"/>
          <w:szCs w:val="16"/>
          <w:color w:val="auto"/>
        </w:rPr>
        <w:t>. Our operating expenses (“OpEx”) calculator enables users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evaluate impacts to profitability by changing hundreds of attributes including, but not limited to, changes to costs in labor, electric, water, CO, and growing media as well as potential volatility in yields and pricing.</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9" w:lineRule="auto"/>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Regulatory Reporting Integration. </w:t>
      </w:r>
      <w:r>
        <w:rPr>
          <w:rFonts w:ascii="Times New Roman" w:cs="Times New Roman" w:eastAsia="Times New Roman" w:hAnsi="Times New Roman"/>
          <w:sz w:val="16"/>
          <w:szCs w:val="16"/>
          <w:color w:val="auto"/>
        </w:rPr>
        <w:t>We have integrated our software with Metrc, a leading seed-to-harvest compliance management and tracking solution, which will enable our customers to handle most regulatory reporting directly through Agrify Insights™.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Cultivation Deployment Options</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Rapid Deployment Pack (“RDP”) Program</w:t>
      </w:r>
    </w:p>
    <w:p>
      <w:pPr>
        <w:spacing w:after="0" w:line="118"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The RDP program was established in 2022 to make it easier for a broader range of customers to access our award-winning cultivation technology. Featuring our flagship VFUs in a prepackaged, self-contained, and quick-to-deploy format, the thoughtfully designed and engineered RDPs offer an accelerated path to production, cash flow, and profitability for customers. By removing certain barriers and points of friction with the RDPs, we can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8" w:name="page69"/>
    <w:bookmarkEnd w:id="6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provide customers who have properly equipped facilities with best-in-class cultivation capabilities in potentially as little as 90 days. Once installed, the modular nature of the RDPs allows for seamless expansion opportunities, enabling customers the flexibility to grow and scale.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TTK Solution</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While we do not intend to enter into any new TTK Solutions for the foreseeable future, we have deployed this program with certain key customers. We also believe that our data -driven TTK Solution for cultivation solutions is unlike any other customer solution being offered and enables our customers to get to market faster by providing them with our seamlessly integrated hardware and software offerings as well as access to capital and a wide range of associated services from experts including consulting, training, design, engineering, and construction to form what we believe is the most complete solution available from a single provider. We engage qualified cannabis operators in the early phases of their business plans and provide critical support, typically over a 10-year period.</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Our TTK Solution provides our valued customers with the benefit of working with a single, highly qualified provider in what has historically been a decentralized market full of piecemeal solutions that were not necessarily designed and engineered to work harmoniously with one another. Given the significant shortcomings associated with traditional indoor grow methods across all commercial agriculture segments, it was apparent that a new paradigm in indoor cultivation was needed, which is why we have brought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components working together optimally. Despite the rapidly growing cannabis and hemp industry, many growers and processors face some significant obstacles to their operations that pose a serious threat to their long-term viability.</w:t>
      </w:r>
    </w:p>
    <w:p>
      <w:pPr>
        <w:spacing w:after="0" w:line="10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believe Agrify’s proprietary TTK Solution is the key to resolving many of the challenges our customers encounter. We have set ourselves apart by bringing to market a horticulturist expertise, bundled solution of state - of-the-art equipment, software and services that is turn-key, end-to-end, fully integrated and optimized for precision growing and extraction. Agrify’s TTK Solution provides customers with the following bundled equipment and services:</w:t>
      </w:r>
    </w:p>
    <w:p>
      <w:pPr>
        <w:spacing w:after="0" w:line="97" w:lineRule="exact"/>
        <w:rPr>
          <w:sz w:val="20"/>
          <w:szCs w:val="20"/>
          <w:color w:val="auto"/>
        </w:rPr>
      </w:pPr>
    </w:p>
    <w:p>
      <w:pPr>
        <w:ind w:left="1680" w:hanging="389"/>
        <w:spacing w:after="0"/>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design, lab design, and engineering services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Facility and lab build-out project management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VFUs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data driven Agrify Insights™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Agrify extraction products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Expert horticulturist training and ongoing support</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Extraction Solutions</w:t>
      </w:r>
    </w:p>
    <w:p>
      <w:pPr>
        <w:spacing w:after="0" w:line="120"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While we do not extract, come in contact with, distribute, process, or dispense cannabis or hemp or any cannabis or hemp derivatives that are currently prohibited under U.S. federal law, our extraction equipment and business solutions can be used within indoor processing facilities by fully licensed cannabis and hemp cultivators and processors or in some cases, by individual processors for individual use in compliance with applicable law. We sell our proprietary extraction solutions to independent, licensed cultivators and processing labs.</w:t>
      </w:r>
    </w:p>
    <w:p>
      <w:pPr>
        <w:spacing w:after="0" w:line="68"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Cannabis represents a potential cornucopia of medicinal and pharmaceutical advancement. Cannabis produces over 550 different phytochemicals, over 120 of which are cannabinoids like tetrahydrocannabinol (“THC”) and cannabidiol (“CBD”) . Other cannabinoids like varins, cannabigerivarin (“CBGV”), tetrahydrocannabivarin (“THCV”), and cannabidivarin (“CBDV”) are less well known and potentially offer significant value. As we continue to learn more about the complex chemical composition of cannabis, the need for distillation solutions is clear. Distillation enables the identification, isolation, and separation of valuable cannabis metabolites. The ability to take cannabis compounds distilled into their pure forms, and then recombine them into specific, purposeful end-products could have significant potential for the pharmaceutical industry in the future.</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69" w:name="page70"/>
    <w:bookmarkEnd w:id="6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As stated previously, we strategically acquired four of the top brands in the extraction space in late 2021 and early 2022 in Precision Extraction, PurePressure, Lab Society, and Cascade Sciences. These iconic brands encompass everything from hydrocarbon, alcohol, and solventless extraction to distillation and post-processing and have supported and continue to support over 90% of legal operators in one fashion or another.</w:t>
      </w:r>
    </w:p>
    <w:p>
      <w:pPr>
        <w:spacing w:after="0" w:line="9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Combined, these four acquisitions provide what we believe to be the most comprehensive extraction solutions from a single provider, with over 7,000 customers, including over 30 Multi-State-Operators, and some of the best extraction labs in the industry. Our leading extraction brands provide equipment and solutions for extraction, post-processing, and testing for the cannabis and hemp industries. The extraction, post-processing and testing services are complementary and highly attractive areas of the supply chain.</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extraction division now offers cutting-edge technologies and end-to-end service solutions. Solutions from the extraction division include equipment, technology, facility and lab design, training, and extensive research and development capabilities. By providing new hardware-as-a-service we intend to capture higher margin recurring revenue and supply chain optimization through streamlined product sourcing, purchasing, manufacturing, and warehousing.</w:t>
      </w:r>
    </w:p>
    <w:p>
      <w:pPr>
        <w:spacing w:after="0" w:line="97"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These acquisitions have greatly expanded our product and service offerings in the post-harvest segment of the supply chain. We believe we are positioning Agrify as one of the most vertically integrated total solutions provider for our cannabis and hemp customers. According to a report published by Grand View Research in November 2022, the global cannabis extraction market is expected to potentially grow to $15.5 billion by 2030, and as the cannabis industry continues to experience rapid growth globally, we expect the sales of our extraction solutions to follow a similar growth trajectory.</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Cannabis Market Opportunity</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While we do not cultivate, come in contact with, distribute or dispense cannabis or any cannabis derivatives that are currently prohibited under U.S. federal law, our cultivation solutions can be used within state-licensed indoor grow facilities by cannabis cultivators if they choose to do so.</w:t>
      </w:r>
    </w:p>
    <w:p>
      <w:pPr>
        <w:spacing w:after="0" w:line="92"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In the U.S., the development and growth of the regulated medical and recreational (adult-use)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January 2023, 39 states have passed laws allowing their citizens to use medical cannabis. On top of this medical condition growth trend, there has been a slow but steady increase in the number of states that have chosen to legalize cannabis for recreational use. As of January 2023, 21 states have passed laws allowing their citizens to use recreational cannabis.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report, over 70 countries outside the U.S. currently have medicinal cannabis regulation in force, and that number is expected to significantly increase over time.</w:t>
      </w:r>
    </w:p>
    <w:p>
      <w:pPr>
        <w:spacing w:after="0" w:line="26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Given that the market size of legal cannabis in the U.S. in 2022 was estimated to be $27.7 billion according to MarketsandMarkets research Pvt Ltd, and 88% of legal U.S. cannabis cultivators grow indoors (Fluence 2022 Industry lighting report), we estimate that the indoor segment of the legal U.S. cannabis sector is a $10 billion market with the expectation that there will be even more growth on the horizon. A recent report from statista.com projected global cannabis revenue to reach $47.2 billion in 2023, with annual growth rate of 12.69%, with a projected global market volume of $76.1 billion by 2027.</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different cultivation environments for cannabis each have advantages and disadvantages, and this leads to a variance in price points based on quality, actual and perceived, and process. Based on the Fluence 2022 state of the cannabis industry lighting report, 88% of cultivators have some or all of their facilities growing indoors, up 9% over 2021.</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0" w:name="page71"/>
    <w:bookmarkEnd w:id="7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Competitive Landscape</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believe our full suite of product offerings forms an unmatched ecosystem for indoor growing and extraction. At this time, our VFUs, Agrify Insights™, extraction solutions, our facility design and build services, and our engineering/installation services are highly differentiated from anything else on the market.</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costs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97" w:lineRule="exact"/>
        <w:rPr>
          <w:sz w:val="20"/>
          <w:szCs w:val="20"/>
          <w:color w:val="auto"/>
        </w:rPr>
      </w:pPr>
    </w:p>
    <w:p>
      <w:pPr>
        <w:ind w:left="1680" w:hanging="389"/>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Semi-Integrated Vertical Cultivation Systems </w:t>
      </w:r>
      <w:r>
        <w:rPr>
          <w:rFonts w:ascii="Times New Roman" w:cs="Times New Roman" w:eastAsia="Times New Roman" w:hAnsi="Times New Roman"/>
          <w:sz w:val="16"/>
          <w:szCs w:val="16"/>
          <w:color w:val="auto"/>
        </w:rPr>
        <w:t>— Sprout AI</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Aeroponic Systems </w:t>
      </w:r>
      <w:r>
        <w:rPr>
          <w:rFonts w:ascii="Times New Roman" w:cs="Times New Roman" w:eastAsia="Times New Roman" w:hAnsi="Times New Roman"/>
          <w:sz w:val="16"/>
          <w:szCs w:val="16"/>
          <w:color w:val="auto"/>
        </w:rPr>
        <w:t>— AEssenceGrows and Thrive Growing</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64" w:lineRule="auto"/>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Horticultural Lighting </w:t>
      </w:r>
      <w:r>
        <w:rPr>
          <w:rFonts w:ascii="Times New Roman" w:cs="Times New Roman" w:eastAsia="Times New Roman" w:hAnsi="Times New Roman"/>
          <w:sz w:val="16"/>
          <w:szCs w:val="16"/>
          <w:color w:val="auto"/>
        </w:rPr>
        <w:t>— Gavita, Fluence, VividGro, Hydrofarm, GrowGeneration, Hawthorne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Heliospectra</w:t>
      </w:r>
    </w:p>
    <w:p>
      <w:pPr>
        <w:spacing w:after="0" w:line="75" w:lineRule="exact"/>
        <w:rPr>
          <w:rFonts w:ascii="Times New Roman" w:cs="Times New Roman" w:eastAsia="Times New Roman" w:hAnsi="Times New Roman"/>
          <w:sz w:val="16"/>
          <w:szCs w:val="16"/>
          <w:color w:val="auto"/>
        </w:rPr>
      </w:pPr>
    </w:p>
    <w:p>
      <w:pPr>
        <w:ind w:left="1680" w:right="940" w:hanging="389"/>
        <w:spacing w:after="0" w:line="264" w:lineRule="auto"/>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Extraction Solutions </w:t>
      </w:r>
      <w:r>
        <w:rPr>
          <w:rFonts w:ascii="Times New Roman" w:cs="Times New Roman" w:eastAsia="Times New Roman" w:hAnsi="Times New Roman"/>
          <w:sz w:val="16"/>
          <w:szCs w:val="16"/>
          <w:color w:val="auto"/>
        </w:rPr>
        <w:t>— ExtractionTek Solutions, Mach Technologies, Decimal Engineering, Low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Temp Plates, Whistler Technologies, Maratek and Hashatron</w:t>
      </w:r>
    </w:p>
    <w:p>
      <w:pPr>
        <w:spacing w:after="0" w:line="75"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Monitoring Software </w:t>
      </w:r>
      <w:r>
        <w:rPr>
          <w:rFonts w:ascii="Times New Roman" w:cs="Times New Roman" w:eastAsia="Times New Roman" w:hAnsi="Times New Roman"/>
          <w:sz w:val="16"/>
          <w:szCs w:val="16"/>
          <w:color w:val="auto"/>
        </w:rPr>
        <w:t>— Grownetics and Trym</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Cultivation Software </w:t>
      </w:r>
      <w:r>
        <w:rPr>
          <w:rFonts w:ascii="Times New Roman" w:cs="Times New Roman" w:eastAsia="Times New Roman" w:hAnsi="Times New Roman"/>
          <w:sz w:val="16"/>
          <w:szCs w:val="16"/>
          <w:color w:val="auto"/>
        </w:rPr>
        <w:t>— Quantum Leaf, Flourish, and Grow Link</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Vertical Cultivation Racking Systems </w:t>
      </w:r>
      <w:r>
        <w:rPr>
          <w:rFonts w:ascii="Times New Roman" w:cs="Times New Roman" w:eastAsia="Times New Roman" w:hAnsi="Times New Roman"/>
          <w:sz w:val="16"/>
          <w:szCs w:val="16"/>
          <w:color w:val="auto"/>
        </w:rPr>
        <w:t>— Pipp Horticulture and Montel</w:t>
      </w:r>
    </w:p>
    <w:p>
      <w:pPr>
        <w:spacing w:after="0" w:line="120"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 is our ability to offer an unrivaled level of precision through a total end-to-end turnkey solution that sets us apart from existing competitors and potential new market entrants.</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 believe our business has, and our future success will be driven by, the following competitive strengths:</w:t>
      </w:r>
    </w:p>
    <w:p>
      <w:pPr>
        <w:spacing w:after="0" w:line="135" w:lineRule="exact"/>
        <w:rPr>
          <w:sz w:val="20"/>
          <w:szCs w:val="20"/>
          <w:color w:val="auto"/>
        </w:rPr>
      </w:pPr>
    </w:p>
    <w:p>
      <w:pPr>
        <w:jc w:val="both"/>
        <w:ind w:left="1680" w:right="900" w:hanging="389"/>
        <w:spacing w:after="0" w:line="239" w:lineRule="auto"/>
        <w:tabs>
          <w:tab w:leader="none" w:pos="16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Innovative Technology in an Attractive Growing Industry</w:t>
      </w:r>
      <w:r>
        <w:rPr>
          <w:rFonts w:ascii="Times New Roman" w:cs="Times New Roman" w:eastAsia="Times New Roman" w:hAnsi="Times New Roman"/>
          <w:sz w:val="16"/>
          <w:szCs w:val="16"/>
          <w:color w:val="auto"/>
        </w:rPr>
        <w:t>. Our innovative solutions are aimed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large and growing U.S. domestic and global markets. We believe we are the only provider of a fully integrated end-to-end hardware and software turnkey solution for indoor cultivation and extraction facilities that allows customers to produce high-quality products with consistency at scale while meeting the growing demand and needs of end users at a relatively low cost. As such, we believe we have a first mover advantage due to innovating this new type of smart cannabis and hemp cultivation and processing solution, which is already designed, manufactured, and implemented in several commercial scale deployments across multiple states within the U.S.</w:t>
      </w:r>
    </w:p>
    <w:p>
      <w:pPr>
        <w:spacing w:after="0" w:line="94" w:lineRule="exact"/>
        <w:rPr>
          <w:rFonts w:ascii="Times New Roman" w:cs="Times New Roman" w:eastAsia="Times New Roman" w:hAnsi="Times New Roman"/>
          <w:sz w:val="16"/>
          <w:szCs w:val="16"/>
          <w:color w:val="auto"/>
        </w:rPr>
      </w:pPr>
    </w:p>
    <w:p>
      <w:pPr>
        <w:jc w:val="both"/>
        <w:ind w:left="1680" w:right="900" w:hanging="389"/>
        <w:spacing w:after="0" w:line="249" w:lineRule="auto"/>
        <w:tabs>
          <w:tab w:leader="none" w:pos="16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Integrated Proprietary Components</w:t>
      </w:r>
      <w:r>
        <w:rPr>
          <w:rFonts w:ascii="Times New Roman" w:cs="Times New Roman" w:eastAsia="Times New Roman" w:hAnsi="Times New Roman"/>
          <w:sz w:val="16"/>
          <w:szCs w:val="16"/>
          <w:color w:val="auto"/>
        </w:rPr>
        <w:t>. We design and create our own hardware, software, and SOPs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from the ground up rather than buying piecemeal from third parties. We take a systems-engineered integrated approach that we believe has inherent advantages over other, ad-hoc systems.</w:t>
      </w:r>
    </w:p>
    <w:p>
      <w:pPr>
        <w:spacing w:after="0" w:line="87" w:lineRule="exact"/>
        <w:rPr>
          <w:rFonts w:ascii="Times New Roman" w:cs="Times New Roman" w:eastAsia="Times New Roman" w:hAnsi="Times New Roman"/>
          <w:sz w:val="16"/>
          <w:szCs w:val="16"/>
          <w:color w:val="auto"/>
        </w:rPr>
      </w:pPr>
    </w:p>
    <w:p>
      <w:pPr>
        <w:jc w:val="both"/>
        <w:ind w:left="1680" w:right="900" w:hanging="389"/>
        <w:spacing w:after="0" w:line="239" w:lineRule="auto"/>
        <w:tabs>
          <w:tab w:leader="none" w:pos="1680" w:val="left"/>
        </w:tabs>
        <w:numPr>
          <w:ilvl w:val="0"/>
          <w:numId w:val="5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Emphasis on Precision and Consistency Through Our Proprietary Grow Solutions</w:t>
      </w:r>
      <w:r>
        <w:rPr>
          <w:rFonts w:ascii="Times New Roman" w:cs="Times New Roman" w:eastAsia="Times New Roman" w:hAnsi="Times New Roman"/>
          <w:sz w:val="16"/>
          <w:szCs w:val="16"/>
          <w:color w:val="auto"/>
        </w:rPr>
        <w:t>. While being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the variables that influence harvests with an unparalleled level of precision. The by-product of our TTK Solution is that our customers can create consistent high-quality products with repeatability from anywhere similar to any other consumer product company that provides a branded food or drink product.</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1" w:name="page72"/>
    <w:bookmarkEnd w:id="7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2" w:lineRule="exact"/>
        <w:rPr>
          <w:sz w:val="20"/>
          <w:szCs w:val="20"/>
          <w:color w:val="auto"/>
        </w:rPr>
      </w:pPr>
    </w:p>
    <w:p>
      <w:pPr>
        <w:jc w:val="both"/>
        <w:ind w:left="1680" w:right="900" w:hanging="389"/>
        <w:spacing w:after="0" w:line="242" w:lineRule="auto"/>
        <w:tabs>
          <w:tab w:leader="none" w:pos="1680" w:val="left"/>
        </w:tabs>
        <w:numPr>
          <w:ilvl w:val="0"/>
          <w:numId w:val="5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Emphasis on Precision and Consistency Through Our Extraction Division. </w:t>
      </w:r>
      <w:r>
        <w:rPr>
          <w:rFonts w:ascii="Times New Roman" w:cs="Times New Roman" w:eastAsia="Times New Roman" w:hAnsi="Times New Roman"/>
          <w:sz w:val="16"/>
          <w:szCs w:val="16"/>
          <w:color w:val="auto"/>
        </w:rPr>
        <w:t>In addition to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premium grow solutions, we have begun offering our customers industry leading cannabis and hemp extraction equipment, design, and training solutions. By acquiring leading brands earlier this year, we are immediately able to offer our customers premium solutions to meet their processing needs in this rapidly expanding sector.</w:t>
      </w:r>
    </w:p>
    <w:p>
      <w:pPr>
        <w:spacing w:after="0" w:line="92" w:lineRule="exact"/>
        <w:rPr>
          <w:rFonts w:ascii="Times New Roman" w:cs="Times New Roman" w:eastAsia="Times New Roman" w:hAnsi="Times New Roman"/>
          <w:sz w:val="16"/>
          <w:szCs w:val="16"/>
          <w:b w:val="1"/>
          <w:bCs w:val="1"/>
          <w:i w:val="1"/>
          <w:iCs w:val="1"/>
          <w:color w:val="auto"/>
        </w:rPr>
      </w:pPr>
    </w:p>
    <w:p>
      <w:pPr>
        <w:jc w:val="both"/>
        <w:ind w:left="1680" w:right="900" w:hanging="389"/>
        <w:spacing w:after="0"/>
        <w:tabs>
          <w:tab w:leader="none" w:pos="1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Market Knowledge and Understanding</w:t>
      </w:r>
      <w:r>
        <w:rPr>
          <w:rFonts w:ascii="Times New Roman" w:cs="Times New Roman" w:eastAsia="Times New Roman" w:hAnsi="Times New Roman"/>
          <w:sz w:val="16"/>
          <w:szCs w:val="16"/>
          <w:color w:val="auto"/>
        </w:rPr>
        <w:t>. We have extensive experience with controlled agriculture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environments, extraction, post-processing, and scale-up manufacturing, as well as industry technical knowledge and relationships. We are keenly aware of the struggles that indoor cultivators and extractors face, and we serve as a credible and collaborative partner through the entire customer lifecycle. We believe that our fully integrated TTK Solution, extraction equipment and ancillary services are the key to resolving many of the challenges our customers face.</w:t>
      </w:r>
    </w:p>
    <w:p>
      <w:pPr>
        <w:spacing w:after="0" w:line="96" w:lineRule="exact"/>
        <w:rPr>
          <w:rFonts w:ascii="Times New Roman" w:cs="Times New Roman" w:eastAsia="Times New Roman" w:hAnsi="Times New Roman"/>
          <w:sz w:val="16"/>
          <w:szCs w:val="16"/>
          <w:color w:val="auto"/>
        </w:rPr>
      </w:pPr>
    </w:p>
    <w:p>
      <w:pPr>
        <w:jc w:val="both"/>
        <w:ind w:left="1680" w:right="920" w:hanging="389"/>
        <w:spacing w:after="0" w:line="239" w:lineRule="auto"/>
        <w:tabs>
          <w:tab w:leader="none" w:pos="1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Differentiated Business Model</w:t>
      </w:r>
      <w:r>
        <w:rPr>
          <w:rFonts w:ascii="Times New Roman" w:cs="Times New Roman" w:eastAsia="Times New Roman" w:hAnsi="Times New Roman"/>
          <w:sz w:val="16"/>
          <w:szCs w:val="16"/>
          <w:color w:val="auto"/>
        </w:rPr>
        <w:t>. Unlike many of our competitors, we offer a diversified mix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hardware, software, and services, which leads to potential multiple revenue streams. Given the nature of our deployments, we become deeply embedded in our customers’ operations through our numerous product offerings. This puts us in a position where customer success is directly tied to our equipment. Our ability to differentiate our business model provides us with multiple opportunities to expand our installed user base, which we believe will lead to future high-margin and stable recurring SaaS revenues, via our Agrify Insights™ and production fee revenues.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118"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We primarily market and sell our products to newly licensed, well- funded producers in a single market as well as multi-state operators. Our customers choose us for several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environments, and also provides consistent standard operating procedures across different facilities, helping every facility to achieve the highest Good Manufacturing Processes standards. Our ability to provide a “one- stop shop” experience allows us to be the preferred vendor to many of these customers by streamlining their entry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26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the data that we are collecting from our existing customer base to make continuous improvements to our offerings and better serve our current and new customers in the future.</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To date, we have customers across the U.S. and internationally in the cannabis and hemp industry and are of all sizes, ranging from small, single location businesses to multi-state enterprise operations that use Agrify’s solutions. For each of the fiscal years ended December 31, 2022 and December 31, 2021, we had two customers that represented more than 10% of total revenues.</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18"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We have developed a multi-pronged growth strategy as described below to help us capitalize on the sizable opportunity at hand. Through methodical sales and marketing efforts, cultivation and extraction solutions, and scale-up manufacturing, we believe we have implemented several key initiatives we can use to grow our business more effectively. We also intend to opportunistically pursue the strategies described below to continue our upward trajectory and enhance shareholder value. We believe we have significantly improved our new bookings and qualified pipeline. With our expanded product line that includes quality extraction solutions, we have become more attractive to our prospects and customers, enhancing our overall appeal and the scope of opportunities we are able to pursue. We expect our qualified pipeline and new bookings of opportunities to continue to grow.</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2" w:name="page73"/>
    <w:bookmarkEnd w:id="7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Rigorous Sales Process and Strong Infrastructure in Place to Drive Revenue Growth</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utilize a highly structured sales process to evaluate potential new opportunities and then advance vetted prospects through the different phases of our qualified pipeline. Our salespeople spend most of their time building relationships and qualifying opportunities to make closing new business more streamlined, collaborative, and organic in nature. There are specific requirements, milestones, and events that we have identified along the sales process that must be met to move prospects through and convert them from vetted opportunities into committed sales orders within a 12-month period. At each phase of the pipeline, a prospect opportunity is assigned a probability value for closing, providing management production forecast ability.</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Our sales team works to convert our qualified pipeline of opportunities into confirmed contractual bookings. Given our emphasis on enterprise sales opportunities, we believe we are able to significantly scale our business in the coming year without significant increases in our headcount. At the time of this report, our sales team was comprised of one Sales Vice President, Directors of Business Development, Account Managers, Channel Partner Managers, Customer Support and Success Manager, Customer Service Support Reps, and a Sales Support Admin. Additionally, we take measures to ensure that all members of the sales organization are cross-trained on cultivation and extraction products.</w:t>
      </w:r>
    </w:p>
    <w:p>
      <w:pPr>
        <w:spacing w:after="0" w:line="98" w:lineRule="exact"/>
        <w:rPr>
          <w:sz w:val="20"/>
          <w:szCs w:val="20"/>
          <w:color w:val="auto"/>
        </w:rPr>
      </w:pPr>
    </w:p>
    <w:p>
      <w:pPr>
        <w:ind w:left="900" w:right="940" w:firstLine="384"/>
        <w:spacing w:after="0" w:line="259" w:lineRule="auto"/>
        <w:rPr>
          <w:sz w:val="20"/>
          <w:szCs w:val="20"/>
          <w:color w:val="auto"/>
        </w:rPr>
      </w:pPr>
      <w:r>
        <w:rPr>
          <w:rFonts w:ascii="Times New Roman" w:cs="Times New Roman" w:eastAsia="Times New Roman" w:hAnsi="Times New Roman"/>
          <w:sz w:val="16"/>
          <w:szCs w:val="16"/>
          <w:color w:val="auto"/>
        </w:rPr>
        <w:t>We believe our business has, and our future success will be driven by, the following sales and marketing strategy:</w:t>
      </w:r>
    </w:p>
    <w:p>
      <w:pPr>
        <w:spacing w:after="0" w:line="79" w:lineRule="exact"/>
        <w:rPr>
          <w:sz w:val="20"/>
          <w:szCs w:val="20"/>
          <w:color w:val="auto"/>
        </w:rPr>
      </w:pPr>
    </w:p>
    <w:p>
      <w:pPr>
        <w:jc w:val="both"/>
        <w:ind w:left="1680" w:right="900" w:hanging="389"/>
        <w:spacing w:after="0" w:line="244" w:lineRule="auto"/>
        <w:tabs>
          <w:tab w:leader="none" w:pos="1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Direct Marketing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capitalize on our direct marketing efforts by utilizing our internal CRM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database, as well as the external help of trusted industry databases to target the right audience. Emails go out on a weekly basis and are subdivided by product focus and state, depending on the campaign. We use A/B testing in our email campaign strategy to harness meaningful messages.</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79" w:lineRule="auto"/>
        <w:tabs>
          <w:tab w:leader="none" w:pos="16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Social Media and Thought Leadership. </w:t>
      </w:r>
      <w:r>
        <w:rPr>
          <w:rFonts w:ascii="Times New Roman" w:cs="Times New Roman" w:eastAsia="Times New Roman" w:hAnsi="Times New Roman"/>
          <w:sz w:val="14"/>
          <w:szCs w:val="14"/>
          <w:color w:val="auto"/>
        </w:rPr>
        <w:t>Through the creation and promotion of engaging content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positions us as a thought leader, we continue to organically grow our social media audience. We share original videos, photography, industry-related articles, and blog content on a consistent basis. By developing strong relationships with our customers and sharing testimonials as well as live footage of our products being in action, we are better positioning ourselves on social. Furthermore, we promote our social media in our email communications, on our website, and through paid advertising. We also keep our finger on the pulse of trends and competitors in the market, remaining in the know.</w:t>
      </w:r>
    </w:p>
    <w:p>
      <w:pPr>
        <w:spacing w:after="0" w:line="70" w:lineRule="exact"/>
        <w:rPr>
          <w:rFonts w:ascii="Times New Roman" w:cs="Times New Roman" w:eastAsia="Times New Roman" w:hAnsi="Times New Roman"/>
          <w:sz w:val="14"/>
          <w:szCs w:val="14"/>
          <w:color w:val="auto"/>
        </w:rPr>
      </w:pPr>
    </w:p>
    <w:p>
      <w:pPr>
        <w:jc w:val="both"/>
        <w:ind w:left="1680" w:right="900" w:hanging="389"/>
        <w:spacing w:after="0" w:line="239" w:lineRule="auto"/>
        <w:tabs>
          <w:tab w:leader="none" w:pos="1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Trade Shows. </w:t>
      </w:r>
      <w:r>
        <w:rPr>
          <w:rFonts w:ascii="Times New Roman" w:cs="Times New Roman" w:eastAsia="Times New Roman" w:hAnsi="Times New Roman"/>
          <w:sz w:val="16"/>
          <w:szCs w:val="16"/>
          <w:color w:val="auto"/>
        </w:rPr>
        <w:t>Trade shows and events related to the cannabis industry have proven to be highly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effective. When attending trade shows and events, we typically position ourselves front and center, with high-level sponsorships, outstanding booth placement, and speaking opportunities. Our product and subject matter experts take advantage of speaking opportunities, positioning Agrify as an industry thought leader. We expect to continue to grow our industry presence by generating leads using conferences as a platform. The trade show plan has been carefully vetted to ensure that these shows are reputable, have a strong business-to-business focus, high foot-traffic rates, as well as hosted in a desirable market.</w:t>
      </w:r>
    </w:p>
    <w:p>
      <w:pPr>
        <w:spacing w:after="0" w:line="94" w:lineRule="exact"/>
        <w:rPr>
          <w:rFonts w:ascii="Times New Roman" w:cs="Times New Roman" w:eastAsia="Times New Roman" w:hAnsi="Times New Roman"/>
          <w:sz w:val="16"/>
          <w:szCs w:val="16"/>
          <w:color w:val="auto"/>
        </w:rPr>
      </w:pPr>
    </w:p>
    <w:p>
      <w:pPr>
        <w:jc w:val="both"/>
        <w:ind w:left="1680" w:right="900" w:hanging="389"/>
        <w:spacing w:after="0"/>
        <w:tabs>
          <w:tab w:leader="none" w:pos="16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Paid Advertising</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utilize paid advertising such as banner ads on high-trafficked media sites that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largely focus on cannabis and other relevant topics. We provide content offers and other downloadable materials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96" w:lineRule="exact"/>
        <w:rPr>
          <w:rFonts w:ascii="Times New Roman" w:cs="Times New Roman" w:eastAsia="Times New Roman" w:hAnsi="Times New Roman"/>
          <w:sz w:val="16"/>
          <w:szCs w:val="16"/>
          <w:color w:val="auto"/>
        </w:rPr>
      </w:pPr>
    </w:p>
    <w:p>
      <w:pPr>
        <w:jc w:val="both"/>
        <w:ind w:left="1680" w:right="900" w:hanging="389"/>
        <w:spacing w:after="0" w:line="239" w:lineRule="auto"/>
        <w:tabs>
          <w:tab w:leader="none" w:pos="1680" w:val="left"/>
        </w:tabs>
        <w:numPr>
          <w:ilvl w:val="0"/>
          <w:numId w:val="5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Public Relations Campaigns. </w:t>
      </w:r>
      <w:r>
        <w:rPr>
          <w:rFonts w:ascii="Times New Roman" w:cs="Times New Roman" w:eastAsia="Times New Roman" w:hAnsi="Times New Roman"/>
          <w:sz w:val="16"/>
          <w:szCs w:val="16"/>
          <w:color w:val="auto"/>
        </w:rPr>
        <w:t>We have actively utilized press releases, industry and investor events,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interviews and speaking engagements to increase awareness of our brand, solutions, customer engagements, and other relevant company developments. With our industry positioning using thought leadership and ongoing participation in industry conferences, we have been highlighted through the Newswire and featured in a variety of media outlets. We will continue to sponsor and present keynotes at industry-related events including technology and agriculture conferences, podcasts, radio shows and more to continue to gain press and ultimately more exposure.</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3" w:name="page74"/>
    <w:bookmarkEnd w:id="7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Scale-Up Manufacturing Capabilities in Order to Meet the Increasing Demand for Our Grow Solutions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currently use both internal and external manufacturing to support our increasing demand. Internal production is primarily at our Michigan, Colorado, and Georgia facilities. Externally, we use a variety of contract manufacturers (“CMs”) in the U.S. and in Asia for prototyping and volume manufacturing, and we plan to expand our capabilities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 As demand increases beyond our internal capacities additional volume can be shifted to external manufacturing to ensure market demands are met.</w:t>
      </w:r>
    </w:p>
    <w:p>
      <w:pPr>
        <w:spacing w:after="0" w:line="101"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Overall, our approach to manufacturing is to use both internal and external manufacturing capabilities to prototype, iterate, and begin initial production, then transition to volume production. As volumes increase, this will also include increasing production in lower -cost geographies, which results in both rapid time-to-market and low production costs. As we grow, we intend to continually analyze and evolve our manufacturing capabilities to best meet our customers’ needs while always focusing on ways to maximize operating margins.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18" w:lineRule="exact"/>
        <w:rPr>
          <w:sz w:val="20"/>
          <w:szCs w:val="20"/>
          <w:color w:val="auto"/>
        </w:rPr>
      </w:pPr>
    </w:p>
    <w:p>
      <w:pPr>
        <w:jc w:val="both"/>
        <w:ind w:left="900" w:right="880" w:firstLine="384"/>
        <w:spacing w:after="0" w:line="238" w:lineRule="auto"/>
        <w:rPr>
          <w:sz w:val="20"/>
          <w:szCs w:val="20"/>
          <w:color w:val="auto"/>
        </w:rPr>
      </w:pPr>
      <w:r>
        <w:rPr>
          <w:rFonts w:ascii="Times New Roman" w:cs="Times New Roman" w:eastAsia="Times New Roman" w:hAnsi="Times New Roman"/>
          <w:sz w:val="16"/>
          <w:szCs w:val="16"/>
          <w:color w:val="auto"/>
        </w:rPr>
        <w:t>We rely on a combination of patent, trademark, copyright, and trade secret,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Patents</w:t>
      </w:r>
    </w:p>
    <w:p>
      <w:pPr>
        <w:spacing w:after="0" w:line="118" w:lineRule="exact"/>
        <w:rPr>
          <w:sz w:val="20"/>
          <w:szCs w:val="20"/>
          <w:color w:val="auto"/>
        </w:rPr>
      </w:pPr>
    </w:p>
    <w:p>
      <w:pPr>
        <w:jc w:val="both"/>
        <w:ind w:left="900" w:right="940" w:firstLine="384"/>
        <w:spacing w:after="0" w:line="331" w:lineRule="auto"/>
        <w:rPr>
          <w:sz w:val="20"/>
          <w:szCs w:val="20"/>
          <w:color w:val="auto"/>
        </w:rPr>
      </w:pPr>
      <w:r>
        <w:rPr>
          <w:rFonts w:ascii="Times New Roman" w:cs="Times New Roman" w:eastAsia="Times New Roman" w:hAnsi="Times New Roman"/>
          <w:sz w:val="14"/>
          <w:szCs w:val="14"/>
          <w:color w:val="auto"/>
        </w:rPr>
        <w:t>We hold 20 patents in the U.S. We also have one pending patent application. These patents and patents applications are directed to, among other things, extraction and processing of botanicals and particular compounds.</w:t>
      </w:r>
    </w:p>
    <w:p>
      <w:pPr>
        <w:spacing w:after="0" w:line="1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Trademarks and Copyrights</w:t>
      </w:r>
    </w:p>
    <w:p>
      <w:pPr>
        <w:spacing w:after="0" w:line="118" w:lineRule="exact"/>
        <w:rPr>
          <w:sz w:val="20"/>
          <w:szCs w:val="20"/>
          <w:color w:val="auto"/>
        </w:rPr>
      </w:pPr>
    </w:p>
    <w:p>
      <w:pPr>
        <w:jc w:val="both"/>
        <w:ind w:left="900" w:right="920" w:firstLine="384"/>
        <w:spacing w:after="0" w:line="299" w:lineRule="auto"/>
        <w:rPr>
          <w:sz w:val="20"/>
          <w:szCs w:val="20"/>
          <w:color w:val="auto"/>
        </w:rPr>
      </w:pPr>
      <w:r>
        <w:rPr>
          <w:rFonts w:ascii="Times New Roman" w:cs="Times New Roman" w:eastAsia="Times New Roman" w:hAnsi="Times New Roman"/>
          <w:sz w:val="14"/>
          <w:szCs w:val="14"/>
          <w:color w:val="auto"/>
        </w:rPr>
        <w:t>We own or have applications for numerous national and state trademarks which are essential to our businesses, including Agrify, Precision, PurePressure, PressWare, Lab Society and Elitelab, among others. In addition, we recognize common-law trademark rights AGRIFY INSIGHTS and AGRINAMICS for SaaS products.</w:t>
      </w:r>
    </w:p>
    <w:p>
      <w:pPr>
        <w:spacing w:after="0" w:line="5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open-source software for integration into our applications.</w:t>
      </w:r>
    </w:p>
    <w:p>
      <w:pPr>
        <w:spacing w:after="0" w:line="6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4" w:name="page75"/>
    <w:bookmarkEnd w:id="7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As of February 14, 2024, we had a total of 57 employees, of which 56 are full-time employees, with 9 located in the New England area, 13 in Colorado, 23 in Michigan, 2 in Georgia, and 10 located in other states. None of our employees are subject to collective bargaining agreements. We consider our relationship with our employees to be good.</w:t>
      </w:r>
    </w:p>
    <w:p>
      <w:pPr>
        <w:spacing w:after="0" w:line="9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We strive to attract and retain diverse, high-caliber employees who raise the talent bar by offering competitive compensation and benefit packages, regardless of their gender, race, or other personal characteristics. We regularly review and survey our compensation and benefit programs against the market to ensure we remain competitive in our hiring practices. We provide employee salaries that are competitive and consider factors such as an employee’s role and experience, the location of their job and their performance. In addition to our competitive salaries, to enhance our employees’ sense of participation in the company and to further align their interests with those of our stockholders, we offer equity packages to a majority of our employees. The principal purposes of our equity incentive plan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260"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We strive to hire, develop, and retain talent that continuously raises the performance bar. We encourage, support, and compensate our employees based on our philosophy of recognizing and rewarding exceptional performance. We believe that performance and development is an ongoing process in which all employees should be active participants. Individual and company key performance goals are linked to employee compensation.</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Facilities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Our headquarters is currently located in Troy, Michigan and consists of approximately 15,825 square feet of office and warehouse space under a lease that expires in March 2026 with an option to extend for an additional three years. We lease properties located within various geographic regions in which we conduct business, including Colorado, Georgia, and Michigan. Our properties include office spaces, showrooms, and warehouses used for research and development, operational, sales, management, and administrative purposes. All of our facilities are leased. We believe our facilities are adequate for our needs and believe that we should be able to renew any of our existing leases or secure similar property without an adverse impact on our operations.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Regulatory Implications of Providing Equipment and Services in the Cannabis and Hemp Industry</w:t>
      </w:r>
    </w:p>
    <w:p>
      <w:pPr>
        <w:spacing w:after="0" w:line="118"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We sell products and services that end users may purchase for use in industries or segments, including the growing and processing of cannabis and hemp, which are subject to varying, inconsistent, and rapidly changing laws, regulations, administrative practices, enforcement approaches, judicial interpretations, and consumer perceptions. For example, certain countries and 38 U.S. states have adopted frameworks that authorize, regulate, and tax the cultivation, processing, sale, and use of cannabis for medicinal and/or non-medicinal use, while the U.S. Controlled Substances Act and the laws of other U.S. states prohibit growing cannabis. In addition, with the passage of the Farm Bill in December 2018, hemp cultivation is now broadly permitted. The Farm Bill explicitly allows the transfer of hemp-derived products across state lines for commercial or other purposes. It also removes restrictions on the sale, transport, or possession of hemp-derived products, so long as those items are produced in a manner consistent with the law. Our products are multi-purpose products and may be used on a wide range of plants and are purchased by cultivators who may grow any variety of plants, including cannabis and hemp.</w:t>
      </w:r>
    </w:p>
    <w:p>
      <w:pPr>
        <w:spacing w:after="0" w:line="256"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Although the majority of states now have laws that regulate or decriminalize various types of cannabis use, marijuana remains a Schedule I drug under the Controlled Substances Act, making it illegal under federal law in the U.S. to, among other things, cultivate, distribute or possess cannabis in the U.S. In those states in which the use of marijuana has been legalized, its use remains a violation of federal law pursuant to the Controlled Substances Act. The Controlled Substances Act classifies marijuana as a Schedule I controlled substance, and as such, medical and adult cannabis use is illegal under U.S. federal law. Unless and until the U.S. Congress amends the Controlled Substances Act with respect to marijuana (and the President approves such amendment), there is a risk that federal authorities may enforce current federal law. Financial transactions involving proceeds generated by, or intended to promote, cannabis-related business activities in the U.S. may form the basis for prosecution under applicable U.S. federal money</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5" w:name="page76"/>
    <w:bookmarkEnd w:id="7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880"/>
        <w:spacing w:after="0" w:line="243" w:lineRule="auto"/>
        <w:rPr>
          <w:sz w:val="20"/>
          <w:szCs w:val="20"/>
          <w:color w:val="auto"/>
        </w:rPr>
      </w:pPr>
      <w:r>
        <w:rPr>
          <w:rFonts w:ascii="Times New Roman" w:cs="Times New Roman" w:eastAsia="Times New Roman" w:hAnsi="Times New Roman"/>
          <w:sz w:val="16"/>
          <w:szCs w:val="16"/>
          <w:color w:val="auto"/>
        </w:rPr>
        <w:t>laundering legislation. The approach to enforcement of such laws by the federal government in the U.S. has trended toward non-enforcement against individuals and businesses that comply with medical or adult-use cannabis regulatory programs in states where such programs are legal, strict compliance with state laws with respect to cannabis.</w:t>
      </w:r>
    </w:p>
    <w:p>
      <w:pPr>
        <w:spacing w:after="0" w:line="95"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most states that have legalized medical- and recreational-use cannabis in some form, the growing, processing and/or dispensing of cannabis generally requires that the operator obtain one or more licenses in accordance with applicable state requirements. In addition, many states regulate various aspects of the growing, processing and/or dispensing of cannabis and hemp. Local governments in some cases also impose rules and regulations on the manner of operating cannabis and hemp businesses. As a result, applicable state and local laws and regulations vary widely, including, but not limited to, regulations governing the medical cannabis program, product testing, the level of enforcement by state and local authorities on non -licensed cannabis operators, state and local taxation of regulated cannabis products, local municipality bans on operations and operator licensing processes and renewals.</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As part of its rigorous due diligence policy on all potential customers, we carefully review the appropriate licensure of each potential customer in the cannabis and hemp industry for compliance with applicable local, state, and federal laws. We are not involved in the cultivation, processing, or retail of cannabis products and never takes a controlling interest in any of the operations of its cannabis customers as a matter of state law.</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Implications of Being an Emerging Growth Company and Smaller Reporting Company</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for so long as we are an “emerging growth company,” we will not be required to:</w:t>
      </w:r>
    </w:p>
    <w:p>
      <w:pPr>
        <w:spacing w:after="0" w:line="95" w:lineRule="exact"/>
        <w:rPr>
          <w:sz w:val="20"/>
          <w:szCs w:val="20"/>
          <w:color w:val="auto"/>
        </w:rPr>
      </w:pPr>
    </w:p>
    <w:p>
      <w:pPr>
        <w:ind w:left="1680" w:right="900" w:hanging="389"/>
        <w:spacing w:after="0" w:line="259" w:lineRule="auto"/>
        <w:tabs>
          <w:tab w:leader="none" w:pos="1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an auditor to report on our internal controls over financial reporting pursuant to Section 404(b) of the Sarbanes-Oxley Act of 2002, or the Sarbanes-Oxley Act;</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95"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 certain executive compensation matters to shareholder advisory votes, such as “say-on-pay,” “say-on-frequency,” and “say-on-golden parachutes;” or</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7" w:lineRule="auto"/>
        <w:tabs>
          <w:tab w:leader="none" w:pos="1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 certain executive compensation-related items such as the correlation between executive compensation and performance and the comparison of the chief executive officer’s compensation to median employee compensation.</w:t>
      </w:r>
    </w:p>
    <w:p>
      <w:pPr>
        <w:spacing w:after="0" w:line="92"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addition, the JOBS Act provides that an “emerging growth company” can use the extended transition period for complying with new or revised accounting standards.</w:t>
      </w:r>
    </w:p>
    <w:p>
      <w:pPr>
        <w:spacing w:after="0" w:line="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will remain an “emerging growth company” until the earliest to occur of:</w:t>
      </w:r>
    </w:p>
    <w:p>
      <w:pPr>
        <w:spacing w:after="0" w:line="116" w:lineRule="exact"/>
        <w:rPr>
          <w:sz w:val="20"/>
          <w:szCs w:val="20"/>
          <w:color w:val="auto"/>
        </w:rPr>
      </w:pPr>
    </w:p>
    <w:p>
      <w:pPr>
        <w:ind w:left="1680" w:hanging="389"/>
        <w:spacing w:after="0"/>
        <w:tabs>
          <w:tab w:leader="none" w:pos="16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reporting $1 billion or more in annual gross revenues;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issuance, in a three-year period, of more than $1 billion in non-convertible debt;</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end of the fiscal year in which the market value of our common stock held by non-affiliates exceeds $700 million on the last business day of our second fiscal quarter; and</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December 31, 2026.</w:t>
      </w:r>
    </w:p>
    <w:p>
      <w:pPr>
        <w:spacing w:after="0" w:line="116"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92"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6" w:name="page77"/>
    <w:bookmarkEnd w:id="7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Note Acquisition and Warrant Issuance</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October 27, 2023, following the execution of the Modification Agreement (as defined below), CP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As a condition to the Note Purchase, we and the New Lender entered into an acknowledgment and release (the “Release Agreement”) with the Former Lender, pursuant to which we and the New Lender released the Former Lender from any claims, demands, actions, suits, obligations and causes of action arising on or before the date thereof.</w:t>
      </w:r>
    </w:p>
    <w:p>
      <w:pPr>
        <w:spacing w:after="0" w:line="98"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On October 27, 2023, as a condition precedent to the Note Purchase, we entered into a letter agreement (the “Letter Agreement”) with the Former Lender. Pursuant to the Letter Agreement, we agreed, immediately prior to the note purchase transaction, to exchange $3.0 million in principal and approximately $1.1 million in accrued but unpaid interest outstanding under the Exchange Note for a warrant (the “Exchange Warrant”) to purchase 2,809,669 shares of common stock. Additionally, we agreed to exchange the 375,629 shares of common stock held in abeyance for the Former Lender under the terms of the letter agreement between us and the Former Lender dated as of April 26, 2023 for a warrant to purchase 375,629 shares of common stock (the “Abeyance Warrant”).</w:t>
      </w:r>
    </w:p>
    <w:p>
      <w:pPr>
        <w:spacing w:after="0" w:line="7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Each of the Exchange Warrant and the Abeyance Warrant has an exercise price of $0.001 per share, became exercisable upon issuance, has a term of five years from the date of issuance and is exercisable on a cash basis or on a cashless exercise basis at the Former Lender’s election. The Former Lender exercised the Exchange Warrant and Abeyance Warrant in full during January and February 2024.</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Note Amendment and Secured Promissory Note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 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Note Amendment, Consolidation and Conversion</w:t>
      </w:r>
    </w:p>
    <w:p>
      <w:pPr>
        <w:spacing w:after="0" w:line="118" w:lineRule="exact"/>
        <w:rPr>
          <w:sz w:val="20"/>
          <w:szCs w:val="20"/>
          <w:color w:val="auto"/>
        </w:rPr>
      </w:pPr>
    </w:p>
    <w:p>
      <w:pPr>
        <w:jc w:val="both"/>
        <w:ind w:left="900" w:right="880" w:firstLine="384"/>
        <w:spacing w:after="0" w:line="237" w:lineRule="auto"/>
        <w:rPr>
          <w:sz w:val="20"/>
          <w:szCs w:val="20"/>
          <w:color w:val="auto"/>
        </w:rPr>
      </w:pPr>
      <w:r>
        <w:rPr>
          <w:rFonts w:ascii="Times New Roman" w:cs="Times New Roman" w:eastAsia="Times New Roman" w:hAnsi="Times New Roman"/>
          <w:sz w:val="16"/>
          <w:szCs w:val="16"/>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7" w:name="page78"/>
    <w:bookmarkEnd w:id="7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6"/>
        <w:spacing w:after="0" w:line="238" w:lineRule="auto"/>
        <w:tabs>
          <w:tab w:leader="none" w:pos="1164"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Mack Molding Settlement and Warrant Issuance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 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00"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Nasdaq Notices and Hearing</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6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 Q and the Form 10-K (collectively, the “Delinquent Reports”) in a timely manner. We filed each of the Delinquent Reports between November 28, 2023 and January 3, 2024.</w:t>
      </w:r>
    </w:p>
    <w:p>
      <w:pPr>
        <w:spacing w:after="0" w:line="97" w:lineRule="exact"/>
        <w:rPr>
          <w:sz w:val="20"/>
          <w:szCs w:val="20"/>
          <w:color w:val="auto"/>
        </w:rPr>
      </w:pPr>
    </w:p>
    <w:p>
      <w:pPr>
        <w:jc w:val="both"/>
        <w:ind w:left="900" w:right="880" w:firstLine="384"/>
        <w:spacing w:after="0" w:line="243" w:lineRule="auto"/>
        <w:rPr>
          <w:sz w:val="20"/>
          <w:szCs w:val="20"/>
          <w:color w:val="auto"/>
        </w:rPr>
      </w:pPr>
      <w:r>
        <w:rPr>
          <w:rFonts w:ascii="Times New Roman" w:cs="Times New Roman" w:eastAsia="Times New Roman" w:hAnsi="Times New Roman"/>
          <w:sz w:val="16"/>
          <w:szCs w:val="16"/>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95"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8" w:name="page79"/>
    <w:bookmarkEnd w:id="7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2024 to evidence compliance with Rule 5550(b)(1), which represents the full extent of the Panel’s discretion to grant continued listing. As a result, there can be no assurance that we can regain compliance by the end of the extension period.</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 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From time to time, we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90" w:lineRule="exact"/>
        <w:rPr>
          <w:sz w:val="20"/>
          <w:szCs w:val="20"/>
          <w:color w:val="auto"/>
        </w:rPr>
      </w:pPr>
    </w:p>
    <w:p>
      <w:pPr>
        <w:jc w:val="both"/>
        <w:ind w:left="900" w:right="900" w:firstLine="384"/>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Bud &amp; Mary’s Litigation. </w:t>
      </w:r>
      <w:r>
        <w:rPr>
          <w:rFonts w:ascii="Times New Roman" w:cs="Times New Roman" w:eastAsia="Times New Roman" w:hAnsi="Times New Roman"/>
          <w:sz w:val="14"/>
          <w:szCs w:val="14"/>
          <w:color w:val="auto"/>
        </w:rPr>
        <w:t>On September 15, 2022, the Company provided a notice of default to Bud &amp;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200" w:lineRule="exact"/>
        <w:rPr>
          <w:sz w:val="20"/>
          <w:szCs w:val="20"/>
          <w:color w:val="auto"/>
        </w:rPr>
      </w:pPr>
    </w:p>
    <w:p>
      <w:pPr>
        <w:spacing w:after="0" w:line="23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 xml:space="preserve">Bowdoin Construction Corp. Litigation. </w:t>
      </w:r>
      <w:r>
        <w:rPr>
          <w:rFonts w:ascii="Times New Roman" w:cs="Times New Roman" w:eastAsia="Times New Roman" w:hAnsi="Times New Roman"/>
          <w:sz w:val="16"/>
          <w:szCs w:val="16"/>
          <w:color w:val="auto"/>
        </w:rPr>
        <w:t>On February 22, 2023, Bowdoin Construction Corp. (“Bowdoin”)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6"/>
          <w:szCs w:val="16"/>
          <w:i w:val="1"/>
          <w:iCs w:val="1"/>
          <w:color w:val="auto"/>
        </w:rPr>
        <w:t>Bowdoin Construction Corp.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Agrify Corporation, Bud &amp; Mary’s Cultivation, Inc. and BMLC2, LLC </w:t>
      </w:r>
      <w:r>
        <w:rPr>
          <w:rFonts w:ascii="Times New Roman" w:cs="Times New Roman" w:eastAsia="Times New Roman" w:hAnsi="Times New Roman"/>
          <w:sz w:val="16"/>
          <w:szCs w:val="16"/>
          <w:color w:val="auto"/>
        </w:rPr>
        <w:t>, case no. 2382CV00173. The Bowdoin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Complaint relates to a construction contract 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Company is entitled to indemnification by Bud &amp; Mary’s and intends to vigorously defend this claim.</w:t>
      </w:r>
    </w:p>
    <w:p>
      <w:pPr>
        <w:spacing w:after="0" w:line="9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i w:val="1"/>
          <w:iCs w:val="1"/>
          <w:color w:val="auto"/>
        </w:rPr>
        <w:t xml:space="preserve">Mack Molding Co. </w:t>
      </w:r>
      <w:r>
        <w:rPr>
          <w:rFonts w:ascii="Times New Roman" w:cs="Times New Roman" w:eastAsia="Times New Roman" w:hAnsi="Times New Roman"/>
          <w:sz w:val="16"/>
          <w:szCs w:val="16"/>
          <w:color w:val="auto"/>
        </w:rPr>
        <w:t>In December 2020, the Company entered into a five- year supply agreement with Mack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79" w:name="page80"/>
    <w:bookmarkEnd w:id="7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75" w:lineRule="auto"/>
        <w:rPr>
          <w:sz w:val="20"/>
          <w:szCs w:val="20"/>
          <w:color w:val="auto"/>
        </w:rPr>
      </w:pPr>
      <w:r>
        <w:rPr>
          <w:rFonts w:ascii="Times New Roman" w:cs="Times New Roman" w:eastAsia="Times New Roman" w:hAnsi="Times New Roman"/>
          <w:sz w:val="14"/>
          <w:szCs w:val="14"/>
          <w:color w:val="auto"/>
        </w:rPr>
        <w:t>requirements percentage. The Company believed this approach would result in both parties making a more informed decision with respect to the pricing and other terms of the supply agreement with Mack. 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 moving inventory. As of December 31, 2022, the Company owed Mack $8.4 million for purchased inventory on behalf of the Company to produce VFUs, which is included in accounts payable in the consolidated balance sheet. On March 2, 2023, Mack filed an arbitration action seeking the amounts owed to Mack for purchased inventory. On October 27, 2023, and effective as of October 18, 2023, Mack and the Company entered into a Modification and Settlement Agreement with respect to the dispute.</w:t>
      </w:r>
    </w:p>
    <w:p>
      <w:pPr>
        <w:spacing w:after="0" w:line="254"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i w:val="1"/>
          <w:iCs w:val="1"/>
          <w:color w:val="auto"/>
        </w:rPr>
        <w:t xml:space="preserve">TRC Electronics Litigation. </w:t>
      </w:r>
      <w:r>
        <w:rPr>
          <w:rFonts w:ascii="Times New Roman" w:cs="Times New Roman" w:eastAsia="Times New Roman" w:hAnsi="Times New Roman"/>
          <w:sz w:val="14"/>
          <w:szCs w:val="14"/>
          <w:color w:val="auto"/>
        </w:rPr>
        <w:t>The Company was named as a defendant in a complaint filed by TRC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Electronics, Inc. (“TRC”) on April 13, 2023 in the United States District Court for the Eastern District of Pennsylvania. In the Complaint, TRC asserts two causes of action against the Company: (1) breach of contract, and</w:t>
      </w:r>
    </w:p>
    <w:p>
      <w:pPr>
        <w:spacing w:after="0" w:line="1" w:lineRule="exact"/>
        <w:rPr>
          <w:sz w:val="20"/>
          <w:szCs w:val="20"/>
          <w:color w:val="auto"/>
        </w:rPr>
      </w:pPr>
    </w:p>
    <w:p>
      <w:pPr>
        <w:jc w:val="both"/>
        <w:ind w:left="900" w:right="920" w:firstLine="6"/>
        <w:spacing w:after="0" w:line="236" w:lineRule="auto"/>
        <w:tabs>
          <w:tab w:leader="none" w:pos="1138"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Agrify Corporation was incorporated in the state of Nevada on June 6, 2016, originally incorporated as Agrinamics, Inc. (or Agrinamics). On September 16, 2019, Agrinamics amended its articles of incorporation to reflect a name change to Agrify Corporation. Our executive offices are located at 2468 Industrial Row, Dr., Troy, Michigan 48084. Our telephone number at our executive offices is (855) 420-0020. Our website address is </w:t>
      </w:r>
      <w:r>
        <w:rPr>
          <w:rFonts w:ascii="Times New Roman" w:cs="Times New Roman" w:eastAsia="Times New Roman" w:hAnsi="Times New Roman"/>
          <w:sz w:val="16"/>
          <w:szCs w:val="16"/>
          <w:i w:val="1"/>
          <w:iCs w:val="1"/>
          <w:color w:val="auto"/>
        </w:rPr>
        <w:t xml:space="preserve">www.agrify.com. </w:t>
      </w:r>
      <w:r>
        <w:rPr>
          <w:rFonts w:ascii="Times New Roman" w:cs="Times New Roman" w:eastAsia="Times New Roman" w:hAnsi="Times New Roman"/>
          <w:sz w:val="16"/>
          <w:szCs w:val="16"/>
          <w:color w:val="auto"/>
        </w:rPr>
        <w:t>Our website and the information contained in, or accessible through, our website will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deemed to be incorporated by reference into this prospectus and does not constitute part of this prospectus. You should not rely on any such information in making your decision whether to purchase our securities.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0" w:name="page81"/>
    <w:bookmarkEnd w:id="8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OPERATIONS</w:t>
      </w:r>
    </w:p>
    <w:p>
      <w:pPr>
        <w:spacing w:after="0" w:line="96" w:lineRule="exact"/>
        <w:rPr>
          <w:sz w:val="20"/>
          <w:szCs w:val="20"/>
          <w:color w:val="auto"/>
        </w:rPr>
      </w:pPr>
    </w:p>
    <w:p>
      <w:pPr>
        <w:jc w:val="both"/>
        <w:ind w:left="900" w:right="880" w:firstLine="384"/>
        <w:spacing w:after="0" w:line="238" w:lineRule="auto"/>
        <w:rPr>
          <w:sz w:val="20"/>
          <w:szCs w:val="20"/>
          <w:color w:val="auto"/>
        </w:rPr>
      </w:pPr>
      <w:r>
        <w:rPr>
          <w:rFonts w:ascii="Times New Roman" w:cs="Times New Roman" w:eastAsia="Times New Roman" w:hAnsi="Times New Roman"/>
          <w:sz w:val="16"/>
          <w:szCs w:val="16"/>
          <w:i w:val="1"/>
          <w:iCs w:val="1"/>
          <w:color w:val="auto"/>
        </w:rPr>
        <w:t>The following discussion should be read in conjunction with our financial statements and related notes thereto included elsewhere in this prospectus. This discussion and analysis and other parts of this prospectus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 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“Special Note Regarding Forward-Looking Statements.”</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18"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We are a developer of proprietary precision hardware and software grow solutions for the indoor commercial agriculture industry and provide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9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Our corporate headquarters are located in Troy, Michigan. We also lease properties located within various geographic regions in which we conduct business, including Colorado, Georgia, Massachusetts, Michigan, and Oregon.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Reverse Stock Splits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18, 2022, the Company effected a 1-for -10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 Business Developments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March 14, 2022, we entered into a Securities Purchase Agreement (the “Securities Purchase Agreement”) with High Trail Special Situations LLC (the “Former Lender”), pursuant to which we agreed to issue and sell to the Former Lender a senior secured promissory note (the “SPA Note”), in a private placement transaction, in exchange for the payment by the Former Lender of $65 million, less applicable expenses as set forth in the Securities Purchase Agreement, and a warrant (the “SPA Warrant”) to purchase up to an aggregate of 34,406 shares of common stock.</w:t>
      </w:r>
    </w:p>
    <w:p>
      <w:pPr>
        <w:spacing w:after="0" w:line="101"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August 18, 2022, we reached an agreement with the Former Lender to amend the existing SPA Note and entered into a Securities Exchange Agreement (the “August 2022 Exchange Agreement”) . Pursuant to the August 2022 Exchange Agreement, we partially paid $35.2 million along with approximately $ 300 thousand in repayments for other fees under the SPA Note and exchanged the remaining balance of the SPA Note for a new senior secured note with an aggregate original principal amount of $35.0 million (the “Exchange Note”) and a new warrant to purchase 71,139 shares of common stock (the “Note Exchange Warrant”). Additionally, we exchanged the SPA Warrant for a</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1" w:name="page82"/>
    <w:bookmarkEnd w:id="8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new warrant for the same number of underlying shares but with a reduced exercise price (the “Modified Warrant” and, collectively with the Note Exchange Warrant, the “August 2022 Warrants”). The Exchange Note would mature on the three-year anniversary of its issuance.</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8, 2023, we entered into a second Securities Exchange Agreement with the Former Lender (the “March 2023 Exchange Agreement” and together with the August 2022 Exchange Agreement, the “Exchange Agreements”), pursuant to which we paid approximately $10.3 million in principal under the Exchange Note and exchanged $ 10.0 million in principal amount under the Exchange Note for a new senior convertible note (the “Convertible Note” and, together with the Exchange Note, the “Notes”) with an original principal amount of $10.0 million. The Convertible Note had an original maturity date of August 19, 2025.</w:t>
      </w:r>
    </w:p>
    <w:p>
      <w:pPr>
        <w:spacing w:after="0" w:line="10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27, 2023, CP Acquisitions LLC (the “New Lender”), an entity affiliated with and controlled by Raymond Chang, our Chief Executive Officer, and I-Tseng Jenny Chan, who subsequently joined our Board of Directors, acquired the Notes from the Former Lender.</w:t>
      </w:r>
    </w:p>
    <w:p>
      <w:pPr>
        <w:spacing w:after="0" w:line="92" w:lineRule="exact"/>
        <w:rPr>
          <w:sz w:val="20"/>
          <w:szCs w:val="20"/>
          <w:color w:val="auto"/>
        </w:rPr>
      </w:pPr>
    </w:p>
    <w:p>
      <w:pPr>
        <w:jc w:val="both"/>
        <w:ind w:left="900" w:right="880" w:firstLine="384"/>
        <w:spacing w:after="0" w:line="273" w:lineRule="auto"/>
        <w:rPr>
          <w:sz w:val="20"/>
          <w:szCs w:val="20"/>
          <w:color w:val="auto"/>
        </w:rPr>
      </w:pPr>
      <w:r>
        <w:rPr>
          <w:rFonts w:ascii="Times New Roman" w:cs="Times New Roman" w:eastAsia="Times New Roman" w:hAnsi="Times New Roman"/>
          <w:sz w:val="14"/>
          <w:szCs w:val="14"/>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w:t>
      </w:r>
    </w:p>
    <w:p>
      <w:pPr>
        <w:spacing w:after="0" w:line="164" w:lineRule="exact"/>
        <w:rPr>
          <w:sz w:val="20"/>
          <w:szCs w:val="20"/>
          <w:color w:val="auto"/>
        </w:rPr>
      </w:pPr>
    </w:p>
    <w:p>
      <w:pPr>
        <w:jc w:val="both"/>
        <w:ind w:left="900" w:right="920" w:firstLine="6"/>
        <w:spacing w:after="0" w:line="236" w:lineRule="auto"/>
        <w:tabs>
          <w:tab w:leader="none" w:pos="109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At The Marketing Offering</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$ 50.85 per share, resulting in gross proceeds of $15.6 million, and net proceeds of $15.0 million after commissions and fees to the Agent totaling $ 0.5 million and legal fees totaling $0.1 million. $3.0 million of the proceeds under the ATM Program were used to repay amounts due to the Lender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the Company’s 2022 Annual Report on Form 10 -K, the Company is no longer eligible to utilize the registration statement on Form S-3 relating to the ATM Program, and does not anticipate any further sales under the ATM Program in the foreseeable future.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Confidentially Marketed Public Offering</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December 16, 2022, we entered into an underwriting agreement (the “Underwriting Agreement”) with Canaccord Genuity LLC as the underwriter, pursuant to which we agreed to sell an aggregate of 594,232 shares of our Common Stock, and, in lieu of Common Stock to certain investors that so chose, pre-funded warrants (the “Pre-Funded 2022 Warrants”) to purchase 75,000 shares of our Common Stock, and accompanying warrants (the “December 2022</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2" w:name="page83"/>
    <w:bookmarkEnd w:id="8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Warrants”) to purchase 1,338,462 shares of our Common Stock (the “Offering”). The combined public offering price for each share of Common Stock and accompanying two warrants was $13.00 per share, and the combined offering price for each Pre-Funded Warrant and accompanying two warrants was $12.98 per share.</w:t>
      </w:r>
    </w:p>
    <w:p>
      <w:pPr>
        <w:spacing w:after="0" w:line="92"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December 2022 Warrants may not be exercised by the holder to the extent that the holder, together with its affiliates, would beneficially own, after such exercise more than 4.99% of the shares of our Common Stock then outstanding (subject to the right of the holder to increase or decrease such beneficial ownership limitation upon notice to us, provided that such limitation cannot exceed 9.99%).</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 -classified as there is a volatility floor and these warrants are not indexed to our Common Stock.</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Raymond Chang, our Chairman and CEO, participated in the Offering and purchased 115,385 shares of Common Stock and 230,769 warrants for an aggregate purchase price of approximately $1.5 million.</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received aggregate gross proceeds to us from the Offering of approximately $8.7 million including offering costs of approximately $ 0.5 million for broker fees and legal expenses, for net proceeds of $8.2 million. We intend to use the net proceeds from the Offering, together with our existing cash resources, for working capital and general corporate purposes, which may include capital expenditures and repayment of debt.</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Private Placement</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25, 2022, we entered into a Securities Purchase Agreement (the “Securities Agreement”) with an institutional investor and other accredited investors for the sale of 12,253 shares (the “SA Shares”) of our Common Stock, pre-funded warrants (the “Pre-Funded Warrants”) to purchase up to an aggregate of 7,853 shares of Common Stock and warrants to purchase up to an aggregate of 15,079 shares of Common Stock (the “Common Warrants” and, collectively with the Pre -Funded Warrants, the “SA Warrants”), in a private placement offering. The combined purchase price for one share of Common Stock (or one Pre-Funded Warrant) and the accompanying fraction of a Common Warrant was $1,360.00 per share.</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Subject to certain ownership limitations, the SA Warrants became exercisable six months from issuance. Each Pre-Funded Warrant is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Raymond Chang, our Chairman and Chief Executive Officer (“CEO”), and Stuart Wilcox, who previously served as our Chief Operating Officer, and at the time was a member of our Board of Directors, participated in the private placement on essentially the same terms as other investors, except for having a combined purchase price of $1,380.00 per share.</w:t>
      </w:r>
    </w:p>
    <w:p>
      <w:pPr>
        <w:spacing w:after="0" w:line="9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gross proceeds to us from the private placement were approximately $27.3 million, before deducting the placement agent’s fees and other offering expenses.</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Acquisition of Lab Society</w:t>
      </w:r>
    </w:p>
    <w:p>
      <w:pPr>
        <w:spacing w:after="0" w:line="120"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On February 1, 2022, we entered into an Agreement and Plan of Merger (the “Merger Agreement”) with LS Holdings Corp. (“Lab Society”), Lab Society NewCo, LLC, a newly-formed wholly-owned subsidiary of us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us (the “Lab Society Acquisition”).</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3" w:name="page84"/>
    <w:bookmarkEnd w:id="8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92"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During the third quarter of 2022, 139 of the Holdback Lab Buyer Shares were forfeited after the finalization of the net working capital settlement. The remaining 499 Holdback Lab Buyer Shares were released following the twelve- month anniversary of the Closing Date in accordance with and subject to the conditions of the Merger Agreement. Additional information regarding our contingent consideration arrangements may be found in Note 4 — Fair Value Measures, included in the notes to the consolidated financial statements.</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97"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97"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We amortize our intangible assets assuming no residual value over periods in which the economic benefit of these assets is consumed.</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Note Amendment and Secured Promissory Note</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 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Note Amendment, Consolidation and Conversion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$1.46 per share of common stock, (ii) increasing the beneficial ownership limitation to 49.99% with respect to any individual or group, provided that the New Lender may assign its right to</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4" w:name="page85"/>
    <w:bookmarkEnd w:id="8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73" w:lineRule="auto"/>
        <w:rPr>
          <w:sz w:val="20"/>
          <w:szCs w:val="20"/>
          <w:color w:val="auto"/>
        </w:rPr>
      </w:pPr>
      <w:r>
        <w:rPr>
          <w:rFonts w:ascii="Times New Roman" w:cs="Times New Roman" w:eastAsia="Times New Roman" w:hAnsi="Times New Roman"/>
          <w:sz w:val="14"/>
          <w:szCs w:val="14"/>
          <w:color w:val="auto"/>
        </w:rPr>
        <w:t>receive shares upon conversion to Mr. Chang and/or Ms. Chan or their affiliates, in which case the 49.99% beneficial ownership limitation will apply to each of them individually, (iii) extending the maturity date to December 31, 2025, (iv) 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w:t>
      </w:r>
    </w:p>
    <w:p>
      <w:pPr>
        <w:spacing w:after="0" w:line="3" w:lineRule="exact"/>
        <w:rPr>
          <w:sz w:val="20"/>
          <w:szCs w:val="20"/>
          <w:color w:val="auto"/>
        </w:rPr>
      </w:pPr>
    </w:p>
    <w:p>
      <w:pPr>
        <w:jc w:val="both"/>
        <w:ind w:left="900" w:right="900" w:firstLine="6"/>
        <w:spacing w:after="0" w:line="236" w:lineRule="auto"/>
        <w:tabs>
          <w:tab w:leader="none" w:pos="114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Mack Molding Settlement and Warrant Issuance</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Immediately prior to the note purchase described above on October 27, 2023, and with an effective date as of October 18, 2023, we entered into a Modification and Settlement Agreement (the “Modification Agreement”) with Mack Molding Company (“Mack”). Pursuant to the Modification Agreement, we and Mack agreed to settle an outstanding dispute of approximately $8.24 million under a Supply Agreement between the parties dated December 7, 2020 (the “Supply Agreement”) by reducing the aggregate amount due to Mack and extending the timeline for payment. The Modification Agreement requires us to make payments of $500,000 and $250,000 to Mack on or before November 1, 2023 and February 15, 2024, respectively. Following the November 1, 2023 payment, we will be entitled to take possession of certain Vertical Farming Units (“VFUs”) that were assembled under the Supply Agreement. The Modification Agreement also requires us to purchase from Mack a minimum of 25 VFUs per quarter for each quarter during 2024 and a minimum of 50 VFUs per quarter for the six quarters beginning with the first quarter of 2025. We are required to pay a storage fee of $25,000 per month for VFUs subject to the Modification Agreement.</w:t>
      </w:r>
    </w:p>
    <w:p>
      <w:pPr>
        <w:spacing w:after="0" w:line="100"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Additionally, as part of the Modification Agreement, we agreed to issue to Mack a warrant (the “Mack Warrant”) to purchase 750,000 shares of common stock. The Mack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Mack Warrant may be exercised on a cashless exercise basis at Mack’s election.</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Impact of coronavirus pandemic (“COVID-19”)</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01"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73"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5" w:name="page86"/>
    <w:bookmarkEnd w:id="8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Nasdaq Notices and Hearing</w:t>
      </w:r>
    </w:p>
    <w:p>
      <w:pPr>
        <w:spacing w:after="0" w:line="12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April 18, 2023, we received a notice (the “April Nasdaq Notice”) from The Nasdaq Stock Market LLC (“Nasdaq”) that we were noncompliance with Nasdaq Listing Rule 5250(c)(1) as a result of our failure to file our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we received a second notice from Nasdaq (the “May Nasdaq Notice”) that we remained noncompliant with Nasdaq Listing Rule 5250(c)(1) as a result of our failure to file our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On August 16, 2023, we received a third notice from Nasdaq that we remain noncompliant with Nasdaq Listing Rule 5250(c)(1) as a result of our failure to file our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6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we received a Staff Delisting Determination (the “Staff Determination”) from the Listing Qualifications Department of Nasdaq notifying us that we were not in compliance with Nasdaq’s continued listing requirements under the Listing Rule as a result of our failure to file the First Quarter Form 10-Q, the Second Quarter Form 10- Q and the Form 10-K (collectively, the “Delinquent Reports”) in a timely manner. We filed each of the Delinquent Reports between November 28, 2023 and January 3, 2024.</w:t>
      </w:r>
    </w:p>
    <w:p>
      <w:pPr>
        <w:spacing w:after="0" w:line="97" w:lineRule="exact"/>
        <w:rPr>
          <w:sz w:val="20"/>
          <w:szCs w:val="20"/>
          <w:color w:val="auto"/>
        </w:rPr>
      </w:pPr>
    </w:p>
    <w:p>
      <w:pPr>
        <w:jc w:val="both"/>
        <w:ind w:left="900" w:right="880" w:firstLine="384"/>
        <w:spacing w:after="0" w:line="243" w:lineRule="auto"/>
        <w:rPr>
          <w:sz w:val="20"/>
          <w:szCs w:val="20"/>
          <w:color w:val="auto"/>
        </w:rPr>
      </w:pPr>
      <w:r>
        <w:rPr>
          <w:rFonts w:ascii="Times New Roman" w:cs="Times New Roman" w:eastAsia="Times New Roman" w:hAnsi="Times New Roman"/>
          <w:sz w:val="16"/>
          <w:szCs w:val="16"/>
          <w:color w:val="auto"/>
        </w:rPr>
        <w:t>On December 1, 2023, we received a notice Nasdaq stating that because we reported stockholders’ equity of $(17.17) million in our Quarterly Report on Form 10-Q for the quarter ended March 31, 2023, we were no longer in compliance with Nasdaq Listing Rule 5550(b)(1), which requires that listed companies maintain a minimum of $2.5 million in stockholders’ equity.</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timely requested a hearing before the Nasdaq Hearings Panel (the “Panel”), which hearing was held on January 11, 2024. At the hearing, we presented a plan to regain compliance with Nasdaq Listing Rule 5550(b)(1). On January 30, 2024, we received formal notice that the Panel had granted our request for an exception through April 15, 2024 to evidence compliance with Rule 5550(b)(1), which represents the full extent of the Panel’s discretion to grant continued listing. As a result, there can be no assurance that we can regain compliance by the end of the extension period.</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will take all possible actions to restore our compliance with Nasdaq, but we can provide no assurances that the listing of our common stock will be restored or that we otherwise will remain listed on Nasdaq. If we fail to continue to satisfy the continued listing requirements of Nasdaq, such as the corporate governance requirements or the minimum closing bid price requirement, Nasdaq will take steps to delist our common stock. Such a de- 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Financial Overview</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Policies and Significant Judgments and Estimates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6" w:name="page87"/>
    <w:bookmarkEnd w:id="8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1" w:lineRule="auto"/>
        <w:rPr>
          <w:sz w:val="20"/>
          <w:szCs w:val="20"/>
          <w:color w:val="auto"/>
        </w:rPr>
      </w:pPr>
      <w:r>
        <w:rPr>
          <w:rFonts w:ascii="Times New Roman" w:cs="Times New Roman" w:eastAsia="Times New Roman" w:hAnsi="Times New Roman"/>
          <w:sz w:val="16"/>
          <w:szCs w:val="16"/>
          <w:color w:val="auto"/>
        </w:rPr>
        <w:t>On an ongoing basis, we evaluate estimates, which include estimates related to accruals, stock-based compensation expense, and reported amounts of revenues and expenses during the reported period. We base our estimates on historical experience and other market- specific or other relevant assumptions that we believe to be reasonable under the circumstances. Actual results may differ materially from those estimates or assumptions. There have been no material changes to our critical accounting policies and estimates during the relevant period.</w:t>
      </w:r>
    </w:p>
    <w:p>
      <w:pPr>
        <w:spacing w:after="0" w:line="165" w:lineRule="exact"/>
        <w:rPr>
          <w:sz w:val="20"/>
          <w:szCs w:val="20"/>
          <w:color w:val="auto"/>
        </w:rPr>
      </w:pPr>
    </w:p>
    <w:p>
      <w:pPr>
        <w:jc w:val="center"/>
        <w:ind w:right="58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generate revenue from the following sources: (1) equipment sales, (2) providing services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 construction contracts.</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accordance with ASC 606 “Revenue Recognition”, we recognize revenue from contracts with customers using a five-step model, which is described below:</w:t>
      </w:r>
    </w:p>
    <w:p>
      <w:pPr>
        <w:spacing w:after="0" w:line="83" w:lineRule="exact"/>
        <w:rPr>
          <w:sz w:val="20"/>
          <w:szCs w:val="20"/>
          <w:color w:val="auto"/>
        </w:rPr>
      </w:pPr>
    </w:p>
    <w:p>
      <w:pPr>
        <w:ind w:left="1680" w:hanging="389"/>
        <w:spacing w:after="0"/>
        <w:tabs>
          <w:tab w:leader="none" w:pos="1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customer contract;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performance obligations that are distinct;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distinct performance obligations;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as the performance obligations are satisfied.</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Identify the customer contract</w:t>
      </w:r>
    </w:p>
    <w:p>
      <w:pPr>
        <w:spacing w:after="0" w:line="120"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Identify performance obligations that are distinct</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Determine the transaction price</w:t>
      </w:r>
    </w:p>
    <w:p>
      <w:pPr>
        <w:spacing w:after="0" w:line="12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Allocate the transaction price to distinct performance obligations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Recognize revenue as the performance obligations are satisfied</w:t>
      </w:r>
    </w:p>
    <w:p>
      <w:pPr>
        <w:spacing w:after="0" w:line="120"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Revenue is recognized when, or as, performance obligations are satisfied by transferring control of a promised product or service to a customer.</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7" w:name="page88"/>
    <w:bookmarkEnd w:id="8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Significant Judgments</w:t>
      </w:r>
    </w:p>
    <w:p>
      <w:pPr>
        <w:spacing w:after="0" w:line="120"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74"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606-10-32 -33.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0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We determine the SSP for services in time and materials contracts by observable prices in standalone services arrangements.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95"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September 30, 2023 and 2022, we did not have any such financial income.</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01"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8" w:name="page89"/>
    <w:bookmarkEnd w:id="8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ASC 606-10-50 -13,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450-20 -25, we accrue for product warranties when the loss is probable and can be reasonably estimated. The reserve for warranty returns is included in accrued expenses and other current liabilities in our consolidated balance sheets.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Accounting for Business Combinations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allocated the purchase price of acquired companies to the tangible and intangible assets acquired, including in- 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01"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Examples of critical estimates in valuing certain of the intangible assets we have acquired or may acquire in the future include but are not limited to:</w:t>
      </w:r>
    </w:p>
    <w:p>
      <w:pPr>
        <w:spacing w:after="0" w:line="83" w:lineRule="exact"/>
        <w:rPr>
          <w:sz w:val="20"/>
          <w:szCs w:val="20"/>
          <w:color w:val="auto"/>
        </w:rPr>
      </w:pPr>
    </w:p>
    <w:p>
      <w:pPr>
        <w:ind w:left="1680" w:right="920" w:hanging="389"/>
        <w:spacing w:after="0" w:line="259" w:lineRule="auto"/>
        <w:tabs>
          <w:tab w:leader="none" w:pos="1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expected cash flows from software license sales, support agreements, consulting contracts, other customer contracts, and acquired developed technologies;</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expected costs to develop in-process research and development into commercially viable products and estimated cash flows from the projects when completed;</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acquired company’s brand and competitive position, as well as assumptions about the period of time the acquired brand will continue to be used in the combined company’s product portfolio;</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capital and discount rates; and</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estimating the useful lives of acquired assets as well as the pattern or manner in which the assets will amortize.</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Goodwill and Intangible Assets</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Amortization of acquired intangible assets is the result of the acquisition of TriGrow, which occurred in 2020, the acquisition of Sinclair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89" w:name="page90"/>
    <w:bookmarkEnd w:id="8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w:t>
      </w:r>
    </w:p>
    <w:p>
      <w:pPr>
        <w:spacing w:after="0" w:line="9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 Intangible Assets, Net and Goodwill, included elsewhere in the notes to the condensed consolidated financial statements. During the three and nine months ended September 30, 2023, no impairment charges were recorded.</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Convertible Notes Payable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We evaluate our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we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We reassess the classification of our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00"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If we determine that an instrument is not a derivative liability, we then evaluate whether there is a beneficial conversion feature (“BCF”), by comparing the commitment date fair value to the effective current conversion price of the instrument. We record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18" w:lineRule="exact"/>
        <w:rPr>
          <w:sz w:val="20"/>
          <w:szCs w:val="20"/>
          <w:color w:val="auto"/>
        </w:rPr>
      </w:pPr>
    </w:p>
    <w:p>
      <w:pPr>
        <w:jc w:val="both"/>
        <w:ind w:left="900" w:right="920" w:firstLine="384"/>
        <w:spacing w:after="0" w:line="276" w:lineRule="auto"/>
        <w:rPr>
          <w:sz w:val="20"/>
          <w:szCs w:val="20"/>
          <w:color w:val="auto"/>
        </w:rPr>
      </w:pPr>
      <w:r>
        <w:rPr>
          <w:rFonts w:ascii="Times New Roman" w:cs="Times New Roman" w:eastAsia="Times New Roman" w:hAnsi="Times New Roman"/>
          <w:sz w:val="14"/>
          <w:szCs w:val="14"/>
          <w:color w:val="auto"/>
        </w:rPr>
        <w:t>We do not use derivative instruments to hedge exposures to cash flow, market, or foreign currency risks. We evaluate all of our financial instruments, including issued private placement stock purchase warrants, to determine if such instruments are derivatives or contain features that qualify as embedded derivatives, pursuant to ASC Topic 480, Distinguishing Liabilities from Equity (“ASC 480”) and ASC 815. We account for warrants as either equity-classified or liability-classified instruments based on an assessment of the warrant’s specific terms and applicable authoritative guidance in ASC 480 and ASC 815. Our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our own Common Stock among other conditions for equity classification.</w:t>
      </w:r>
    </w:p>
    <w:p>
      <w:pPr>
        <w:spacing w:after="0" w:line="7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condensed consolidated statements of operations.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0" w:name="page91"/>
    <w:bookmarkEnd w:id="9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Capitalization of Internal Software Development Costs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 use software is amortized on a straight-line basis over the estimated useful life of the asset, which ranges from two to five years.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We follow the provisions of ASC 740-10-25 -5,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 -than-not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97"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We recognize the benefit of a tax position when it is effectively settled. ASC 740-10-25- 10, “Basic Recognition Threshold” provides guidance on how an entity should determine whether a tax position is effectively settled for the purpose of recognizing previously unrecognized tax benefits. ASC 740- 10-25-10 clarifies that a tax position can be effectively settled upon the completion of an examination by a taxing authority. For tax positions considered effectively settled, we recognize the full amount of the tax benefit.</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Accounting for Stock-Based Compensation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97"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1" w:name="page92"/>
    <w:bookmarkEnd w:id="9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84" w:lineRule="auto"/>
        <w:rPr>
          <w:sz w:val="20"/>
          <w:szCs w:val="20"/>
          <w:color w:val="auto"/>
        </w:rPr>
      </w:pPr>
      <w:r>
        <w:rPr>
          <w:rFonts w:ascii="Times New Roman" w:cs="Times New Roman" w:eastAsia="Times New Roman" w:hAnsi="Times New Roman"/>
          <w:sz w:val="14"/>
          <w:szCs w:val="14"/>
          <w:color w:val="auto"/>
        </w:rPr>
        <w:t>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68"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01"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It is important that the discussion of our operating results that follows be read in conjunction with the critical accounting policies disclosed above.</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have incurred recurring losses to date. 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Our continuation as a going concern is dependent upon our ability to obtain the necessary debt or equity financing to continue operations until we begin generating sufficient cash flows from operations to meet our obligations. If we are unable raise additional funds, we may be forced to cease operations.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Years Ended December 31, 2022 and 2021</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years ended December 31, 2022 and 2021:</w:t>
      </w:r>
    </w:p>
    <w:p>
      <w:pPr>
        <w:spacing w:after="0" w:line="234"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(including $2,417 and $31,439 from related parties, respectively)</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54,625</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(loss) profit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(31,795)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3,925</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161,531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from operations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(193,326)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(35,073)</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Gain on forgiveness of PPP Loan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extinguishment of notes payable</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(38,985)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(188,284)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(32,300)</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(188,307)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(32,325)</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(Income) loss attributable to non-controlling interests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(188,173)</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(32,465)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520"/>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92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92" w:name="page93"/>
    <w:bookmarkEnd w:id="9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Our goal is to provide our customers with a variety of products to address their entire indoor agriculture needs. Our core product offering includes our VFUs and Agrify Integrated Grow Racks with our Agrify Insights™, which are supplemented with environmental control products, grow lights, facility build-out services, and extraction equipment.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generate revenue from sales of cultivation solutions, including ancillary products and services, Agrify Insights™, facility build-outs, and extraction equipment and solutions. We believe that our product mix forms an integrated ecosystem that allows us to be engaged with our potential customers from the early stages of the grow cycle — first during the facility build-out, to the choice of cultivation solutions, running the grow business with our Agrify Insights™ and finally, our extraction, post-processing, and testing services to transform harvest into a sellable product. We believe that the delivery of each solution in the various stages of the process will generate sales of additional solutions and services.</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provides a breakdown of our revenue for the years ended December 31, 2022 and 2021:</w:t>
      </w:r>
    </w:p>
    <w:p>
      <w:pPr>
        <w:spacing w:after="0" w:line="234"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w w:val="99"/>
              </w:rPr>
              <w:t>Cultivation solutions, including ancillary</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 and services</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(10,643)</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Agrify Insights™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Pr>
          <w:p>
            <w:pPr>
              <w:spacing w:after="0"/>
              <w:rPr>
                <w:sz w:val="20"/>
                <w:szCs w:val="20"/>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6"/>
        </w:trPr>
        <w:tc>
          <w:tcPr>
            <w:tcW w:w="2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(13,064)</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57"/>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34,345</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22,041</w:t>
            </w:r>
          </w:p>
        </w:tc>
        <w:tc>
          <w:tcPr>
            <w:tcW w:w="120" w:type="dxa"/>
            <w:vAlign w:val="bottom"/>
          </w:tcPr>
          <w:p>
            <w:pPr>
              <w:spacing w:after="0"/>
              <w:rPr>
                <w:sz w:val="22"/>
                <w:szCs w:val="22"/>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(1,600)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Revenues decreased by $1.6 million, or 3%, for the year ended December 31, 2022, as compared to the same period in 2021. The comparative decrease in revenue was primarily driven by a $13.1 million reduction in facility build-outs due to completion of one construction project and $7.0 million of revenue for Bud &amp; Mary’s that was deferred due to pending litigation. Additionally, there was a $10.6 million decrease in cultivation solutions due to the migration to a VFU leasing model. This was partially offset by revenue generated by our extraction solutions sales of equipment and services from our acquisition of Lab Society in 2022 and Precision, Cascade, and PurePressure in 2021, which contributed $22.0 million.</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9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provides a breakdown of our cost of goods sold for the years ended December 31, 2022 and 2021:</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4"/>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w w:val="99"/>
              </w:rPr>
              <w:t>Cultivation solutions, including ancillary</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 and services</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10,855</w:t>
            </w: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38"/>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Agrify Insights™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35,012</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(3,424)</w:t>
            </w:r>
          </w:p>
        </w:tc>
        <w:tc>
          <w:tcPr>
            <w:tcW w:w="1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7"/>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8,758</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22,195</w:t>
            </w:r>
          </w:p>
        </w:tc>
        <w:tc>
          <w:tcPr>
            <w:tcW w:w="120" w:type="dxa"/>
            <w:vAlign w:val="bottom"/>
          </w:tcPr>
          <w:p>
            <w:pPr>
              <w:spacing w:after="0"/>
              <w:rPr>
                <w:sz w:val="22"/>
                <w:szCs w:val="22"/>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 of goods sold</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54,625</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35,429</w:t>
            </w:r>
          </w:p>
        </w:tc>
        <w:tc>
          <w:tcPr>
            <w:tcW w:w="12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Cost of goods sold increased $35.4 million, or 65%, for the year ended December 31, 2022, as compared to the same period in 2021. The year-over-year increase in cost of goods sold is primarily associated with increased inventory reserves due to the overall decline in the market and obsolescence. The decline in facility build-outs was the result of the completion of one construction project and the cessation of construction on the Bud and Mary’s project due to pending litigation.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3" w:name="page94"/>
    <w:bookmarkEnd w:id="9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Gross (Loss) Profit</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4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2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(loss) profit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(31,795)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5,234</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(37,029)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0" w:type="dxa"/>
            <w:vAlign w:val="bottom"/>
          </w:tcPr>
          <w:p>
            <w:pPr>
              <w:spacing w:after="0"/>
              <w:rPr>
                <w:sz w:val="1"/>
                <w:szCs w:val="1"/>
                <w:color w:val="auto"/>
              </w:rPr>
            </w:pPr>
          </w:p>
        </w:tc>
      </w:tr>
      <w:tr>
        <w:trPr>
          <w:trHeight w:val="26"/>
        </w:trPr>
        <w:tc>
          <w:tcPr>
            <w:tcW w:w="2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Gross loss totaled $31.8 million, or (54.6)%, of total revenue during the year ended December 31, 2022 compared to a gross profit of $5.2 million, or 8.7% of total revenue during the year ended December 31, 2021. The comparative $37.0 million year-over-year decline in gross profit, as well as the comparative decline in gross profit margin, is primarily attributable to reserves for inventory and facility build-outs. The Bud &amp; Mary’s project was the main contributor to the gross margin decline in facility build-outs due to the pending litigation. The gross profit decline was partially offset by increased Extraction solutions revenue in 2022.</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5"/>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30,807</w:t>
            </w:r>
          </w:p>
        </w:tc>
        <w:tc>
          <w:tcPr>
            <w:tcW w:w="16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42,547</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4,163</w:t>
            </w: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5,175</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6"/>
        </w:trPr>
        <w:tc>
          <w:tcPr>
            <w:tcW w:w="2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3,925</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4,254</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1,412</w:t>
            </w: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(3,568)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6"/>
        </w:trPr>
        <w:tc>
          <w:tcPr>
            <w:tcW w:w="2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Impairment of goodwill and intangible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161,531</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40,307</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121,224</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General and administrative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General and administrative (“G&amp;A”) expenses consist principally of salaries and related costs, including stock-based compensation and travel expenses, for personnel associated with executive and other administrative functions. Other G&amp;A expenses include, but are not limited to, professional fees for legal, consulting, depreciation and amortization, and accounting services, as well as facility-related costs.</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G&amp;A expenses increased by $42.5 million, or 138%, for the year ended December 31, 2022, compared to the same period in 2021. The primary drivers of the year-over-year increase of G&amp;A expenses were largely attributable to an increase in trade and loan receivable allowances of $33.1 million, primarily related to our TTK projects, and an increase of $6.3 million in employee related expenses and severance expense.</w:t>
      </w:r>
    </w:p>
    <w:p>
      <w:pPr>
        <w:spacing w:after="0" w:line="95"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During the second, third, and fourth quarters of 2022, we increased our loan receivable reserve by approximately $7.1 million, $14.7 million, and $11.3 million, respectively. The $7.1 million increase during the second quarter of 2022 was specifically related to Greenstone Holdings (“Greenstone”). Greenstone is a related party because one of our former Agrify Brands employees and our VP of Engineering had a minority ownership. We specifically established the loan reserve related to Greenstone based on our review of Greenstone’s financial stability, which would impact collectability and is primarily the result of unfavorable market conditions within the Colorado market. We wrote off the entire Greenstone loan receivable as of June 30, 2023. Additional information regarding recent developments with Greenstone may be found in Note 5 — Loans Receivable, included in the notes to the consolidated financial statements. The $14.7 million increase during the third quarter of 2022 specifically related to Bud &amp; Mary’s. We deemed it necessary to fully reserve Bud &amp; Mary’s loan receivable balance due to the current litigation and the uncertainty of the customer’s ability to repay the outstanding balance. We believe the litigation is without merit and will continue to vigorously defend ourselves. The $11.3 million increase during the fourth quarter of 2022 related to three customer balances that were fully or partially reserved.</w:t>
      </w:r>
    </w:p>
    <w:p>
      <w:pPr>
        <w:spacing w:after="0" w:line="3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Selling and marketing</w:t>
      </w:r>
    </w:p>
    <w:p>
      <w:pPr>
        <w:spacing w:after="0" w:line="11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Selling and marketing expenses consist primarily of salaries and related costs of personnel, travel expenses, trade shows, and advertising expenses.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4" w:name="page95"/>
    <w:bookmarkEnd w:id="9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Selling and marketing expenses increased by $5.2 million, or 124%, for the year ended December 31, 2022, compared to the same period in 2021. The comparative period increase was primarily related to our acquisition of Lab Society in 2022 and the acquisitions of Precision, Cascade, and PurePressure in 2021, which contributed $3.7 million of increased selling and marketing expenses, an increase in payroll, severance, and related expenses of $957 thousand, and an increase in advertising, trade shows, and other expenses of $558 thousand.</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Research and development</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Research and development (“R&amp;D”) expenses consisted primarily of costs incurred for the development of our Agrify Insights™ and next-generation VFUs, which includes:</w:t>
      </w:r>
    </w:p>
    <w:p>
      <w:pPr>
        <w:spacing w:after="0" w:line="83" w:lineRule="exact"/>
        <w:rPr>
          <w:sz w:val="20"/>
          <w:szCs w:val="20"/>
          <w:color w:val="auto"/>
        </w:rPr>
      </w:pPr>
    </w:p>
    <w:p>
      <w:pPr>
        <w:ind w:left="1680" w:hanging="389"/>
        <w:spacing w:after="0"/>
        <w:tabs>
          <w:tab w:leader="none" w:pos="16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benefits, and travel;</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subcontractor expenses incurred under agreements to provide engineering work related to the development of our next-generation VFUs; and</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our facilities, depreciation, and other expenses, which include direct and allocated expenses for rent and maintenance of facilities, insurance, and other supplies.</w:t>
      </w:r>
    </w:p>
    <w:p>
      <w:pPr>
        <w:spacing w:after="0" w:line="8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R&amp;D expenses increased by $4.3 million, or 108%, for the year ended December 31, 2022, compared to the same period in 2021. The comparative period increase is primarily related to our acquisition of Lab Society in 2022 and the acquisitions of Precision, Cascade, and PurePressure in 2021, which increased research and development expenses by $1.8 million, an increase in consulting and other cost of $ 1.8 million, and an increase in payroll, severance, and related expenses of $736 thousand. As a percentage of net revenue, R&amp;D expenses were 14.0% of total revenue for the year ended December 31, 2022, compared to 6.6% for same period in 2021.</w:t>
      </w:r>
    </w:p>
    <w:p>
      <w:pPr>
        <w:spacing w:after="0" w:line="10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expect to continue to invest in future developments for our VFUs, Agrify Insights™, and extraction products. Although we continue to invest in R&amp;D activities, we expect R&amp;D expenses to decrease as a percentage of revenue as our revenue grows.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Change in contingent consideration</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Contingent consideration decreased $2.2 million for the year ended December 31, 2022, compared to an increase of $1.4 million for the same period in 2021. The change in contingent consideration, which was recognized by us during the second and third quarters of 2022, primarily related to the reduction in the projected earn-out achievement associated with Lab Society’s and PurePressure’s first twelve-month earn-out period, for which revenue projections were trending below our original earn-out estimates used in calculating the fair value of the contingent consideration.</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Impairment of property and equipment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Results from a 50% reserve on equipment to be leased to Hannah Industries due to uncertainty of the project.</w:t>
      </w:r>
    </w:p>
    <w:p>
      <w:pPr>
        <w:spacing w:after="0" w:line="20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Impairment of goodwill and intangible assets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During the three months ended June 30, 2022, we identified an impairment-triggering event associated with both a sustained decline in our stock price and associated market capitalization, as well as a second-quarter slowdown in the cannabis industry as a whole. Due to these factors, we deemed that there was an impairment to the carrying value of our property and equipment and accordingly performed interim testing as of June 30, 2022.</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our interim testing, we noted that the current carrying value of equity significantly exceeded the calculated fair value of equity, by an amount greater than the aggregate value of our goodwill and intangible assets. Accordingly, we concluded that the entire carrying value of our goodwill and intangible assets were impaired, resulting in a second-quarter impairment charge of $69.9 million. Additional information regarding our interim impairment testing may be found in Note 7 — Goodwill and Intangible Assets, Net, included in the notes to the consolidated financial statements.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5" w:name="page96"/>
    <w:bookmarkEnd w:id="9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Other Income, Net</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(8,750)</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(8,824)</w:t>
            </w: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(11,924)%</w:t>
            </w:r>
          </w:p>
        </w:tc>
        <w:tc>
          <w:tcPr>
            <w:tcW w:w="0" w:type="dxa"/>
            <w:vAlign w:val="bottom"/>
          </w:tcPr>
          <w:p>
            <w:pPr>
              <w:spacing w:after="0"/>
              <w:rPr>
                <w:sz w:val="1"/>
                <w:szCs w:val="1"/>
                <w:color w:val="auto"/>
              </w:rPr>
            </w:pPr>
          </w:p>
        </w:tc>
      </w:t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1,347</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6"/>
        </w:trPr>
        <w:tc>
          <w:tcPr>
            <w:tcW w:w="26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Gain on forgiveness of PPP loan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6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(Loss) gain on extinguishment of notes</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(41,670)</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2,269</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Interest (expense) income, net</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Interest expense was approximately $8.8 million for the year ended December 31, 2022 compared to interest income of approximately $74 thousand for the same period in 2021. The interest expense in 2022 is primarily attributable to modification of our debt facilities related to our SPA Note and Exchange Note.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Other expense, net</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Other expense, net increased by $1.3 million, or 4,345%, for the year ended December 31, 2022, compared to the same period in 2021.</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Change in fair value of warrant liability</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Change in fair value of warrant liability was $51.5 million for the year ended December 31, 2022. There was no change in fair value of warrant liability in 2021. During the year ended December 31, 2022, we recorded a non-cash gain of $51.5 million related to changes in the valuation of our liability-classified warrants issued in August and December 2022, which was primarily driven by movements in our stock price. Additional information regarding the fair value of our liability-classified warrants may be found in Note 4 — Fair Value Measures, included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Gain on forgiveness of PPP loan</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In September 2021, the PPP loan for $45 thousand was forgiven by the U.S. Small Business Administration.</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As a result, we recorded a gain of $45 thousand on the forgiveness of the loan and the associated accrued interest.</w:t>
      </w:r>
    </w:p>
    <w:p>
      <w:pPr>
        <w:spacing w:after="0" w:line="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There was no associated forgiveness in the year ended December 31, 2022.</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(Loss) gain on extinguishment of notes payable</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Loss on extinguishment of notes payable was $ 39.0 million for the year ended December 31, 2022, compared to a gain of $2.7 million for the same period in 2021. The loss on extinguishment of notes payable, which was recognized by us during the third quarter of 2022, related to the extinguishment of the SPA Note dated March 14, 2022. We recognized a loss on extinguishment of $39.0 million (inclusive of $ 13.1 million of unamortized warrants, $5.0 million for a default penalty on the principal amount, $2.3 million of unamortized issuance costs, and $1.2 million for the incremental fair value of warrants modified in exchange of debt). Additional information relating to our SPA Note may be found in Note 9 — Debt, included in the notes to the consolidated financial statements.</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gain on extinguishment of $2.7 million for the year ended December 31, 2021 related to the derecognition of the net carrying amount of extinguished debt of $19.7 million (inclusive of $13.1 million of principal, $7.1 million of derivative liabilities, less $587 thousand of debt discount) and the recognition of the $17.0 million fair value of a new convertible note (including the same principal amount of $13.1 million plus the $3.9 million fair value of the beneficial conversion feature). Additional information relating to our gain on extinguishment of notes payable may be found in Note 11 — Convertible Promissory Notes, included in the notes to the consolidated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6" w:name="page97"/>
    <w:bookmarkEnd w:id="9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Income Tax Expense</w:t>
      </w: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2"/>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90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1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8"/>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tcPr>
          <w:p>
            <w:pPr>
              <w:spacing w:after="0"/>
              <w:rPr>
                <w:sz w:val="20"/>
                <w:szCs w:val="20"/>
                <w:color w:val="auto"/>
              </w:rPr>
            </w:pP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Income (Loss) Attributable to Non-Controlling Interest</w:t>
      </w:r>
    </w:p>
    <w:p>
      <w:pPr>
        <w:spacing w:after="0" w:line="96"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We consolidate the results of operations of two less than wholly-owned entities into our consolidated statements of operations. On December 8, 2019, we formed Agrify-Valiant, LLC (“Agrify-Valiant”), a joint-venture limited liability company in which we are the 60% majority owner and Valiant-America, LLC owns 40%. Agrify-Valiant started its operations during the second quarter of 2020. On October 27, 2022, we provided notice to Valiant-America of our intention to begin the winding up of Agrify-Valiant. On January 22, 2020, as part of the acquisition of TriGrow, we received TriGrow’s 75% interest in Agrify Brands, LLC (formerly TriGrow Brands, LLC), a licensor of an established portfolio of consumer brands that utilize our grow technology. The license for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7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Income (loss) attributable to non- controlling interest represents the portion of profit (or loss) that is attributable to the non-controlling interest calculated as a product of the net income of the entity multiplied by the percentage of ownership held by the non-controlling interest.</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Nine Months Ended September 30, 2023 and 2022</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for the three and nine months ended September 30,</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2023 and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Revenue (including $0, $0, $46, and</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$1,763 from related parties, 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3,139</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7,019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(4,116)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6,582</w:t>
            </w:r>
          </w:p>
        </w:tc>
        <w:tc>
          <w:tcPr>
            <w:tcW w:w="0" w:type="dxa"/>
            <w:vAlign w:val="bottom"/>
          </w:tcPr>
          <w:p>
            <w:pPr>
              <w:spacing w:after="0"/>
              <w:rPr>
                <w:sz w:val="1"/>
                <w:szCs w:val="1"/>
                <w:color w:val="auto"/>
              </w:rPr>
            </w:pPr>
          </w:p>
        </w:tc>
      </w:tr>
      <w:tr>
        <w:trPr>
          <w:trHeight w:val="26"/>
        </w:trPr>
        <w:tc>
          <w:tcPr>
            <w:tcW w:w="3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6,269</w:t>
            </w: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6"/>
        </w:trPr>
        <w:tc>
          <w:tcPr>
            <w:tcW w:w="3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27,431</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20,068</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134,509</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operations</w:t>
            </w: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(4,578)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(31,547)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(17,506)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(7,404)</w:t>
            </w:r>
          </w:p>
        </w:tc>
        <w:tc>
          <w:tcPr>
            <w:tcW w:w="0" w:type="dxa"/>
            <w:vAlign w:val="bottom"/>
          </w:tcPr>
          <w:p>
            <w:pPr>
              <w:spacing w:after="0"/>
              <w:rPr>
                <w:sz w:val="1"/>
                <w:szCs w:val="1"/>
                <w:color w:val="auto"/>
              </w:rPr>
            </w:pPr>
          </w:p>
        </w:tc>
      </w:t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(38,985)</w:t>
            </w:r>
          </w:p>
        </w:tc>
        <w:tc>
          <w:tcPr>
            <w:tcW w:w="0" w:type="dxa"/>
            <w:vAlign w:val="bottom"/>
          </w:tcPr>
          <w:p>
            <w:pPr>
              <w:spacing w:after="0"/>
              <w:rPr>
                <w:sz w:val="1"/>
                <w:szCs w:val="1"/>
                <w:color w:val="auto"/>
              </w:rPr>
            </w:pPr>
          </w:p>
        </w:tc>
      </w:tr>
      <w:tr>
        <w:trPr>
          <w:trHeight w:val="257"/>
        </w:trPr>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(25,865)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(1,720)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(57,412)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(130,492)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(130,230)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30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(Loss) income attributable to non-controlling</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(57,413)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(19,224)</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(130,235)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Borders>
              <w:top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Net loss per share attributable to Common</w:t>
            </w: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(429.98)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bottom w:val="single" w:sz="8" w:color="CCEEFF"/>
            </w:tcBorders>
            <w:vMerge w:val="restart"/>
          </w:tcPr>
          <w:p>
            <w:pPr>
              <w:spacing w:after="0" w:line="172" w:lineRule="exact"/>
              <w:rPr>
                <w:sz w:val="20"/>
                <w:szCs w:val="20"/>
                <w:color w:val="auto"/>
              </w:rPr>
            </w:pPr>
            <w:r>
              <w:rPr>
                <w:rFonts w:ascii="Times New Roman" w:cs="Times New Roman" w:eastAsia="Times New Roman" w:hAnsi="Times New Roman"/>
                <w:sz w:val="16"/>
                <w:szCs w:val="16"/>
                <w:color w:val="auto"/>
              </w:rPr>
              <w:t>Weighted average common shares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0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tcPr>
          <w:p>
            <w:pPr>
              <w:ind w:left="140"/>
              <w:spacing w:after="0" w:line="217" w:lineRule="exact"/>
              <w:rPr>
                <w:sz w:val="20"/>
                <w:szCs w:val="20"/>
                <w:color w:val="auto"/>
              </w:rPr>
            </w:pPr>
            <w:r>
              <w:rPr>
                <w:rFonts w:ascii="Times New Roman" w:cs="Times New Roman" w:eastAsia="Times New Roman" w:hAnsi="Times New Roman"/>
                <w:sz w:val="16"/>
                <w:szCs w:val="16"/>
                <w:color w:val="auto"/>
              </w:rPr>
              <w:t>outstanding – basic and diluted</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133,526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ectPr>
          <w:pgSz w:w="11900" w:h="16840" w:orient="portrait"/>
          <w:cols w:equalWidth="0" w:num="1">
            <w:col w:w="9020"/>
          </w:cols>
          <w:pgMar w:left="1440" w:top="557" w:right="1440" w:bottom="1440"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97" w:name="page98"/>
    <w:bookmarkEnd w:id="9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generate revenue from sales of cultivation solutions, including ancillary products and services, Agrify Insights software, facility build-outs and extraction equipment and solutions. We believe that our product mix forms an integrated ecosystem which allows us to be engaged with our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98"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provides a breakdown of our revenue for the three and nine months ended September 30, 2023 and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0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48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48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Cultivation solutions,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60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including ancillary</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 and services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3350%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c>
          <w:tcPr>
            <w:tcW w:w="78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4"/>
              </w:rPr>
              <w:t>(10)%</w:t>
            </w:r>
          </w:p>
        </w:tc>
        <w:tc>
          <w:tcPr>
            <w:tcW w:w="0" w:type="dxa"/>
            <w:vAlign w:val="bottom"/>
          </w:tcPr>
          <w:p>
            <w:pPr>
              <w:spacing w:after="0"/>
              <w:rPr>
                <w:sz w:val="1"/>
                <w:szCs w:val="1"/>
                <w:color w:val="auto"/>
              </w:rPr>
            </w:pPr>
          </w:p>
        </w:tc>
      </w:tr>
      <w:tr>
        <w:trPr>
          <w:trHeight w:val="238"/>
        </w:trPr>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Agrify Insights software</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6"/>
        </w:trPr>
        <w:tc>
          <w:tcPr>
            <w:tcW w:w="15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1,334</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(1,334)</w:t>
            </w:r>
          </w:p>
        </w:tc>
        <w:tc>
          <w:tcPr>
            <w:tcW w:w="7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(22,669)</w:t>
            </w:r>
          </w:p>
        </w:tc>
        <w:tc>
          <w:tcPr>
            <w:tcW w:w="780" w:type="dxa"/>
            <w:vAlign w:val="bottom"/>
            <w:tcBorders>
              <w:bottom w:val="single" w:sz="8" w:color="CCEEFF"/>
            </w:tcBorders>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4"/>
              </w:rPr>
              <w:t>(96)%</w:t>
            </w:r>
          </w:p>
        </w:tc>
        <w:tc>
          <w:tcPr>
            <w:tcW w:w="0" w:type="dxa"/>
            <w:vAlign w:val="bottom"/>
          </w:tcPr>
          <w:p>
            <w:pPr>
              <w:spacing w:after="0"/>
              <w:rPr>
                <w:sz w:val="1"/>
                <w:szCs w:val="1"/>
                <w:color w:val="auto"/>
              </w:rPr>
            </w:pPr>
          </w:p>
        </w:tc>
      </w:tr>
      <w:tr>
        <w:trPr>
          <w:trHeight w:val="257"/>
        </w:trPr>
        <w:tc>
          <w:tcPr>
            <w:tcW w:w="16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100" w:type="dxa"/>
            <w:vAlign w:val="bottom"/>
          </w:tcPr>
          <w:p>
            <w:pPr>
              <w:spacing w:after="0"/>
              <w:rPr>
                <w:sz w:val="22"/>
                <w:szCs w:val="2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2,943</w:t>
            </w:r>
          </w:p>
        </w:tc>
        <w:tc>
          <w:tcPr>
            <w:tcW w:w="120" w:type="dxa"/>
            <w:vAlign w:val="bottom"/>
          </w:tcPr>
          <w:p>
            <w:pPr>
              <w:spacing w:after="0"/>
              <w:rPr>
                <w:sz w:val="22"/>
                <w:szCs w:val="2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5,680</w:t>
            </w:r>
          </w:p>
        </w:tc>
        <w:tc>
          <w:tcPr>
            <w:tcW w:w="80" w:type="dxa"/>
            <w:vAlign w:val="bottom"/>
          </w:tcPr>
          <w:p>
            <w:pPr>
              <w:spacing w:after="0"/>
              <w:rPr>
                <w:sz w:val="22"/>
                <w:szCs w:val="22"/>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(2,737)</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12,371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28,065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(15,694)</w:t>
            </w: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w w:val="94"/>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(3,880)</w:t>
            </w: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14,009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(38,360)</w:t>
            </w: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4"/>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Revenues decreased by less than $3.9 million, or 55% for the three months ended September 30, 2023 compared to the same period in 2022. Revenues decreased by $ 38.4 million, or 73% for the nine months ended September 30, 2023 compared to the same period in 2022. The comparative decrease in revenue was generated primarily from decreases in revenue from facility build-outs and extraction solutions. Extraction division revenues totaled $2.9 million and $12.4 million for the three and nine months ended September 30, 2023, respectively. Additionally, design and build revenues decreased by $1.3 million and $22.7 million for the three and nine months ended September 30, 2023, respectively, due to the continued build-out of facilities under our TTK Solutions.</w:t>
      </w:r>
    </w:p>
    <w:p>
      <w:pPr>
        <w:spacing w:after="0" w:line="14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provides a breakdown of our cost of goods sold for the three and nine months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September 30, 2023 and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2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4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Cultivation solutions,</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8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including ancillary</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 and services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1,579</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2,312</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(733)</w:t>
            </w:r>
          </w:p>
        </w:tc>
        <w:tc>
          <w:tcPr>
            <w:tcW w:w="78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(32)%</w:t>
            </w:r>
          </w:p>
        </w:tc>
        <w:tc>
          <w:tcPr>
            <w:tcW w:w="0" w:type="dxa"/>
            <w:vAlign w:val="bottom"/>
          </w:tcPr>
          <w:p>
            <w:pPr>
              <w:spacing w:after="0"/>
              <w:rPr>
                <w:sz w:val="1"/>
                <w:szCs w:val="1"/>
                <w:color w:val="auto"/>
              </w:rPr>
            </w:pPr>
          </w:p>
        </w:tc>
      </w:tr>
      <w:tr>
        <w:trPr>
          <w:trHeight w:val="238"/>
        </w:trPr>
        <w:tc>
          <w:tcPr>
            <w:tcW w:w="1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6,429</w:t>
            </w:r>
          </w:p>
        </w:tc>
        <w:tc>
          <w:tcPr>
            <w:tcW w:w="8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(6,426)</w:t>
            </w:r>
          </w:p>
        </w:tc>
        <w:tc>
          <w:tcPr>
            <w:tcW w:w="100" w:type="dxa"/>
            <w:vAlign w:val="bottom"/>
          </w:tcPr>
          <w:p>
            <w:pPr>
              <w:spacing w:after="0"/>
              <w:rPr>
                <w:sz w:val="20"/>
                <w:szCs w:val="20"/>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5"/>
              </w:rPr>
              <w:t>(27,246)</w:t>
            </w:r>
          </w:p>
        </w:tc>
        <w:tc>
          <w:tcPr>
            <w:tcW w:w="7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w w:val="99"/>
              </w:rPr>
              <w:t>(97)%</w:t>
            </w:r>
          </w:p>
        </w:tc>
        <w:tc>
          <w:tcPr>
            <w:tcW w:w="0" w:type="dxa"/>
            <w:vAlign w:val="bottom"/>
          </w:tcPr>
          <w:p>
            <w:pPr>
              <w:spacing w:after="0"/>
              <w:rPr>
                <w:sz w:val="1"/>
                <w:szCs w:val="1"/>
                <w:color w:val="auto"/>
              </w:rPr>
            </w:pPr>
          </w:p>
        </w:tc>
      </w:tr>
      <w:tr>
        <w:trPr>
          <w:trHeight w:val="26"/>
        </w:trPr>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100" w:type="dxa"/>
            <w:vAlign w:val="bottom"/>
            <w:shd w:val="clear" w:color="auto" w:fill="CCEEFF"/>
          </w:tcPr>
          <w:p>
            <w:pPr>
              <w:spacing w:after="0"/>
              <w:rPr>
                <w:sz w:val="22"/>
                <w:szCs w:val="22"/>
                <w:color w:val="auto"/>
              </w:rPr>
            </w:pPr>
          </w:p>
        </w:tc>
        <w:tc>
          <w:tcPr>
            <w:tcW w:w="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1,606</w:t>
            </w:r>
          </w:p>
        </w:tc>
        <w:tc>
          <w:tcPr>
            <w:tcW w:w="1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4,134</w:t>
            </w:r>
          </w:p>
        </w:tc>
        <w:tc>
          <w:tcPr>
            <w:tcW w:w="8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(2,528)</w:t>
            </w: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8,897</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20,174</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5"/>
              </w:rPr>
              <w:t>(11,277)</w:t>
            </w:r>
          </w:p>
        </w:tc>
        <w:tc>
          <w:tcPr>
            <w:tcW w:w="7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(56)%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80" w:type="dxa"/>
            <w:vAlign w:val="bottom"/>
            <w:gridSpan w:val="2"/>
          </w:tcPr>
          <w:p>
            <w:pPr>
              <w:ind w:left="140"/>
              <w:spacing w:after="0" w:line="147" w:lineRule="exact"/>
              <w:rPr>
                <w:sz w:val="20"/>
                <w:szCs w:val="20"/>
                <w:color w:val="auto"/>
              </w:rPr>
            </w:pPr>
            <w:r>
              <w:rPr>
                <w:rFonts w:ascii="Times New Roman" w:cs="Times New Roman" w:eastAsia="Times New Roman" w:hAnsi="Times New Roman"/>
                <w:sz w:val="16"/>
                <w:szCs w:val="16"/>
                <w:color w:val="auto"/>
              </w:rPr>
              <w:t>Total cost of goods</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sold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4"/>
              </w:rPr>
              <w:t>2,165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(8,970)</w:t>
            </w:r>
          </w:p>
        </w:tc>
        <w:tc>
          <w:tcPr>
            <w:tcW w:w="10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11,447</w:t>
            </w:r>
          </w:p>
        </w:tc>
        <w:tc>
          <w:tcPr>
            <w:tcW w:w="4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50,703</w:t>
            </w:r>
          </w:p>
        </w:tc>
        <w:tc>
          <w:tcPr>
            <w:tcW w:w="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5"/>
              </w:rPr>
              <w:t>(39,256)</w:t>
            </w:r>
          </w:p>
        </w:tc>
        <w:tc>
          <w:tcPr>
            <w:tcW w:w="78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w w:val="99"/>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98" w:name="page99"/>
    <w:bookmarkEnd w:id="9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Cost of goods sold decreased by $9.0 million, or 81%, for the three months ended September 30, 2023 compared to the same period in 2022. Cost of goods sold decreased by $39.3 million, or 77%, for the nine months ended September 30, 2023 compared to the same period in 2022. The comparative quarterly decrease in cost of goods sold is associated with the decreased amount of subcontractor construction costs related to our facility build-outs, internal and outsourced labor and materials costs for the extraction solutions sales, and cultivation solutions, including ancillary products and services.</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Gross Profit (Loss)</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right"/>
              <w:ind w:right="16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3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1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(loss)</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974 $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5,090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w:t>
            </w: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2,562 $</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1,666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6"/>
        </w:trPr>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Gross profit totaled $1.0 million, or 31.0% of total revenue during the three months ended September 30, 2023 compared to a gross loss of $4.1 million, or 58.6% of total revenue during the three months ended September 30, 2022. Gross profit totaled $2.6 million, or 18.3% of total revenue during the nine months ended September 30, 2023 compared to a gross profit of $1.7 million, or 3.2% of total revenue during the nine months ended September 30, 2022. The $5.1 million three-month and $ 0.9 million nine-month comparative decrease in gross profit is primarily attributable to a smaller decrease in costs of goods sold relative to the decrease in revenue for the period. We realized a gross profit margin of 45% and 28% associated with our extraction solutions revenue for the three and nine months ended September 30, 2023, respectively, while we realized a gross loss margin of approximately 303% and 149% on our cultivation-related revenues for the three and nine months ended September 30, 2023, respectively.</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 w:type="dxa"/>
            <w:vAlign w:val="bottom"/>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8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General and</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administrative</w:t>
            </w: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4,321 $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(19,805)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$ 16,066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$ 53,263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(37,197)</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General and administrative (“G&amp;A”) expenses consist principally of salaries and related costs for personnel, including stock- 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G&amp;A expense decreased by $19.8 million, or 82%, for the three months ended September 30, 2023, compared to the same period in 2022. G&amp;A expense decreased by $37.2 million, or 70%, for the nine months ended September 30, 2023, compared to the same period in 2022. The decrease for the three months ended September 30, 2023 was primarily attributable to a decrease in bad debt expenses, of approximately $15.6 million, a decrease in depreciation expense, of approximately $1 million, a decrease in stock based compensation, of approximately $1.1 million, a decrease in salaries and related costs for personnel, of approximately $0.8 million, a decrease in insurance expenses of approximately $0.3 million.</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7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Research and</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development</w:t>
            </w: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486 $</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1,747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(1,261)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1,864 $</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6,269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 (4,405)</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(70)%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Research and development (“R&amp;D”) expenses consisted primarily of costs incurred for development of our</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Agrify Insights software, next generation VFUs and new Extraction products, which includes:</w:t>
      </w:r>
    </w:p>
    <w:p>
      <w:pPr>
        <w:spacing w:after="0" w:line="98" w:lineRule="exact"/>
        <w:rPr>
          <w:sz w:val="20"/>
          <w:szCs w:val="20"/>
          <w:color w:val="auto"/>
        </w:rPr>
      </w:pPr>
    </w:p>
    <w:p>
      <w:pPr>
        <w:ind w:left="1680" w:hanging="389"/>
        <w:spacing w:after="0"/>
        <w:tabs>
          <w:tab w:leader="none" w:pos="16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employee-related expenses, including salaries, benefits, and travel;</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incurred by the subcontractor under agreements to provide engineering work related to the development of our next generation VFUs and new extraction equipment;</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related to our facilities, depreciation, and other expenses, which include direct and allocated expenses for rent and maintenance of facilities, insurance and other supplies.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99" w:name="page100"/>
    <w:bookmarkEnd w:id="9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R&amp;D expense decreased by $1.3 million, or 72%, for the three months ended September 30, 2023, compared to the same period in 2022. R&amp;D expense decreased by $4.4 million, or 70%, for the nine months ended September 30, 2023, compared to the same period in 2022. The decrease for the three months ended September 30, 2023, compared to the same period in 2022 is primarily attributable to decreased personnel and facility costs associated with the continued development of our VFUs.</w:t>
      </w:r>
    </w:p>
    <w:p>
      <w:pPr>
        <w:spacing w:after="0" w:line="97"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We expect to continue to invest in future developments of our VFUs, Agrify Insights software and our extraction products. As a percentage of net revenue, R&amp;D expenses were 15.5% and 13.3% of total revenue for the three and nine months ended September 30, 2023, respectively, compared to 24.9% and 12.0% for the three and nine months ended September 30, 2022.</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Selling and Marketing</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7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3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6"/>
                <w:szCs w:val="16"/>
                <w:color w:val="auto"/>
              </w:rPr>
            </w:pPr>
          </w:p>
        </w:tc>
        <w:tc>
          <w:tcPr>
            <w:tcW w:w="7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8"/>
        </w:trPr>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0" w:type="dxa"/>
            <w:vAlign w:val="bottom"/>
            <w:vMerge w:val="restart"/>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812 $</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2,160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(1,348)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  3,522 $</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6,582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 (3,060)</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(46)%</w:t>
            </w:r>
          </w:p>
        </w:tc>
        <w:tc>
          <w:tcPr>
            <w:tcW w:w="0" w:type="dxa"/>
            <w:vAlign w:val="bottom"/>
          </w:tcPr>
          <w:p>
            <w:pPr>
              <w:spacing w:after="0"/>
              <w:rPr>
                <w:sz w:val="1"/>
                <w:szCs w:val="1"/>
                <w:color w:val="auto"/>
              </w:rPr>
            </w:pPr>
          </w:p>
        </w:tc>
      </w:tr>
      <w:tr>
        <w:trPr>
          <w:trHeight w:val="26"/>
        </w:trPr>
        <w:tc>
          <w:tcPr>
            <w:tcW w:w="1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Selling and marketing expenses consist primarily of salaries and related costs of personnel, travel expenses, trade shows and advertising expenses.</w:t>
      </w:r>
    </w:p>
    <w:p>
      <w:pPr>
        <w:spacing w:after="0" w:line="8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Selling and marketing expenses decreased by $1.3 million, or 62%, for the three months ended September 30, 2023, compared to the same period in 2022. Selling and marketing expenses decreased by $3.1 million, or 46%, for the nine months ended September 30, 2023, compared to the same period in 2022. The decrease for the three months ended September 30, 2023 was primarily attributable to a reduction in salaries and related costs of personnel, of approximately $0.8 million, and a reduction in trade show and advertising costs, of approximately $0.5 million.</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55"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1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6"/>
                <w:szCs w:val="16"/>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6"/>
                <w:szCs w:val="16"/>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4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Interest income</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(expense),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(363)</w:t>
            </w:r>
          </w:p>
        </w:tc>
        <w:tc>
          <w:tcPr>
            <w:tcW w:w="2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(4,654)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4,291</w:t>
            </w:r>
          </w:p>
        </w:tc>
        <w:tc>
          <w:tcPr>
            <w:tcW w:w="1320" w:type="dxa"/>
            <w:vAlign w:val="bottom"/>
            <w:tcBorders>
              <w:bottom w:val="single" w:sz="8" w:color="CCEEFF"/>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(92)% $ (1,562)</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(7,404)</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5,842</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Change in fair value of</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10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(14,293)</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5"/>
              </w:rPr>
              <w:t>(43,635)</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15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Gain on</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00" w:type="dxa"/>
            <w:vAlign w:val="bottom"/>
            <w:gridSpan w:val="2"/>
            <w:shd w:val="clear" w:color="auto" w:fill="CCEEFF"/>
          </w:tcPr>
          <w:p>
            <w:pPr>
              <w:ind w:left="140"/>
              <w:spacing w:after="0" w:line="180" w:lineRule="exact"/>
              <w:rPr>
                <w:sz w:val="20"/>
                <w:szCs w:val="20"/>
                <w:color w:val="auto"/>
              </w:rPr>
            </w:pPr>
            <w:r>
              <w:rPr>
                <w:rFonts w:ascii="Times New Roman" w:cs="Times New Roman" w:eastAsia="Times New Roman" w:hAnsi="Times New Roman"/>
                <w:sz w:val="16"/>
                <w:szCs w:val="16"/>
                <w:color w:val="auto"/>
              </w:rPr>
              <w:t>extinguishment of</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notes payable</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(4,631)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8"/>
              </w:rPr>
              <w:t>(38,985)</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34,354</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57"/>
        </w:trPr>
        <w:tc>
          <w:tcPr>
            <w:tcW w:w="15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(632)</w:t>
            </w:r>
          </w:p>
        </w:tc>
        <w:tc>
          <w:tcPr>
            <w:tcW w:w="7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(632)</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00" w:type="dxa"/>
            <w:vAlign w:val="bottom"/>
            <w:tcBorders>
              <w:top w:val="single" w:sz="8" w:color="CCEEFF"/>
            </w:tcBorders>
            <w:gridSpan w:val="2"/>
            <w:shd w:val="clear" w:color="auto" w:fill="CCEEFF"/>
          </w:tcPr>
          <w:p>
            <w:pPr>
              <w:ind w:left="140"/>
              <w:spacing w:after="0" w:line="154" w:lineRule="exact"/>
              <w:rPr>
                <w:sz w:val="20"/>
                <w:szCs w:val="20"/>
                <w:color w:val="auto"/>
              </w:rPr>
            </w:pPr>
            <w:r>
              <w:rPr>
                <w:rFonts w:ascii="Times New Roman" w:cs="Times New Roman" w:eastAsia="Times New Roman" w:hAnsi="Times New Roman"/>
                <w:sz w:val="16"/>
                <w:szCs w:val="16"/>
                <w:color w:val="auto"/>
              </w:rPr>
              <w:t>Total other income,</w:t>
            </w:r>
          </w:p>
        </w:tc>
        <w:tc>
          <w:tcPr>
            <w:tcW w:w="10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2,486</w:t>
            </w: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(25,865)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28,351</w:t>
            </w:r>
          </w:p>
        </w:tc>
        <w:tc>
          <w:tcPr>
            <w:tcW w:w="100" w:type="dxa"/>
            <w:vAlign w:val="bottom"/>
            <w:shd w:val="clear" w:color="auto" w:fill="CCEEFF"/>
          </w:tcPr>
          <w:p>
            <w:pPr>
              <w:spacing w:after="0"/>
              <w:rPr>
                <w:sz w:val="18"/>
                <w:szCs w:val="18"/>
                <w:color w:val="auto"/>
              </w:rPr>
            </w:pPr>
          </w:p>
        </w:tc>
        <w:tc>
          <w:tcPr>
            <w:tcW w:w="132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 $ (1,720)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(4,071)</w:t>
            </w: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Interest income (expense), net decreased by $4.3 million, or 92%, for the three months ended September 30, 2023, compared to the same period in 2022. Interest income (expense), net decreased by $5.8 million, or 79%, for the nine months ended September 30, 2023, compared to the same period in 2022.The decrease in interest income is attributable mainly to interest from marketable securities and interest income from TTK Solutions.</w:t>
      </w:r>
    </w:p>
    <w:p>
      <w:pPr>
        <w:spacing w:after="0" w:line="6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change in fair value of warrant liabilities decreased by $14.3 million, or 88% during the three months ended September 30, 2023, compared to the same period in 2022. The change in fair value of warrant liabilities decreased by $43.6 million, or 92% during the nine months ended September 30, 2023, compared to the same period in 2022.The decrease is related to the fair value remeasurement of warrants discussed in Note 4.</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Income Tax Benefit</w:t>
      </w:r>
    </w:p>
    <w:p>
      <w:pPr>
        <w:spacing w:after="0" w:line="12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change in the provision for (benefit from) income taxes for the nine months ended September 30, 2023 compared to the nine months ended September 30, 2022 was primarily due to a recording of a valuation allowance on the company’s net deferred tax assets.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0" w:name="page101"/>
    <w:bookmarkEnd w:id="10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Income (Loss) Attributable to Non-Controlling Interest</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We consolidate the results of operations of two less than wholly-owned entities into our consolidated results of operations. On December 8, 2019, we formed Agrify Valiant LLC, a joint -venture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04"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8"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As of September 30, 2023, our principal sources of liquidity were cash and cash equivalents and marketable securities totaling $0.2 million. Our current working capital needs are to support revenue growth, to fund construction and equipment financing commitments associated with our TTK Solutions, manage inventory to meet demand forecasts and support operational growth. Our long -term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256"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consolidated financial statements have been prepared based on the assumption that we will continue as a going concern for the next twelve-months from the date these consolidated financial statements are available to be issued. However, we have incurred operating losses since our inception and have negative cash flows from operations, and our significant operating losses raise substantial doubt about our ability to continue as a going concern. Our continuation as a going concern is dependent upon our ability to obtain the necessary debt or equity financing to continue operations until we begin generating sufficient cash flows from operations to meet our obligations. If we are unable to raise additional funds, we may be forced to cease operations.</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There is no assurance that we will ever be profitable. The consolidated financial statements do not include any adjustments to reflect the potential future effects on the recoverability and classification of assets or the amounts and classifications of liabilities that may result should we be unable to continue as a going concern.</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Indebtedness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$0.8 million from the unsecured PPP Loan which was originally scheduled to mature in May 2022. We applied for forgiveness on the $ 0.8 million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1" w:name="page102"/>
    <w:bookmarkEnd w:id="10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March 14, 2022, we entered into a Securities Purchase Agreement with the Lender.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August 18, 2022, we entered into a Securities Exchange Agreement. Pursuant to the August 2022 Exchange Agreement, we partially paid $35.2 million along with approximately $0.3 million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March 8, 2023, the Company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9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The Convertible Note is a senior secured obligation and ranks senior to all of our indebtedness. As of September 30, 2023, the Convertible Note had a maturity date of August 19, 2025 (the “Maturity Date”) and had a 9.0% annualized interest rate, with interest to be paid monthly, in cash. The principal amount of the Convertible Note will be payable on the maturity date, provided that the holder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 The Convertible Note was subsequently amended, restated and consolidated as described in “— Recent Business Developments” above.</w:t>
      </w:r>
    </w:p>
    <w:p>
      <w:pPr>
        <w:spacing w:after="0" w:line="260"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1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presents the major components of net cash flows from and used in operating, investing, and financing activities for the nine months ended September 30, 2023, and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provided by:</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(25,940)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(58,020)</w:t>
            </w: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(4,135)</w:t>
            </w: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(9,598)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52,292</w:t>
            </w:r>
          </w:p>
        </w:tc>
        <w:tc>
          <w:tcPr>
            <w:tcW w:w="120" w:type="dxa"/>
            <w:vAlign w:val="bottom"/>
          </w:tcPr>
          <w:p>
            <w:pPr>
              <w:spacing w:after="0"/>
              <w:rPr>
                <w:sz w:val="22"/>
                <w:szCs w:val="22"/>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3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(10,303)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(9,863)</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Cash Flow from Operating Activities</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For the nine months ended September 30, 2023, we incurred a net loss of $19.2 million, which included $3.6 million related to the change in fair value of warrant liabilities, $1.5 million of depreciation and amortization, $2.1 million of stock based compensation expense, and $24 thousand of debt issuance costs. Net cash was increased by changes in operating assets and liabilities of $6.4 million.</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For the nine months ended September 30, 2022, cash used in operating activities consists of net income adjusted for non-cash benefits and expenses, and changes in operating assets and liabilities. Our primary source of cash provided by operating activities is cash collections from our customers related to the sale of cultivation and extraction solutions.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2" w:name="page103"/>
    <w:bookmarkEnd w:id="10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99" w:lineRule="auto"/>
        <w:rPr>
          <w:sz w:val="20"/>
          <w:szCs w:val="20"/>
          <w:color w:val="auto"/>
        </w:rPr>
      </w:pPr>
      <w:r>
        <w:rPr>
          <w:rFonts w:ascii="Times New Roman" w:cs="Times New Roman" w:eastAsia="Times New Roman" w:hAnsi="Times New Roman"/>
          <w:sz w:val="14"/>
          <w:szCs w:val="14"/>
          <w:color w:val="auto"/>
        </w:rPr>
        <w:t>Our primary uses of cash from our operating activities include payments for employee- related expenditures, payments for inventory due to increased demand forecasts, construction costs related to TTK Solutions, acquisition-related costs and the payment of other operating expenses incurred in the ordinary course of business.</w:t>
      </w:r>
    </w:p>
    <w:p>
      <w:pPr>
        <w:spacing w:after="0" w:line="1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Cash Flow from Investing Activities</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For the nine months ended September 30, 2023, net cash provided by investing activities was $25.2 million, which included cash inflows of $10.5 million in proceeds from sale of securities and $15.3 million in proceeds from repayment of loan receivable, and cash outflows of $0.6 million related to a certain loan issuance of loan and $0.1 million in purchases of property and equipment.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For the nine months ended September 30, 2022, cash provided by investing activities consists primarily of maturities and sales of investments in marketable securities. Cash used in investing activities consists primarily of purchases of marketable securities, cash paid associated with our 2022 acquisition of Lab Society, the issuance of loans receivable in connection with our financing of construction and equipment under its TTK Solutions offering and purchases of property and equipment expenditures. The capital expenditures support growth and investment in property and equipment, to expand research, development, and testing capabilities and, to a lesser extent, the replacement of existing equipment.</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Cash Flow from Financing Activities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For the nine months ended September 30, 2023, net cash used in financing activities was $9.6 million. Net cash used in financing activities was primarily driven by the repayment of certain of our debt instruments of $10.3 million, and payments on insurance financing loans of $1.2 million, offset by proceeds generated from the sale of securities pursuant to our “at the market” program, net, of $1.5 million and proceeds from issuance of a related party note of $0.5 million.</w:t>
      </w:r>
    </w:p>
    <w:p>
      <w:pPr>
        <w:spacing w:after="0" w:line="97"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For the nine months ended September 30, 2022, cash provided by financing activities consists primarily of proceeds from the issuance of Common Stock, debt, and warrants in private placements and proceeds from the initial and secondary public offerings. Cash used in financing activities consists primarily of repayment of debt.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Recently Issued Accounting Pronouncements Adopted</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For more information on recently issued accounting pronouncements are included within Note 1 — Overview, Basis of Presentation and Significant Accounting Policies, included elsewhere in the notes to consolidated financial statements elsewhere in this prospectus.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3" w:name="page104"/>
    <w:bookmarkEnd w:id="10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CERTAIN RELATIONSHIPS AND RELATED PARTY TRANSACTIONS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We have entered into indemnity agreements with our directors and Named Executive Officers which provide, among other things, that we will indemnify such executive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executive officer or other agent of our Company, and otherwise to the full extent permitted under Nevada law and our Company’s amended and restated bylaws.</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In order to identify and address concerns regarding related party transactions and their disclosures, the Company uses Director and Officer Questionnaires and its conduct and ethics policies. The Company also considers the independence of its directors. The discussion of the independence of the directors is included under “</w:t>
      </w:r>
      <w:r>
        <w:rPr>
          <w:rFonts w:ascii="Times New Roman" w:cs="Times New Roman" w:eastAsia="Times New Roman" w:hAnsi="Times New Roman"/>
          <w:sz w:val="16"/>
          <w:szCs w:val="16"/>
          <w:i w:val="1"/>
          <w:iCs w:val="1"/>
          <w:color w:val="auto"/>
        </w:rPr>
        <w:t>Corporate Governance — Board and Board Committee Matters</w:t>
      </w:r>
      <w:r>
        <w:rPr>
          <w:rFonts w:ascii="Times New Roman" w:cs="Times New Roman" w:eastAsia="Times New Roman" w:hAnsi="Times New Roman"/>
          <w:sz w:val="16"/>
          <w:szCs w:val="16"/>
          <w:color w:val="auto"/>
        </w:rPr>
        <w:t>” elsewhere in this proxy statement.</w:t>
      </w:r>
    </w:p>
    <w:p>
      <w:pPr>
        <w:spacing w:after="0" w:line="95"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Director and Officer Questionnaires are distributed to executive officers and directors at the beginning of each fiscal year to identify any potential related-party transactions. Within the questionnaire, executive officers and directors are asked to describe any transaction, arrangement or relationship or any series of similar transactions, arrangements or relationships, occurring since the beginning of the prior fiscal year, in which the Company was or is to be a participant and the amount involved exceeds $120,000, and in which any of the following had or will have a direct or indirect interest: (i) the individual; (ii) any director or executive officer of the Company; (iii) a nominee for director; (iv) an immediate family member of a director or executive officer of the Company; (v) an immediate family member of a nominee for director; (vi) a security holder of more than 5% of the Common Stock; or (vii) an immediate family member of the security holder. Responses provided within the questionnaire are reviewed by management of the Company to determine any necessary course of action.</w:t>
      </w:r>
    </w:p>
    <w:p>
      <w:pPr>
        <w:spacing w:after="0" w:line="26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It is the policy of the Company that all employees, directors and agents maintain the highest ethical standards and comply with all applicable legal requirements when conducting Company business. Guidelines regarding conflicts of interest are detailed in the Company’s Code of Conduct and Business Ethics, which was adopted by the Board. The Company’s Code of Conduct and Business Ethics policy is available on the Company’s website at </w:t>
      </w:r>
      <w:r>
        <w:rPr>
          <w:rFonts w:ascii="Times New Roman" w:cs="Times New Roman" w:eastAsia="Times New Roman" w:hAnsi="Times New Roman"/>
          <w:sz w:val="16"/>
          <w:szCs w:val="16"/>
          <w:i w:val="1"/>
          <w:iCs w:val="1"/>
          <w:color w:val="auto"/>
        </w:rPr>
        <w:t>https://ir.agrify.com</w:t>
      </w:r>
      <w:r>
        <w:rPr>
          <w:rFonts w:ascii="Times New Roman" w:cs="Times New Roman" w:eastAsia="Times New Roman" w:hAnsi="Times New Roman"/>
          <w:sz w:val="16"/>
          <w:szCs w:val="16"/>
          <w:color w:val="auto"/>
        </w:rPr>
        <w:t>. All Company employees must deal with vendors, customers and others doing business with the Company in a manner that avoids even the appearance of conflict between personal interests and those of the Company. Potential conflicts of interest may arise from any of the following:</w:t>
      </w:r>
    </w:p>
    <w:p>
      <w:pPr>
        <w:spacing w:after="0" w:line="98" w:lineRule="exact"/>
        <w:rPr>
          <w:sz w:val="20"/>
          <w:szCs w:val="20"/>
          <w:color w:val="auto"/>
        </w:rPr>
      </w:pPr>
    </w:p>
    <w:p>
      <w:pPr>
        <w:jc w:val="both"/>
        <w:ind w:left="1680" w:right="920" w:hanging="389"/>
        <w:spacing w:after="0" w:line="247" w:lineRule="auto"/>
        <w:tabs>
          <w:tab w:leader="none" w:pos="16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 or indirect financial interest in any business or organization that is a Company vendor or competitor, if the employee or director can influence decisions with respect to the Company’s business with respect to such business or organization; and</w:t>
      </w:r>
    </w:p>
    <w:p>
      <w:pPr>
        <w:spacing w:after="0" w:line="92" w:lineRule="exact"/>
        <w:rPr>
          <w:rFonts w:ascii="Times New Roman" w:cs="Times New Roman" w:eastAsia="Times New Roman" w:hAnsi="Times New Roman"/>
          <w:sz w:val="16"/>
          <w:szCs w:val="16"/>
          <w:color w:val="auto"/>
        </w:rPr>
      </w:pPr>
    </w:p>
    <w:p>
      <w:pPr>
        <w:ind w:left="1680" w:right="940" w:hanging="389"/>
        <w:spacing w:after="0" w:line="259" w:lineRule="auto"/>
        <w:tabs>
          <w:tab w:leader="none" w:pos="16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serving on the board of directors of, or being employed in any capacity by, a vendor, competitor or customer of the Company.</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Audit Committee is authorized to review all potential conflicts of interest involving directors and executive officers.</w:t>
      </w:r>
    </w:p>
    <w:p>
      <w:pPr>
        <w:spacing w:after="0" w:line="8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Relationships, including business, financial, personal, and family, may give rise to conflicts of interest or the appearance of a conflict. Employees should carefully evaluate their relationships as they relate to Company business to avoid conflict or the appearance of a conflict. To avoid conflicts of interest or the appearance of a conflict:</w:t>
      </w:r>
    </w:p>
    <w:p>
      <w:pPr>
        <w:spacing w:after="0" w:line="95" w:lineRule="exact"/>
        <w:rPr>
          <w:sz w:val="20"/>
          <w:szCs w:val="20"/>
          <w:color w:val="auto"/>
        </w:rPr>
      </w:pPr>
    </w:p>
    <w:p>
      <w:pPr>
        <w:jc w:val="both"/>
        <w:ind w:left="1680" w:right="900" w:hanging="389"/>
        <w:spacing w:after="0" w:line="243" w:lineRule="auto"/>
        <w:tabs>
          <w:tab w:leader="none" w:pos="16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employee should not work in a position in which he or she has the authority to hire, directly supervise or attempt to influence the employment actions of an immediate family member or romantic partner. Any individual in a supervisory position should not pursue a romantic relationship with any person with whom there is a reporting relationship.</w:t>
      </w:r>
    </w:p>
    <w:p>
      <w:pPr>
        <w:spacing w:after="0" w:line="95" w:lineRule="exact"/>
        <w:rPr>
          <w:rFonts w:ascii="Times New Roman" w:cs="Times New Roman" w:eastAsia="Times New Roman" w:hAnsi="Times New Roman"/>
          <w:sz w:val="16"/>
          <w:szCs w:val="16"/>
          <w:color w:val="auto"/>
        </w:rPr>
      </w:pPr>
    </w:p>
    <w:p>
      <w:pPr>
        <w:jc w:val="both"/>
        <w:ind w:left="1680" w:right="900" w:hanging="389"/>
        <w:spacing w:after="0" w:line="299" w:lineRule="auto"/>
        <w:tabs>
          <w:tab w:leader="none" w:pos="16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and directors should not have an undisclosed relationship with, or financial interest in, any business that competes or deals with the Company; provided that the ownership of less than 1% of the outstanding shares, units or other interests of any class of publicly traded securities is acceptable.</w:t>
      </w:r>
    </w:p>
    <w:p>
      <w:pPr>
        <w:spacing w:after="0" w:line="58" w:lineRule="exact"/>
        <w:rPr>
          <w:rFonts w:ascii="Times New Roman" w:cs="Times New Roman" w:eastAsia="Times New Roman" w:hAnsi="Times New Roman"/>
          <w:sz w:val="14"/>
          <w:szCs w:val="14"/>
          <w:color w:val="auto"/>
        </w:rPr>
      </w:pPr>
    </w:p>
    <w:p>
      <w:pPr>
        <w:ind w:left="1680" w:right="900" w:hanging="389"/>
        <w:spacing w:after="0" w:line="259" w:lineRule="auto"/>
        <w:tabs>
          <w:tab w:leader="none" w:pos="16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are prohibited from directly or indirectly competing or performing services for any person or entity in competition with, the Company.</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4" w:name="page105"/>
    <w:bookmarkEnd w:id="10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ind w:left="1680" w:right="920" w:hanging="389"/>
        <w:spacing w:after="0" w:line="259" w:lineRule="auto"/>
        <w:tabs>
          <w:tab w:leader="none" w:pos="16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should comply with the policies set forth in this Code of Conduct and Business Ethics regarding the receipt or giving of gifts, favors or entertainment.</w:t>
      </w:r>
    </w:p>
    <w:p>
      <w:pPr>
        <w:spacing w:after="0" w:line="83"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full-time employee should obtain the approval of his or her supervisor before serving as a trustee, regent, director or officer of a philanthropic, professional, national, regional or community organization, or educational institution. This policy applies where significant time spent in support of these functions may interfere with time that should be devoted to the Company’s business.</w:t>
      </w:r>
    </w:p>
    <w:p>
      <w:pPr>
        <w:spacing w:after="0" w:line="95"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may not sell or lease equipment, materials or property to the Company without appropriate corporate authority.</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should purchase Company equipment, materials or property only on terms available to the general public.</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Any employee or director who becomes aware of a conflict is required to bring it to the attention of a supervisor, management or other appropriate personnel.</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Directors are expected and required to uphold the same dedication to corporate ethics as the Company’s employees.</w:t>
      </w:r>
    </w:p>
    <w:p>
      <w:pPr>
        <w:spacing w:after="0" w:line="8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 xml:space="preserve">If a conflict of interest arises involving an executive officer or director, the Board must approve a waiver to the Code of Conduct and Business Ethics and if a director has the conflict, that director must abstain from the approval. Waivers are made on a case -by-case basis. The Board has not adopted a formal written policy with respect to waiving conflict of interests or approving related party transactions. In making this determination, the Board considered the infrequency in occurrence of these transactions. Any waivers to the Code of Conduct and Business Ethics granted to an executive officer or director shall be disclosed by the Company on its website at </w:t>
      </w:r>
      <w:r>
        <w:rPr>
          <w:rFonts w:ascii="Times New Roman" w:cs="Times New Roman" w:eastAsia="Times New Roman" w:hAnsi="Times New Roman"/>
          <w:sz w:val="16"/>
          <w:szCs w:val="16"/>
          <w:i w:val="1"/>
          <w:iCs w:val="1"/>
          <w:color w:val="auto"/>
        </w:rPr>
        <w:t>https://ir.agrify.com</w:t>
      </w:r>
      <w:r>
        <w:rPr>
          <w:rFonts w:ascii="Times New Roman" w:cs="Times New Roman" w:eastAsia="Times New Roman" w:hAnsi="Times New Roman"/>
          <w:sz w:val="16"/>
          <w:szCs w:val="16"/>
          <w:color w:val="auto"/>
        </w:rPr>
        <w: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Related Party Transactions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Convertible Note Amendment, Restatement and Consolidation</w:t>
      </w:r>
    </w:p>
    <w:p>
      <w:pPr>
        <w:spacing w:after="0" w:line="118" w:lineRule="exact"/>
        <w:rPr>
          <w:sz w:val="20"/>
          <w:szCs w:val="20"/>
          <w:color w:val="auto"/>
        </w:rPr>
      </w:pPr>
    </w:p>
    <w:p>
      <w:pPr>
        <w:jc w:val="both"/>
        <w:ind w:left="900" w:right="900" w:firstLine="384"/>
        <w:spacing w:after="0" w:line="272" w:lineRule="auto"/>
        <w:rPr>
          <w:sz w:val="20"/>
          <w:szCs w:val="20"/>
          <w:color w:val="auto"/>
        </w:rPr>
      </w:pPr>
      <w:r>
        <w:rPr>
          <w:rFonts w:ascii="Times New Roman" w:cs="Times New Roman" w:eastAsia="Times New Roman" w:hAnsi="Times New Roman"/>
          <w:sz w:val="14"/>
          <w:szCs w:val="14"/>
          <w:color w:val="auto"/>
        </w:rPr>
        <w:t>On October 27, 2023, Acquisitions LLC (the “New Lender”), an entity affiliated with and controlled by Raymond Chang, our Chairman and Chief Executive Officer, and I-Tseng Jenny Chan, a member of our Board of Directors, purchased from an institutional investor (the “Former Lender”) the Senior Secured Note issued by us to the Former Lender on August 19, 2022 (the “Exchange Note”) and the Senior Secured Convertible Note issued by us to the Former Lender on March 10, 2023 (the “Convertible Note”). On January 25, 2024, following stockholder approval at an annual meeting of stockholders on January 8, 2024, we and the New Lender consolidated the outstanding principal and interest due under the Junior Secured Note and the Exchange Note into the Convertible Note and amended and restated the Convertible Note (as amended and restated, the “Restated Note”), with an outstanding principal amount of approximately $18.9 million at the time of issuance of the Restated Note. The Restated Note amended the terms of the Convertible Note by, among other things, (i) reducing the conversion price to $ 1.46 per share of common stock, (ii) increasing the beneficial ownership limitation to 49.99% with respect to any individual or group, provided that the New Lender may assign its right to receive shares upon conversion to Mr. Chang and/or Ms. Chan or their affiliates, in which case the 49.99% beneficial ownership limitation will apply to each of them individually, (iii) extending the maturity date to December 31, 2025,</w:t>
      </w:r>
    </w:p>
    <w:p>
      <w:pPr>
        <w:spacing w:after="0" w:line="167" w:lineRule="exact"/>
        <w:rPr>
          <w:sz w:val="20"/>
          <w:szCs w:val="20"/>
          <w:color w:val="auto"/>
        </w:rPr>
      </w:pPr>
    </w:p>
    <w:p>
      <w:pPr>
        <w:jc w:val="both"/>
        <w:ind w:left="900" w:right="900" w:firstLine="6"/>
        <w:spacing w:after="0" w:line="235" w:lineRule="auto"/>
        <w:tabs>
          <w:tab w:leader="none" w:pos="1164"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the interest rate from 9% to 10% per annum, (v) increasing the default interest from 15% to 18% per annum, and (vi) providing for the payment of interest every six months, or in lieu of cash interest payments, we may issue shares as payments-in-kind at a conversion price equal to the higher of (i) $1.46 or (ii) a 20% discount to our trailing seven-day volume weighted average price as of the date of interest payment. Immediately following the execution of the Restated Note, the New Lender immediately elected to convert approximately $3.9 million of outstanding principal into an aggregate of 2,671,633 shares of common stock, and assigned its rights to receive such shares to entities affiliated with Mr. Chang and Ms. Chan. Following the conversion, there was $15.0 million in principal amount outstanding under the Restated Note.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Note Amendment and Secured Promissory Note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July 12, 2023, we issued an unsecured promissory note in favor of GIC Acquisition, LLC (“GIC”), an entity that is owned and managed by Raymond Chang, our Chairman and Chief Executive Officer. On October 27, 2023, we and GIC amended and restated the Note (the “GIC Note”). Pursuant to the terms of the GIC Note, as restated,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5" w:name="page106"/>
    <w:bookmarkEnd w:id="10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the maturity date was extended until December 31, 2023 and we granted a junior security interest in our assets. On January 25, 2024, we and GIC amended and restated the GIC Note to increase the principal amount thereunder to $1.0 million, all of which is currently outstanding under the GIC Note, and to extend the maturity date until June 30, 2024.</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restatement of the GIC Note, we issued a junior secured promissory note (the “Junior Secured Note”) to the New Lender. Pursuant to the Junior Secured Note, the New Lender loaned an aggregate of approximately $4.0 million to us. The Junior Secured Note bore interest at a rate of 10% per annum, had a maturity date of December 31, 2023, and could be prepaid without any fee or penalty. The Junior Secured Note was a junior secured obligation.</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Distribution Agreement with Enozo</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Guichao Hua, a member of our board of directors, and Raymond Chang, our Chairman of the Board and Chief Executive Officer, each have ownership interests and are board members of Enozo Technologies Inc. (“Enozo”).</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March 9, 2020, the Company entered into a distribution agreement with Enozo, for an initial term of five years with auto renewal for successive one-year periods unless earlier terminated. The agreement contains the following minimum purchases to retain exclusive distributor status for one of the Company’s products: for the period from the contract date until December 31, 2021 for $375,000, for the year ended December 31, 2022 for $750,000, and for the year ended December 31, 2023 for $1,100,000, which amount may increase by 3% for the later years. The Company had no purchases of Enozo product for the year ended December 31, 2022, compared to $40,000 for the year ended December 31, 2021.</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Securities Purchase Agreement with RTC3 2020 Irrevocable Family Trust and Stuart Wilcox</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December 20, 2022, as part of our public offering of shares of Common Stock and warrants, the RTC3 2020 Irrevocable Family Trust purchased 115,385 shares of Common Stock and warrants to purchase 230,770 shares of Common Stock. The purchase price per share of Common Stock and warrant was $13.00.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Public Offering Purchases by RTC3 2020 Irrevocable Family Trust</w:t>
      </w:r>
    </w:p>
    <w:p>
      <w:pPr>
        <w:spacing w:after="0" w:line="118"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On January 28, 2022, as part of our private placement financing, we entered into a Securities Purchase Agreement with parties including the RTC3 2020 Irrevocable Family Trust and Stuart Wilcox. Pursuant to that agreement, we sold 181 shares of Common Stock and warrants to purchase 136 shares of Common Stock to each of the RTC3 2020 Irrevocable Family Trust and Mr. Wilcox. The purchase price per share of Common Stock and partial warrant was $1,496. Raymond Chang, our Chairman of the Board and Chief Executive Officer, retains the authority to remove the independent trustee of the RTC3 2020 Irrevocable Family Trust, although Mr. Chang does not have a pecuniary interest in our securities held by that trust.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Greenstone Holdings (“Greenstone”)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Greenstone is a related party because one of our former Agrify Brands employees and our VP of Engineering had a minority ownership, and is a customer of Agrify’s that is in the process of installing Vertical Farming Units (“VFUs”) in its indoor growing facility in Denver, Colorado. The Company has generated revenues from Greenstone through both construction services and the sale of VFUs. A current and former non - executive level employee owns approximately 27% and 10% of Greenstone, respectively. The Company has determined that Greenstone as a Variable Interest Entity, however it does not consolidate the operating results of Greenstone into its consolidated financial statements as Agrify does not have a “controlling interest” in Greenstone. Agrify reported revenues from Greenstone totaling $648,000 during the year ended December 31, 2022 and $9,429,000 during the year ended December 31, 2021. Additionally, the Company made purchases from Greenstone totaling approximately $1.0 million in 2022.</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6" w:name="page107"/>
    <w:bookmarkEnd w:id="10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General</w:t>
      </w:r>
    </w:p>
    <w:p>
      <w:pPr>
        <w:spacing w:after="0" w:line="118" w:lineRule="exact"/>
        <w:rPr>
          <w:sz w:val="20"/>
          <w:szCs w:val="20"/>
          <w:color w:val="auto"/>
        </w:rPr>
      </w:pPr>
    </w:p>
    <w:p>
      <w:pPr>
        <w:jc w:val="both"/>
        <w:ind w:left="900" w:right="860" w:firstLine="384"/>
        <w:spacing w:after="0" w:line="239" w:lineRule="auto"/>
        <w:rPr>
          <w:sz w:val="20"/>
          <w:szCs w:val="20"/>
          <w:color w:val="auto"/>
        </w:rPr>
      </w:pPr>
      <w:r>
        <w:rPr>
          <w:rFonts w:ascii="Times New Roman" w:cs="Times New Roman" w:eastAsia="Times New Roman" w:hAnsi="Times New Roman"/>
          <w:sz w:val="16"/>
          <w:szCs w:val="16"/>
          <w:color w:val="auto"/>
        </w:rPr>
        <w:t>Our authorized capital stock consists of 35,000,000 shares of common stock, par value $0.001 per share, and 3,000,000 shares of preferred stock, par value $0.001 per share. The only equity securities currently outstanding are shares of common stock. As of February 28, 2024, there were 7,505,114 shares of common stock outstanding, warrants outstanding to purchase 2,245,011 shares of our common stock, 10,334 shares of common stock subject to outstanding stock options, 4,531 shares of common stock subject to unvested restricted stock units, and 10,273,973 shares of common stock underlying convertible notes.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Anti-takeover Effects of Our Articles of Incorporation and By-laws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Our articles of incorporation and bylaws contain certain provisions that may have anti- 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stock could render more difficult or discourage an attempt to obtain control of our Company by means of a proxy contest, tender offer, merger, or otherwise.</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Anti-takeover Effects of Nevada Law</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Business Combinations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7" w:name="page108"/>
    <w:bookmarkEnd w:id="10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101"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74" w:lineRule="exact"/>
        <w:rPr>
          <w:sz w:val="20"/>
          <w:szCs w:val="20"/>
          <w:color w:val="auto"/>
        </w:rPr>
      </w:pPr>
    </w:p>
    <w:p>
      <w:pPr>
        <w:jc w:val="both"/>
        <w:ind w:left="900" w:right="920" w:firstLine="384"/>
        <w:spacing w:after="0" w:line="271" w:lineRule="auto"/>
        <w:rPr>
          <w:sz w:val="20"/>
          <w:szCs w:val="20"/>
          <w:color w:val="auto"/>
        </w:rPr>
      </w:pPr>
      <w:r>
        <w:rPr>
          <w:rFonts w:ascii="Times New Roman" w:cs="Times New Roman" w:eastAsia="Times New Roman" w:hAnsi="Times New Roman"/>
          <w:sz w:val="14"/>
          <w:szCs w:val="14"/>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w:t>
      </w:r>
    </w:p>
    <w:p>
      <w:pPr>
        <w:spacing w:after="0" w:line="4" w:lineRule="exact"/>
        <w:rPr>
          <w:sz w:val="20"/>
          <w:szCs w:val="20"/>
          <w:color w:val="auto"/>
        </w:rPr>
      </w:pPr>
    </w:p>
    <w:p>
      <w:pPr>
        <w:jc w:val="both"/>
        <w:ind w:left="900" w:right="900" w:firstLine="6"/>
        <w:spacing w:after="0" w:line="271" w:lineRule="auto"/>
        <w:tabs>
          <w:tab w:leader="none" w:pos="1116"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w:t>
      </w:r>
    </w:p>
    <w:p>
      <w:pPr>
        <w:spacing w:after="0" w:line="163"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16"/>
          <w:szCs w:val="16"/>
          <w:color w:val="auto"/>
        </w:rPr>
        <w:t>liquidation value. With respect to (i) and (ii) above, the interest is compounded at the rate for one - year United States Treasury obligations from time to time in effect.</w:t>
      </w:r>
    </w:p>
    <w:p>
      <w:pPr>
        <w:spacing w:after="0" w:line="97"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business combination provisions do not apply to a person after the expiration of four years after the person first became an interested stockholder.</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Control Share Acquisitions</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8" w:name="page109"/>
    <w:bookmarkEnd w:id="10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75" w:lineRule="auto"/>
        <w:rPr>
          <w:sz w:val="20"/>
          <w:szCs w:val="20"/>
          <w:color w:val="auto"/>
        </w:rPr>
      </w:pPr>
      <w:r>
        <w:rPr>
          <w:rFonts w:ascii="Times New Roman" w:cs="Times New Roman" w:eastAsia="Times New Roman" w:hAnsi="Times New Roman"/>
          <w:sz w:val="14"/>
          <w:szCs w:val="14"/>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w:t>
      </w:r>
    </w:p>
    <w:p>
      <w:pPr>
        <w:jc w:val="both"/>
        <w:ind w:left="900" w:right="900" w:firstLine="6"/>
        <w:spacing w:after="0" w:line="235" w:lineRule="auto"/>
        <w:tabs>
          <w:tab w:leader="none" w:pos="1117"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 corporation may elect to not be governed by, or “opt out” of, the control shares provisions by making an election in its articles of incorporation or bylaws, provided that the opt-out election must be in place on the 10 day following the date an acquiring person has acquired a controlling interest, that is, crossing any of the three thresholds 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 day following such occurrence.</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Transfer Agent</w:t>
      </w:r>
    </w:p>
    <w:p>
      <w:pPr>
        <w:spacing w:after="0" w:line="118" w:lineRule="exact"/>
        <w:rPr>
          <w:sz w:val="20"/>
          <w:szCs w:val="20"/>
          <w:color w:val="auto"/>
        </w:rPr>
      </w:pPr>
    </w:p>
    <w:p>
      <w:pPr>
        <w:ind w:left="900" w:right="940" w:firstLine="384"/>
        <w:spacing w:after="0" w:line="259" w:lineRule="auto"/>
        <w:rPr>
          <w:sz w:val="20"/>
          <w:szCs w:val="20"/>
          <w:color w:val="auto"/>
        </w:rPr>
      </w:pPr>
      <w:r>
        <w:rPr>
          <w:rFonts w:ascii="Times New Roman" w:cs="Times New Roman" w:eastAsia="Times New Roman" w:hAnsi="Times New Roman"/>
          <w:sz w:val="16"/>
          <w:szCs w:val="16"/>
          <w:color w:val="auto"/>
        </w:rPr>
        <w:t>The transfer agent for our common stock is Broadridge Corporate Issuer Solutions, Inc., 51 Mercedes Way, Edgewood, New York 11717.</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Our shares of common stock are listed on The Nasdaq Capital Market under the symbol “AGFY.”</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Pre-Funded Warrants to be Issued in this Offering</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following is a summary of the material terms and provisions of the Pre- Funded Warrants that are being offered hereby. This summary is subject to and qualified in its entirety by the form of Pre-Funded Warrants, which has been provided to the investors in this offering and which has been filed with the SEC as an exhibit to the registration statement of which this prospectus forms a part. Prospective investors should carefully review the terms and provisions of the form of Pre-Funded Warrant for a complete description of the terms and conditions of the Pre-Funded Warrants. All Pre-Funded Warrants will be issued in certificated form.</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General Terms of the Pre-Funded Warrants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Exercisability</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Pre-Funded Warrants will be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 A holder (together with its affiliates) may not exercise any portion of the Pre-Funded Warrant to the extent that the holder would own more than 4.99% of the outstanding common stock immediately after exercise (the “Pre-Funded Warrant Beneficial Ownership Limitation”), except that upon at least 61 days’ prior notice from the holder to us, the holder may increase the amount of ownership of outstanding stock after exercising the holder’s Pre-Funded Warrants up to 9.99% of the number of</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09" w:name="page110"/>
    <w:bookmarkEnd w:id="10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spacing w:after="0" w:line="243" w:lineRule="auto"/>
        <w:rPr>
          <w:sz w:val="20"/>
          <w:szCs w:val="20"/>
          <w:color w:val="auto"/>
        </w:rPr>
      </w:pPr>
      <w:r>
        <w:rPr>
          <w:rFonts w:ascii="Times New Roman" w:cs="Times New Roman" w:eastAsia="Times New Roman" w:hAnsi="Times New Roman"/>
          <w:sz w:val="16"/>
          <w:szCs w:val="16"/>
          <w:color w:val="auto"/>
        </w:rPr>
        <w:t>shares of our common stock outstanding immediately after giving effect to the exercise, as such percentage ownership is determined in accordance with the terms of the Pre- Funded Warrants. Purchasers of Pre-Funded Warrants in this offering may also elect prior to the issuance of the Pre-Funded Warrants to those purchasers to have the initial exercise limitation set at 9.99% of our outstanding common stock.</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Cashless Exercise</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If at the time of exercise there is no effective registration statement registering, or the prospectus contained therein is not available for issuance of the shares issuable upon exercise of the Pre-Funded Warrant, the holder may exercise the Pre-Funded Warrant on a cashless basis. When exercised on a cashless basis, a portion of the Pre-Funded Warrant is cancelled in payment of the purchase price payable in respect of the number of shares of our common stock purchasable upon such exercise.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Certain Adjustments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exercise price and number of shares of common stock issuable upon exercise of the warrants may be proportionally adjusted upon the occurrence of specific events, including stock dividends, stock splits, combinations and certain recapitalizations of our common stock.</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Rights Upon Distribution of Assets; Purchase Rights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we distribute assets, including cash dividends, any securities (other than a stock dividend described under “— Certain Adjustments”) or other property, to our stockholders, holders of Pre -Funded Warrants shall be entitled to participate in such distribution to the same extent that such holder would have participated had the holder held the number of shares of common stock acquirable upon complete exercise of its warrant. If such distribution would cause such holder to exceed the Pre-Funded Warrant Beneficial Ownership Limitation, the holder will not be entitled to participate in the distribution to such extent that the Pre-Funded Warrant Beneficial Ownership Limitation would be exceeded and the distribution will be held in abeyance for the holder’s benefit until such time or times, if ever, as would not result in the holder exceeding the Pre-Funded Warrant Beneficial Ownership Limitation.</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we grant, issue or sell pro rata to our stockholders, any options, convertible securities or rights to purchase stock, warrants, securities or other property, the Pre -Funded Warrant holders will be entitled to acquire such purchase rights to the same extent such holder would have acquired had the holder held the number of shares of common stock acquirable upon complete exercise of its warrant. If such right to participate in any such purchase rights would cause such holder to exceed the Pre-Funded Warrant Beneficial Ownership Limitation, then the holder will not be entitled to participate in such purchase right to such extent that the Pre-Funded Warrant Beneficial Ownership Limitation would be exceeded such purchase right, to the extent necessary to prevent such occurrence, will be held in abeyance for the holder’s benefit until such time or times, if ever, as would not result in the holder exceeding the Pre-Funded Warrant Beneficial Ownership Limitation.</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Transferability</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Subject to applicable laws and restrictions, a holder may transfer a Pre-Funded Warrant upon surrender of the Pre-Funded Warrant to us with a duly executed assignment in the form attached to the Pre-Funded Warrant. The transferring holder will be responsible for any tax that liability that may arise as a result of the transfer.</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 Listing</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There is no established public trading market for the Pre-Funded Warrants and we do not expect a market to develop. In addition, we do not intend to apply for listing of the Pre-Funded Warrants on any securities exchange or trading system. Without an active market, the liquidity of the Pre-Funded Warrants will be limited.</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Rights as a Stockholder</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Except as otherwise provided in the Pre-Funded Warrant or by virtue of a holder’s ownership of shares of our common stock, the holders of the Pre-Funded Warrants do not have the rights or privileges of holders of our common stock, including any voting rights, until they exercise their Pre-Funded Warrants.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0" w:name="page111"/>
    <w:bookmarkEnd w:id="11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Fundamental Transactions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exercise of the Pre-Funded Warrants, the holders of the Pre-Funded Warrants will have the right to receive any shares of the acquiring corporation or other consideration it would have been entitled to receive if it had been a holder of the number of shares of common stock then issuable upon exercise of the Pre-Funded Warrants.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Amendments and Waivers</w:t>
      </w:r>
    </w:p>
    <w:p>
      <w:pPr>
        <w:spacing w:after="0" w:line="118"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provisions of each Pre- Funded Warrant may be modified or amended or the provisions thereof waived with the written consent of us and the holder.</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No Fractional Shares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No fractional shares or scrip representing fractional shares shall be issued upon the exercise of the Pre-Funded Warrants. As to any fraction of a share which the holder would otherwise be entitled to purchase upon such exercise, we shall or shall cause, at our option, the payment of a cash adjustment in respect of such final fraction in an amount equal to such fraction multiplied by the exercise price of the Pre-Funded Warrant per whole share or round such fractional share up to the nearest whole share.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1" w:name="page112"/>
    <w:bookmarkEnd w:id="11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MATERIAL U.S. FEDERAL INCOME TAX CONSIDERATIONS</w:t>
      </w:r>
    </w:p>
    <w:p>
      <w:pPr>
        <w:spacing w:after="0" w:line="118"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The following discussion is a summary of certain material U.S. federal income tax consequences of (i) the purchase, ownership and disposition of shares of our common stock issued pursuant to this offering, or the Shares and (ii) the purchase, ownership and disposition of the pre-funded warrants. The Shares and pre-funded warrants are referred to collectively herein as our securities. This summary does not purport to be a complete analysis of all potential tax consequences relating to the purchase, ownership, exercise, lapse and disposition of our securities. The effects of other U.S. federal tax laws, such as estate and gift tax laws, and any applicable U.S. state or local or non-U.S. tax laws are not discussed, nor is the potential application of the alternative minimum tax, the Medicare contribution tax on net investment income, or the special tax accounting rules under Section 451(b) of the U.S. Internal Revenue Code of 1986, as amended, or the Code. This discussion is based on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holder. We have not sought and will not seek any rulings from the IRS regarding the matters discussed below. There can be no assurance the IRS or a court will not take a contrary position to that discussed below regarding the tax consequences of the purchase, ownership, exercise, lapse and disposition (as applicable) of our securities.</w:t>
      </w:r>
    </w:p>
    <w:p>
      <w:pPr>
        <w:spacing w:after="0" w:line="106"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This discussion is limited to holders that hold our securities as “capital assets” within the meaning of Section 1221 of the Code (generally, property held for investment). This discussion does not address all U.S. federal income tax consequences relevant to a holder’s particular circumstances. In addition, it does not address consequences relevant to holders subject to special rules, including, without limitation:</w:t>
      </w:r>
    </w:p>
    <w:p>
      <w:pPr>
        <w:spacing w:after="0" w:line="95" w:lineRule="exact"/>
        <w:rPr>
          <w:sz w:val="20"/>
          <w:szCs w:val="20"/>
          <w:color w:val="auto"/>
        </w:rPr>
      </w:pPr>
    </w:p>
    <w:p>
      <w:pPr>
        <w:ind w:left="1680" w:hanging="389"/>
        <w:spacing w:after="0"/>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that own or are deemed to own more than 5% of our capital stock;</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former citizens or long-term residents of the United States;</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for whom shares of our common stock or pre-funded warrants constitute “qualified small business stock” within the meaning of Section 1202 of the Code;</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our securities as part of a hedge, straddle or other risk reduction strategy or as part of a conversion transaction or other integrated investment;</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deemed to sell our securities under the constructive sale provisions of the Code;</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banks, insurance companies, and other financial institutions;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brokers, dealers or traders in securities or currencies;</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“controlled foreign corporations,” “passive foreign investment companies,” and corporations that accumulate earnings to avoid U.S. federal income tax;</w:t>
      </w:r>
    </w:p>
    <w:p>
      <w:pPr>
        <w:spacing w:after="0" w:line="83"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 corporations, partnerships or other entities or arrangements treated as partnerships for U.S. federal income tax purposes (and investors therein);</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organizations or governmental organizations;</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tax-qualified retirement plans;</w:t>
      </w:r>
    </w:p>
    <w:p>
      <w:pPr>
        <w:spacing w:after="0" w:line="116"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who hold or receive our securities pursuant to the exercise of employee stock options or otherwise as compensation; and</w:t>
      </w:r>
    </w:p>
    <w:p>
      <w:pPr>
        <w:spacing w:after="0" w:line="83" w:lineRule="exact"/>
        <w:rPr>
          <w:rFonts w:ascii="Times New Roman" w:cs="Times New Roman" w:eastAsia="Times New Roman" w:hAnsi="Times New Roman"/>
          <w:sz w:val="16"/>
          <w:szCs w:val="16"/>
          <w:color w:val="auto"/>
        </w:rPr>
      </w:pPr>
    </w:p>
    <w:p>
      <w:pPr>
        <w:ind w:left="1680" w:right="900" w:hanging="389"/>
        <w:spacing w:after="0" w:line="259" w:lineRule="auto"/>
        <w:tabs>
          <w:tab w:leader="none" w:pos="168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“qualified foreign pension funds” as defined in Section 897(l)(2) of the Code and entities all of the interests of which are held by one or more qualified foreign pension funds.</w:t>
      </w:r>
    </w:p>
    <w:p>
      <w:pPr>
        <w:spacing w:after="0" w:line="8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If an entity or arrangement treated as a partnership for U.S. federal income tax purposes holds our securities, the tax treatment of a partner in such partnership will depend on the status of the partner, the activities of the partnership and certain determinations made at the partner level. Accordingly, partnerships holding securities and the partners in such partnerships should consult their tax advisors regarding the U.S. federal income tax consequences to them.</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2" w:name="page113"/>
    <w:bookmarkEnd w:id="11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4" w:lineRule="exact"/>
        <w:rPr>
          <w:sz w:val="20"/>
          <w:szCs w:val="20"/>
          <w:color w:val="auto"/>
        </w:rPr>
      </w:pPr>
    </w:p>
    <w:p>
      <w:pPr>
        <w:jc w:val="both"/>
        <w:ind w:left="900" w:right="940" w:firstLine="384"/>
        <w:spacing w:after="0" w:line="239" w:lineRule="auto"/>
        <w:rPr>
          <w:sz w:val="20"/>
          <w:szCs w:val="20"/>
          <w:color w:val="auto"/>
        </w:rPr>
      </w:pPr>
      <w:r>
        <w:rPr>
          <w:rFonts w:ascii="Times New Roman" w:cs="Times New Roman" w:eastAsia="Times New Roman" w:hAnsi="Times New Roman"/>
          <w:sz w:val="16"/>
          <w:szCs w:val="16"/>
          <w:b w:val="1"/>
          <w:bCs w:val="1"/>
          <w:color w:val="auto"/>
        </w:rPr>
        <w:t>THIS DISCUSSION IS NOT TAX ADVICE. INVESTORS SHOULD CONSULT THEIR TAX ADVISORS WITH RESPECT TO THE APPLICATION OF THE U.S. FEDERAL INCOME TAX LAWS TO THEIR PARTICULAR SITUATIONS AS WELL AS ANY TAX CONSEQUENCES OF THE PURCHASE, OWNERSHIP, EXERCISE, LAPSE AND DISPOSITION OF OUR SECURITIES ARISING UNDER THE U.S. FEDERAL ESTATE OR GIFT TAX LAWS OR UNDER THE LAWS OF ANY U.S. STATE OR LOCAL OR NON-U.S. TAXING JURISDICTION OR UNDER ANY APPLICABLE INCOME TAX TREATY.</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Treatment of Pre-Funded Warrants</w:t>
      </w:r>
    </w:p>
    <w:p>
      <w:pPr>
        <w:spacing w:after="0" w:line="118"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Although it is not entirely free from doubt, a pre-funded warrant should be treated as a share of our common stock for U.S. federal income tax purposes and a holder of pre-funded warrants should generally be taxed in the same manner as a holder of such shares, as described below. Accordingly, no gain or loss should be recognized upon the exercise of a pre-funded warrant and, upon exercise, the holding period of a pre-funded warrant should carry over to the share received. Similarly, the tax basis of the pre-funded warrant should carry over to the share received upon exercise, increased by the exercise price of $0.001 per share. If a pre-funded warrant expires without being exercised, the holder should recognize a capital loss in an amount equal to such holder’s tax basis in the pre-funded warrant. This loss will be long- term capital loss if, at the time of the expiration, the holder’s holding period in the pre-funded warrant is more than one year. The deductibility of capital losses is subject to limitations.</w:t>
      </w:r>
    </w:p>
    <w:p>
      <w:pPr>
        <w:spacing w:after="0" w:line="7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Our characterization is not binding on the IRS, and the IRS may treat our pre- funded warrants as warrants to acquire shares of our common stock. In that case, the amount and character of your gain with respect to an investment in our pre-funded warrants could be materially different than the discussion set forth below. Accordingly, each holder should consult his, her or its tax advisor regarding the risks associated with the acquisition of pre-funded warrants pursuant to this offering (including potential alternative characterizations). The balance of this discussion generally assumes that a pre-funded warrant is treated as a share of our common stock for U.S. federal income tax purposes.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Tax Considerations Applicable to U.S. Holders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Definition of U.S. Holder</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In general, a “U.S. holder” means a beneficial owner of our securities (other than a partnership or an entity or arrangement treated as a partnership for U.S. federal income tax purposes) that is, for U.S. federal income tax purposes:</w:t>
      </w:r>
    </w:p>
    <w:p>
      <w:pPr>
        <w:spacing w:after="0" w:line="92" w:lineRule="exact"/>
        <w:rPr>
          <w:sz w:val="20"/>
          <w:szCs w:val="20"/>
          <w:color w:val="auto"/>
        </w:rPr>
      </w:pPr>
    </w:p>
    <w:p>
      <w:pPr>
        <w:ind w:left="1680" w:hanging="389"/>
        <w:spacing w:after="0"/>
        <w:tabs>
          <w:tab w:leader="none" w:pos="16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16" w:lineRule="exact"/>
        <w:rPr>
          <w:rFonts w:ascii="Times New Roman" w:cs="Times New Roman" w:eastAsia="Times New Roman" w:hAnsi="Times New Roman"/>
          <w:sz w:val="16"/>
          <w:szCs w:val="16"/>
          <w:color w:val="auto"/>
        </w:rPr>
      </w:pPr>
    </w:p>
    <w:p>
      <w:pPr>
        <w:jc w:val="both"/>
        <w:ind w:left="1680" w:right="900" w:hanging="389"/>
        <w:spacing w:after="0" w:line="247" w:lineRule="auto"/>
        <w:tabs>
          <w:tab w:leader="none" w:pos="16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 regardless of its source; or</w:t>
      </w:r>
    </w:p>
    <w:p>
      <w:pPr>
        <w:spacing w:after="0" w:line="116" w:lineRule="exact"/>
        <w:rPr>
          <w:rFonts w:ascii="Times New Roman" w:cs="Times New Roman" w:eastAsia="Times New Roman" w:hAnsi="Times New Roman"/>
          <w:sz w:val="16"/>
          <w:szCs w:val="16"/>
          <w:color w:val="auto"/>
        </w:rPr>
      </w:pPr>
    </w:p>
    <w:p>
      <w:pPr>
        <w:jc w:val="both"/>
        <w:ind w:left="1680" w:right="920" w:hanging="389"/>
        <w:spacing w:after="0" w:line="299" w:lineRule="auto"/>
        <w:tabs>
          <w:tab w:leader="none" w:pos="1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Distributions on the Shares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As described in the section titled “Dividend Policy,” we do not anticipate declaring any cash dividends to holders of common stock in the foreseeable future. However, if we do make distributions (including constructive distributions as described below) on our Shares, such distributions will constitute dividends to the extent paid from our current or accumulated earnings and profits, as determined under U.S. federal income tax principles, and will be includible in your income as ordinary income when received. However, with respect to dividends received by individuals, such dividends generally are taxed under current law at applicable long- term capital gains rates, provided certain holding period requirements are satisfied. If a distribution exceeds our current and accumulated earnings and profits, the excess will be treated as a tax-free return of the U.S. holder’s investment, up to such U.S. holder’s adjusted tax basis in the Shares. Any remaining excess will be treated as capital gain from the sale or exchange of such Shares, as applicable, subject to the tax treatment described below in “— Sale or Other Taxable Disposition of Our Securities.”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3" w:name="page114"/>
    <w:bookmarkEnd w:id="11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Constructive Dividends on Pre-Funded Warrants</w:t>
      </w:r>
    </w:p>
    <w:p>
      <w:pPr>
        <w:spacing w:after="0" w:line="118" w:lineRule="exact"/>
        <w:rPr>
          <w:sz w:val="20"/>
          <w:szCs w:val="20"/>
          <w:color w:val="auto"/>
        </w:rPr>
      </w:pPr>
    </w:p>
    <w:p>
      <w:pPr>
        <w:jc w:val="both"/>
        <w:ind w:left="900" w:right="900" w:firstLine="384"/>
        <w:spacing w:after="0" w:line="272" w:lineRule="auto"/>
        <w:rPr>
          <w:sz w:val="20"/>
          <w:szCs w:val="20"/>
          <w:color w:val="auto"/>
        </w:rPr>
      </w:pPr>
      <w:r>
        <w:rPr>
          <w:rFonts w:ascii="Times New Roman" w:cs="Times New Roman" w:eastAsia="Times New Roman" w:hAnsi="Times New Roman"/>
          <w:sz w:val="14"/>
          <w:szCs w:val="14"/>
          <w:color w:val="auto"/>
        </w:rPr>
        <w:t>Under Section 305 of the Code, an adjustment to (or failure to adjust) the number of shares that will be issued on the exercise of the pre-funded warrants, or an adjustment to (or failure to adjust) the exercise price of the pre- funded warrants, may be treated as a constructive distribution to a U.S. holder of the pre-funded warrants if, and to the extent that, such adjustment (or failure to adjust) has the effect of increasing such U.S. holder’s proportionate interest in our assets or earnings and profits as determined under U.S. federal income tax principles, depending on the circumstances of such adjustment (for example, if such adjustment is to compensate for a distribution of cash or other property to our shareholders). U.S. holders should consult their tax advisors as to</w:t>
      </w:r>
    </w:p>
    <w:p>
      <w:pPr>
        <w:spacing w:after="0" w:line="1" w:lineRule="exact"/>
        <w:rPr>
          <w:sz w:val="20"/>
          <w:szCs w:val="20"/>
          <w:color w:val="auto"/>
        </w:rPr>
      </w:pPr>
    </w:p>
    <w:p>
      <w:pPr>
        <w:jc w:val="both"/>
        <w:ind w:left="900" w:right="900" w:firstLine="6"/>
        <w:spacing w:after="0" w:line="235" w:lineRule="auto"/>
        <w:tabs>
          <w:tab w:leader="none" w:pos="112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 constructive dividend deemed paid to a non-corporate U.S. holder would be eligible for the preferential rates of U.S. federal income tax applicable in respect of certain dividends received, (ii) whether corporate holders would be entitled to claim the dividends received deduction with respect to any such constructive dividends, and (iii) the general treatment of constructive distributions under their particular circumstances. Because a constructive dividend deemed received by a U.S. holder would not give rise to any cash from which any applicable withholding could be satisfied, if backup withholding is paid on behalf of a U.S. holder (because such U.S. holder failed to establish an exemption from backup withholding), such backup withholding may be set off against payments on the pre-funded warrants or Shares, or offset against other assets of such U.S. holder. Generally, a U.S. holder’s adjusted tax basis in pre -funded warrant should be increased to the extent any such constructive distribution is treated as a dividend. U.S. holders should consult their tax advisors on the impact a constructive distribution may have on their holding period in the securities.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Sale or Other Taxable Disposition of Our Securities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Upon the sale, exchange or other taxable disposition of the Shares or pre-funded warrants, a U.S. holder will generally recognize capital gain or loss equal to the difference between the amount of cash and the fair market value of any property received upon the sale, exchange or other taxable disposition and such U.S. holder’s adjusted tax basis in such securities. This capital gain or loss will be long -term capital gain or loss if the U.S. holder’s holding period in such securities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limitations.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Backup Withholding and Information Reporting</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 U.S. holder may be subject to information reporting and backup withholding when such holder receives payments on our securities (including constructive dividends) or receives proceeds from the sale or other taxable disposition of our securities. Certain U.S. holders are exempt from backup withholding, including C corporations and certain tax-exempt organizations. A U.S. holder will be subject to backup withholding if such holder is not otherwise exempt and such holder:</w:t>
      </w:r>
    </w:p>
    <w:p>
      <w:pPr>
        <w:spacing w:after="0" w:line="97" w:lineRule="exact"/>
        <w:rPr>
          <w:sz w:val="20"/>
          <w:szCs w:val="20"/>
          <w:color w:val="auto"/>
        </w:rPr>
      </w:pPr>
    </w:p>
    <w:p>
      <w:pPr>
        <w:ind w:left="1680" w:right="940" w:hanging="389"/>
        <w:spacing w:after="0" w:line="259" w:lineRule="auto"/>
        <w:tabs>
          <w:tab w:leader="none" w:pos="16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fails to furnish the holder’s taxpayer identification number, which for an individual is ordinarily his or her social security number;</w:t>
      </w:r>
    </w:p>
    <w:p>
      <w:pPr>
        <w:spacing w:after="0" w:line="83"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furnishes an incorrect taxpayer identification number;</w:t>
      </w:r>
    </w:p>
    <w:p>
      <w:pPr>
        <w:spacing w:after="0" w:line="116" w:lineRule="exact"/>
        <w:rPr>
          <w:rFonts w:ascii="Times New Roman" w:cs="Times New Roman" w:eastAsia="Times New Roman" w:hAnsi="Times New Roman"/>
          <w:sz w:val="16"/>
          <w:szCs w:val="16"/>
          <w:color w:val="auto"/>
        </w:rPr>
      </w:pPr>
    </w:p>
    <w:p>
      <w:pPr>
        <w:ind w:left="1680" w:right="920" w:hanging="389"/>
        <w:spacing w:after="0" w:line="259" w:lineRule="auto"/>
        <w:tabs>
          <w:tab w:leader="none" w:pos="1680"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notified by the IRS that the holder previously failed to properly report payments of interest or dividends; or</w:t>
      </w:r>
    </w:p>
    <w:p>
      <w:pPr>
        <w:spacing w:after="0" w:line="83" w:lineRule="exact"/>
        <w:rPr>
          <w:rFonts w:ascii="Times New Roman" w:cs="Times New Roman" w:eastAsia="Times New Roman" w:hAnsi="Times New Roman"/>
          <w:sz w:val="16"/>
          <w:szCs w:val="16"/>
          <w:color w:val="auto"/>
        </w:rPr>
      </w:pPr>
    </w:p>
    <w:p>
      <w:pPr>
        <w:ind w:left="1680" w:right="920" w:hanging="389"/>
        <w:spacing w:after="0" w:line="331" w:lineRule="auto"/>
        <w:tabs>
          <w:tab w:leader="none" w:pos="16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fails to certify under penalties of perjury that the holder has furnished a correct taxpayer identification number and that the IRS has not notified the holder that the holder is subject to backup withholding.</w:t>
      </w:r>
    </w:p>
    <w:p>
      <w:pPr>
        <w:spacing w:after="0" w:line="36"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4" w:name="page115"/>
    <w:bookmarkEnd w:id="11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Tax Considerations Applicable to Non-U.S. Holders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Definition of Non-U.S. Holder</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Distributions and Constructive Distributions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As described in the section titled “Dividend Policy,” we do not anticipate declaring any cash dividends to holders of Common Stock in the foreseeable future. However, if we do make distributions of cash or property on the Shares, or if any deemed dividends result from certain adjustments, or failure to make adjustments, to the conversion rate or exercise price of the pre-funded warrants, as described above under “Tax Considerations Applicable to U.S. Holders — Constructive Dividends on Pre-Funded Warrants,” such actual or deemed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Shares or pre-funded warrants, but not below zero. Any excess will be treated as capital gain and will be treated as described below under “— Sale or Other Taxable Disposition of Our Securities.”</w:t>
      </w:r>
    </w:p>
    <w:p>
      <w:pPr>
        <w:spacing w:after="0" w:line="10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Subject to the discussion below on effectively connected income, backup withholding and FATCA, dividends paid or deemed paid to a non-U.S. holder will be subject to U.S. federal withholding tax at a rate of 30% of the gross amount of the actual or deemed dividends (or such lower rate specified by an applicable income tax treaty, provided the non-U.S. holder furnishes a valid IRS Form W-8BEN or W-8BEN-E (or other applicable documentation) certifying qualification for the lower treaty rate). Because a constructive dividend deemed received by a non-U.S. holder would not give rise to any cash from which any applicable withholding tax could be satisfied, if withholding taxes are paid on behalf of a non-U.S. holder, those withholding taxes may be set off against payments of cash on the Shares or pre-funded warrants or sales proceeds received by or other funds or assets of such non-U.S. holder. A non- U.S. holder that does not timely furnish the required documentation, but that qualifies for a reduced treaty rate of U.S. federal withholding tax, may obtain a refund of any excess amounts withheld by timely filing an appropriate claim for refund with the IRS. Non-U.S. holders should consult their tax advisors regarding their entitlement to benefits under any applicable income tax treaties.</w:t>
      </w:r>
    </w:p>
    <w:p>
      <w:pPr>
        <w:spacing w:after="0" w:line="10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If dividends paid or deemed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w:t>
      </w:r>
    </w:p>
    <w:p>
      <w:pPr>
        <w:spacing w:after="0" w:line="10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Non- U.S. holders should consult their tax advisors regarding any applicable income tax treaties that may provide for different rules.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Sale or Other Taxable Disposition of Our Securities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Subject to the discussions below regarding backup withholding and FATCA, a non -U.S. holder will not be subject to U.S. federal income tax on any gain realized upon the sale or other taxable disposition of our securities unless:</w:t>
      </w:r>
    </w:p>
    <w:p>
      <w:pPr>
        <w:spacing w:after="0" w:line="92" w:lineRule="exact"/>
        <w:rPr>
          <w:sz w:val="20"/>
          <w:szCs w:val="20"/>
          <w:color w:val="auto"/>
        </w:rPr>
      </w:pPr>
    </w:p>
    <w:p>
      <w:pPr>
        <w:jc w:val="both"/>
        <w:ind w:left="1680" w:right="920" w:hanging="389"/>
        <w:spacing w:after="0" w:line="247" w:lineRule="auto"/>
        <w:tabs>
          <w:tab w:leader="none" w:pos="1680"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5" w:name="page116"/>
    <w:bookmarkEnd w:id="11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1680" w:right="900" w:hanging="389"/>
        <w:spacing w:after="0" w:line="247" w:lineRule="auto"/>
        <w:tabs>
          <w:tab w:leader="none" w:pos="16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non-U.S. holder is a nonresident alien individual present in the United States for a period or periods aggregating 183 days or more during the taxable year of the disposition and certain other requirements are met; or</w:t>
      </w:r>
    </w:p>
    <w:p>
      <w:pPr>
        <w:spacing w:after="0" w:line="92" w:lineRule="exact"/>
        <w:rPr>
          <w:rFonts w:ascii="Times New Roman" w:cs="Times New Roman" w:eastAsia="Times New Roman" w:hAnsi="Times New Roman"/>
          <w:sz w:val="16"/>
          <w:szCs w:val="16"/>
          <w:color w:val="auto"/>
        </w:rPr>
      </w:pPr>
    </w:p>
    <w:p>
      <w:pPr>
        <w:jc w:val="both"/>
        <w:ind w:left="1680" w:right="900" w:hanging="389"/>
        <w:spacing w:after="0" w:line="247" w:lineRule="auto"/>
        <w:tabs>
          <w:tab w:leader="none" w:pos="168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at any time during the five-year period preceding such disposition (or the non-U.S. holder’s holding period, if shorter) a “U.S. real property holding corporation”, or USRPHC, for U.S. federal income tax purposes.</w:t>
      </w:r>
    </w:p>
    <w:p>
      <w:pPr>
        <w:spacing w:after="0" w:line="92"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Gain described in the first bullet point above generally will be subject to U.S. federal income tax on a net income basis at the regular rates applicable to United States persons (as defined in the Code) . A non -U.S. holder that is a corporation also may be subject to a branch profits tax at a rate of 30% (or such lower rate specified by an applicable income tax treaty) on such effectively connected gain, as adjusted for certain items.</w:t>
      </w:r>
    </w:p>
    <w:p>
      <w:pPr>
        <w:spacing w:after="0" w:line="95"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65" w:lineRule="exact"/>
        <w:rPr>
          <w:sz w:val="20"/>
          <w:szCs w:val="20"/>
          <w:color w:val="auto"/>
        </w:rPr>
      </w:pPr>
    </w:p>
    <w:p>
      <w:pPr>
        <w:jc w:val="both"/>
        <w:ind w:left="900" w:right="900" w:firstLine="384"/>
        <w:spacing w:after="0" w:line="236" w:lineRule="auto"/>
        <w:rPr>
          <w:sz w:val="20"/>
          <w:szCs w:val="20"/>
          <w:color w:val="auto"/>
        </w:rPr>
      </w:pPr>
      <w:r>
        <w:rPr>
          <w:rFonts w:ascii="Times New Roman" w:cs="Times New Roman" w:eastAsia="Times New Roman" w:hAnsi="Times New Roman"/>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worldwide real property interests and our other business assets, there can be no assurance we currently are not a USRPHC or that we will not become one in the future. Even if we are or were to become a USRPHC, gain arising from the sale or other taxable disposition of the shares or common stock by a non-U.S. holder will not be subject to U.S. federal income tax if our common stock is (and assuming that our pre-funded warrants are not)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 U.S. holder’s holding period. It is unclear how a non-U.S. holder’s ownership of pre-funded warrants impacts the determination of the 5% threshold with respect to such non-U.S. holder’s actual or constructive ownership of our common stock. There can be no assurance that our common stock will be or continue to be regularly traded on an established securities market. Our pre-funded warrants are not expected to be regularly traded on an established securities market. Dispositions by a non-U.S. holder of pre-funded warrants also may not be subject to U.S. federal income tax, even if we are treated as a U.S. real property holding corporation, if on the date such pre -funded warrants were acquired by such non-U.S. holder, such holdings had a fair market value no greater than the fair market value on that date of 5% of our common stock (if it is regularly traded on an established securities market), provided that, if such non-U.S. holder subsequently acquires additional pre-funded warrants, then such interests would be aggregated and valued as of the date of the subsequent acquisition to apply this 5% limitation.</w:t>
      </w:r>
    </w:p>
    <w:p>
      <w:pPr>
        <w:spacing w:after="0" w:line="10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Non- U.S. holders should consult their tax advisors regarding any applicable income tax treaties that may provide for different rules.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Information Reporting and Backup Withholding</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Payments of distributions on our securities (and constructive distributions deemed paid) will not be subject to backup withholding, provided the non -U.S. holder certifies its non-U.S. status, such as by furnishing a valid IRS Form W -8BEN, W- 8BEN-E or W-8ECI, or otherwise establishes an exemption. However, information returns are required to be filed with the IRS in connection with any distributions paid or deemed paid to the non-U.S. holder, regardless of whether any tax was actually withheld. In addition, proceeds of the sale or other taxable disposition of our securities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or pre-funded warrants conducted through a non-U.S. office of a non-U.S. broker that does not have certain enumerated relationships with the United States generally will not be subject to backup withholding or information reporting.</w:t>
      </w:r>
    </w:p>
    <w:p>
      <w:pPr>
        <w:spacing w:after="0" w:line="10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6" w:name="page117"/>
    <w:bookmarkEnd w:id="11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i w:val="1"/>
          <w:iCs w:val="1"/>
          <w:color w:val="auto"/>
        </w:rPr>
        <w:t>Additional Withholding Tax on Payments Made to Foreign Accounts</w:t>
      </w:r>
    </w:p>
    <w:p>
      <w:pPr>
        <w:spacing w:after="0" w:line="118" w:lineRule="exact"/>
        <w:rPr>
          <w:sz w:val="20"/>
          <w:szCs w:val="20"/>
          <w:color w:val="auto"/>
        </w:rPr>
      </w:pPr>
    </w:p>
    <w:p>
      <w:pPr>
        <w:jc w:val="both"/>
        <w:ind w:left="900" w:right="900" w:firstLine="384"/>
        <w:spacing w:after="0" w:line="272"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 - U.S. financial institutions and certain other non-U.S. entities. Specifically, a 30% withholding tax may be imposed on actual or deemed dividends on, or (subject to the proposed Treasury Regulations discussed below) gross proceeds from the sale or other disposition of, our securities paid to a “foreign financial institution” or a “non-financial foreign entity” (each as defined in the Code), unless (1) the foreign financial institution undertakes certain diligence and reporting obligations, (2) the non -financial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64"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Under applicable Treasury Regulations and administrative guidance, withholding under FATCA generally applies to payments of actual or deemed dividends on our securities. Proposed Treasury Regulations eliminate FATCA withholding on payments of gross proceeds from the sale or other disposition of our securities. Taxpayers generally may rely on these proposed Treasury Regulations until final Treasury Regulations are issued.</w:t>
      </w:r>
    </w:p>
    <w:p>
      <w:pPr>
        <w:spacing w:after="0" w:line="6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Prospective investors should consult their tax advisors regarding the potential application of withholding under FATCA to their investment in our securities.</w:t>
      </w:r>
    </w:p>
    <w:p>
      <w:pPr>
        <w:spacing w:after="0" w:line="81" w:lineRule="exact"/>
        <w:rPr>
          <w:sz w:val="20"/>
          <w:szCs w:val="20"/>
          <w:color w:val="auto"/>
        </w:rPr>
      </w:pPr>
    </w:p>
    <w:p>
      <w:pPr>
        <w:jc w:val="both"/>
        <w:ind w:left="900" w:right="920" w:firstLine="384"/>
        <w:spacing w:after="0" w:line="290" w:lineRule="auto"/>
        <w:rPr>
          <w:sz w:val="20"/>
          <w:szCs w:val="20"/>
          <w:color w:val="auto"/>
        </w:rPr>
      </w:pPr>
      <w:r>
        <w:rPr>
          <w:rFonts w:ascii="Times New Roman" w:cs="Times New Roman" w:eastAsia="Times New Roman" w:hAnsi="Times New Roman"/>
          <w:sz w:val="14"/>
          <w:szCs w:val="14"/>
          <w:b w:val="1"/>
          <w:bCs w:val="1"/>
          <w:color w:val="auto"/>
        </w:rPr>
        <w:t>EACH PROSPECTIVE INVESTOR SHOULD CONSULT ITS TAX ADVISOR REGARDING THE PARTICULAR U.S. FEDERAL, STATE AND LOCAL AND NON-U.S. TAX CONSEQUENCES OF THE PURCHASE, OWNERSHIP, EXERCISE, LAPSE AND DISPOSITION OF OUR SECURITIES, INCLUDING THE CONSEQUENCES OF ANY PROPOSED CHANGE IN APPLICABLE LAWS.</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7" w:name="page118"/>
    <w:bookmarkEnd w:id="11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PLAN OF DISTRIBUTION</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Pursuant to a placement agency agreement, we have engaged Alexander Capital, L.P. (the “Placement Agent”) to act as our exclusive placement agent to solicit offers to purchase the securities offered by this prospectus on a reasonable best-efforts basis. The Placement Agent is not purchasing or selling any securities, nor is it required to arrange for the purchase and sale of any specific number or dollar amount of securities, other than to use its “reasonable best efforts” to arrange for the sale of the securities by us. Therefore, we may not sell the entire amount of securities being offered, or any at all. The Placement Agent may engage one or more subagents or selected dealers in connection with this offering.</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will enter into subscription agreements directly with investors who purchase our securities in this offering. The Placement Agent may engage one or more subagents or selected dealers in connection with this offering.</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We will deliver the securities being issued to the investors upon receipt of investor funds for the purchase of the securities offered pursuant to this prospectus. We will deliver the securities being offered pursuant to this prospectus upon closing.</w:t>
      </w:r>
    </w:p>
    <w:p>
      <w:pPr>
        <w:spacing w:after="0" w:line="92"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We will pay the Placement Agent a cash transaction fee equal to 7.0% of the aggregate gross proceeds to us from the sale of the securities in the offering. In addition, we will reimburse the Placement Agent for a certain amount of its accountable expenses including actual accountable road show expenses for the offering; the cost associated with the Placement Agent’s use of book -building and compliance software for the Offering, reasonable and documented fees and disbursements of the Placement Agent’s counsel up to an amount of $75,000 (which maximum shall apply solely to such fees and disbursements of counsel and not to other fees and expenses provided for in this paragraph); background checks of our officers and directors; preparation of bound volumes and Lucite cube mementos in such quantities as the Placement Agent may reasonably request; provided that these actual accountable expenses of the placement agent shall not exceed $100,000, including the fees and disbursements of the Placement Agent’s counsel. Prior to the signing of the placement agency agreement, we did not pay the Placement Agent any advance to be credited against the up to $100,000 accountable expenses actually incurred by the Placement Agent in connection with the Offering.</w:t>
      </w:r>
    </w:p>
    <w:p>
      <w:pPr>
        <w:spacing w:after="0" w:line="100" w:lineRule="exact"/>
        <w:rPr>
          <w:sz w:val="20"/>
          <w:szCs w:val="20"/>
          <w:color w:val="auto"/>
        </w:rPr>
      </w:pPr>
    </w:p>
    <w:p>
      <w:pPr>
        <w:jc w:val="both"/>
        <w:ind w:left="900" w:right="900" w:firstLine="384"/>
        <w:spacing w:after="0" w:line="234" w:lineRule="auto"/>
        <w:rPr>
          <w:sz w:val="20"/>
          <w:szCs w:val="20"/>
          <w:color w:val="auto"/>
        </w:rPr>
      </w:pPr>
      <w:r>
        <w:rPr>
          <w:rFonts w:ascii="Times New Roman" w:cs="Times New Roman" w:eastAsia="Times New Roman" w:hAnsi="Times New Roman"/>
          <w:sz w:val="16"/>
          <w:szCs w:val="16"/>
          <w:color w:val="auto"/>
        </w:rPr>
        <w:t xml:space="preserve">We will, at the closing, grant to Alexander Capital, L.P (or such other recipient as designated by the Placement Agent) securities purchase warrants for 67,237 shares of common stock (the “Placement Agent Warrants”) (equal to one percent (1.0%) of the total number of securities being issued in this offering). The Placement Agent Warrants will be non -exercisable for one hundred eighty (180) days beginning on the date of commencement of sales of the securities being offering in this offering. Following this one hundred eighty (180) day period, the Placement Agent Warrants will be exercisable until the fifth (5 </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year anniversary of commencement of sales of the securities being offered in this offering. The Placement Agent Warrants will be exercisable at a price per share equal to 100% of the price of the securities paid by the purchasers in connection with this offering. The Placement Agent Warrants will not be redeemable. The Placement Agent Warrants (and the underlying securities) may not be sold, transferred, assigned, pledged, or hypothecated, or be the subject of any hedging, short sale, derivative, put, or call transaction that would result in the effective economic disposition of the Placement Agent Warrants (or the underlying securities) for a period of one hundred eighty (180) days beginning on the date of commencement of sales of the securities being offered in this offering. The Placement Agent Warrants, however, may be assigned, in whole or in part, to any successor, officer or member of the Placement Agent (or to officers or partners of any such successor or member) pursuant to FINRA Rule 5110(e)(2). There are no registration rights associated with the Placement Agent Warrants. The Placement Agent Warrants may be exercised in whole or in part, shall provide for “cashless” exercise, and shall provide for customary anti-dilution and price protection.</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8" w:name="page119"/>
    <w:bookmarkEnd w:id="11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6"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following table shows the combined public offering price, placement agent fees and proceeds before expenses to us. Because there is no minimum offering amount required as a condition to closing in this offering, the actual total placement agent fees, if any, are not presently determinable and may be substantially less than the maximum amount set forth below.</w:t>
      </w:r>
    </w:p>
    <w:p>
      <w:pPr>
        <w:spacing w:after="0" w:line="130"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190"/>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Amount</w:t>
            </w:r>
          </w:p>
        </w:tc>
      </w:tr>
      <w:tr>
        <w:trPr>
          <w:trHeight w:val="28"/>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0.379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2,551,036.24</w:t>
            </w:r>
          </w:p>
        </w:tc>
        <w:tc>
          <w:tcPr>
            <w:tcW w:w="20" w:type="dxa"/>
            <w:vAlign w:val="bottom"/>
          </w:tcPr>
          <w:p>
            <w:pPr>
              <w:spacing w:after="0"/>
              <w:rPr>
                <w:sz w:val="19"/>
                <w:szCs w:val="19"/>
                <w:color w:val="auto"/>
              </w:rPr>
            </w:pPr>
          </w:p>
        </w:tc>
      </w:tr>
      <w:tr>
        <w:trPr>
          <w:trHeight w:val="257"/>
        </w:trPr>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Placement agent fee (7%)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0.0266</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0.02653</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178,572.54</w:t>
            </w:r>
          </w:p>
        </w:tc>
        <w:tc>
          <w:tcPr>
            <w:tcW w:w="20" w:type="dxa"/>
            <w:vAlign w:val="bottom"/>
          </w:tcPr>
          <w:p>
            <w:pPr>
              <w:spacing w:after="0"/>
              <w:rPr>
                <w:sz w:val="22"/>
                <w:szCs w:val="22"/>
                <w:color w:val="auto"/>
              </w:rPr>
            </w:pPr>
          </w:p>
        </w:tc>
      </w:tr>
      <w:tr>
        <w:trPr>
          <w:trHeight w:val="225"/>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Agrify Corporation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0.3534</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0.35247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2,372,463.70</w:t>
            </w:r>
          </w:p>
        </w:tc>
        <w:tc>
          <w:tcPr>
            <w:tcW w:w="20" w:type="dxa"/>
            <w:vAlign w:val="bottom"/>
          </w:tcPr>
          <w:p>
            <w:pPr>
              <w:spacing w:after="0"/>
              <w:rPr>
                <w:sz w:val="19"/>
                <w:szCs w:val="19"/>
                <w:color w:val="auto"/>
              </w:rPr>
            </w:pPr>
          </w:p>
        </w:tc>
      </w:tr>
      <w:tr>
        <w:trPr>
          <w:trHeight w:val="26"/>
        </w:trPr>
        <w:tc>
          <w:tcPr>
            <w:tcW w:w="39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We estimate that the total expenses of the offering payable by us, excluding the placement agent fees and the reimbursement of the placement agent’s accountable expenses, will be approximately $110,000.</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Lock-up Agreements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have agreed with the Placement Agent that we will not, without the prior consent of the Placement Agent, and subject to certain exceptions, directly or indirectly sell, offer, contract or grant any option to sell, pledge, transfer, or otherwise dispose of or enter into any transaction which may result in the disposition of any common stock or securities convertible into, exchangeable or exercisable for any common stock for a period of 180 days after the closing of this offering.</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Indemnification</w:t>
      </w:r>
    </w:p>
    <w:p>
      <w:pPr>
        <w:spacing w:after="0" w:line="118" w:lineRule="exact"/>
        <w:rPr>
          <w:sz w:val="20"/>
          <w:szCs w:val="20"/>
          <w:color w:val="auto"/>
        </w:rPr>
      </w:pPr>
    </w:p>
    <w:p>
      <w:pPr>
        <w:jc w:val="both"/>
        <w:ind w:left="900" w:right="920" w:firstLine="384"/>
        <w:spacing w:after="0" w:line="299" w:lineRule="auto"/>
        <w:rPr>
          <w:sz w:val="20"/>
          <w:szCs w:val="20"/>
          <w:color w:val="auto"/>
        </w:rPr>
      </w:pPr>
      <w:r>
        <w:rPr>
          <w:rFonts w:ascii="Times New Roman" w:cs="Times New Roman" w:eastAsia="Times New Roman" w:hAnsi="Times New Roman"/>
          <w:sz w:val="14"/>
          <w:szCs w:val="14"/>
          <w:color w:val="auto"/>
        </w:rPr>
        <w:t>We have agreed to indemnify the Placement Agent against certain liabilities, including liabilities under the Securities Act and liabilities arising from breaches of representations and warranties contained in the agreement, or to contribute to payments that the Placement Agent may be required to make in respect of those liabilities.</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Determination of Offering Price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public offering price of the shares and pre- funded warrants we are offering was negotiated between us, the Placement Agent and the investors in the offering based on the trading price of our shares prior to the offering, among other things, including a discount to the trading price. Other factors considered in determining the public offering price of the shares and pre-funded warrants we are offering include our history and prospects, the stage of development of our business, our business plans for the future and the extent to which they have been implemented, an assessment of our management, the general conditions of the securities markets at the time of the offering and such other factors as were deemed relevant.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Our common stock is quoted on the Nasdaq Capital Market under the symbol “AGFY.”</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Regulation M</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Placement Agent may be deemed to be an underwriter within the meaning of Section 2(a)(11) of the Securities Act, and any commissions received by it and any profit realized on the resale of the securities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acting as principal. Under these rules and regulations, the Placement Agent (i) may not engage in any stabilization activity in connection with our securities and (ii) may not bid for or purchase any of our securities or attempt to induce any person to purchase any of our securities, other than as permitted under the Exchange Act, until it has completed its participation in the distribution.</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19" w:name="page120"/>
    <w:bookmarkEnd w:id="11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Electronic Distribution</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 prospectus in electronic format may be made available on websites or through other online services maintained by the Placement Agent of this offering, or by its affiliates. Other than the prospectus in electronic format, the information on the Placement Agent’s website and any information contained in any other website maintained by the Placement Agent is not part of this prospectus or the registration statement of which this prospectus forms a part, has not been approved and/or endorsed by us or the Placement Agent in its capacity as Placement Agent, and should not be relied upon by investors.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Certain Relationships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Placement Agent and its affiliates may in the future provide, from time to time, investment banking and financial advisory services to us in the ordinary course of business, for which they may receive customary fees and commissions.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Selling Restrictions</w:t>
      </w:r>
    </w:p>
    <w:p>
      <w:pPr>
        <w:spacing w:after="0" w:line="118"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Other than in the United States, no action has been taken by us or the Placement Agent that would permit a public offering of the securities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0" w:name="page121"/>
    <w:bookmarkEnd w:id="12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Certain legal matters with respect to the validity of the securities offered by this prospectus will be passed upon for us by Sherman &amp; Howard L.L.C., Las Vegas, Nevada and Burns &amp; Levinson LLP, Boston, Massachusetts. Lucosky Brookman LLP, Woodbridge, New Jersey, is acting as counsel to the placement agent in connection with this offering.</w:t>
      </w:r>
    </w:p>
    <w:p>
      <w:pPr>
        <w:spacing w:after="0" w:line="1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financial statements of Agrify Corporation and Subsidiaries as of December 31, 2022 and 2021, for the two years ended December 31, 2022, included in this prospectus, have been audited by Marcum LLP, independent registered public accounting firm, as set forth in their report thereon (which contains an explanatory paragraph relating to substantial doubt about the ability of Agrify Corporation and Subsidiaries to continue as a going concern as described in Note 1 to the financial statements) included in this prospectus, and are included in reliance on the report of such firm given upon their authority as experts in auditing and accounting.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S- 1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6"/>
          <w:szCs w:val="16"/>
          <w:i w:val="1"/>
          <w:iCs w:val="1"/>
          <w:color w:val="auto"/>
        </w:rPr>
        <w:t>www.sec.gov</w:t>
      </w:r>
      <w:r>
        <w:rPr>
          <w:rFonts w:ascii="Times New Roman" w:cs="Times New Roman" w:eastAsia="Times New Roman" w:hAnsi="Times New Roman"/>
          <w:sz w:val="16"/>
          <w:szCs w:val="16"/>
          <w:color w:val="auto"/>
        </w:rPr>
        <w:t>).</w:t>
      </w:r>
    </w:p>
    <w:p>
      <w:pPr>
        <w:spacing w:after="0" w:line="9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We post on our public website (</w:t>
      </w:r>
      <w:r>
        <w:rPr>
          <w:rFonts w:ascii="Times New Roman" w:cs="Times New Roman" w:eastAsia="Times New Roman" w:hAnsi="Times New Roman"/>
          <w:sz w:val="16"/>
          <w:szCs w:val="16"/>
          <w:i w:val="1"/>
          <w:iCs w:val="1"/>
          <w:color w:val="auto"/>
        </w:rPr>
        <w:t>www.agrify.com</w:t>
      </w:r>
      <w:r>
        <w:rPr>
          <w:rFonts w:ascii="Times New Roman" w:cs="Times New Roman" w:eastAsia="Times New Roman" w:hAnsi="Times New Roman"/>
          <w:sz w:val="16"/>
          <w:szCs w:val="16"/>
          <w:color w:val="auto"/>
        </w:rPr>
        <w:t>) our Annual Report on Form 10-K, Quarterly Reports on Form 10-Q, Current Reports on Form 8-K, and amendments to those reports filed or furnished pursuant to Section 13(a) or 15(d) of the Exchange Act, as soon as reasonably practicable after we electronically file such material with, or furnish it to, the SEC. Our website and the information contained on that site, or connected to that site, are not incorporated into and are not a part of this prospectus.</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1" w:name="page122"/>
    <w:bookmarkEnd w:id="12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200" w:lineRule="exact"/>
        <w:rPr>
          <w:sz w:val="20"/>
          <w:szCs w:val="20"/>
          <w:color w:val="auto"/>
        </w:rPr>
      </w:pPr>
    </w:p>
    <w:p>
      <w:pPr>
        <w:spacing w:after="0" w:line="2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AUDITED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-106680</wp:posOffset>
            </wp:positionV>
            <wp:extent cx="4573270" cy="1752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73270" cy="175260"/>
                    </a:xfrm>
                    <a:prstGeom prst="rect">
                      <a:avLst/>
                    </a:prstGeom>
                    <a:noFill/>
                  </pic:spPr>
                </pic:pic>
              </a:graphicData>
            </a:graphic>
          </wp:anchor>
        </w:drawing>
      </w:r>
    </w:p>
    <w:p>
      <w:pPr>
        <w:spacing w:after="0" w:line="74"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Independent Auditors’ Report (PCAOB ID # 688)</w:t>
        </w:r>
      </w:hyperlink>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10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Consolidated Balance Sheets</w:t>
        </w:r>
      </w:hyperlink>
    </w:p>
    <w:p>
      <w:pPr>
        <w:spacing w:after="0" w:line="80" w:lineRule="exact"/>
        <w:rPr>
          <w:sz w:val="20"/>
          <w:szCs w:val="20"/>
          <w:color w:val="auto"/>
        </w:rPr>
      </w:pPr>
    </w:p>
    <w:p>
      <w:pPr>
        <w:ind w:left="10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Consolidated Statements of Operations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10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Consolidated Statements of Stockholders’ Equity</w:t>
        </w:r>
      </w:hyperlink>
    </w:p>
    <w:p>
      <w:pPr>
        <w:spacing w:after="0" w:line="80" w:lineRule="exact"/>
        <w:rPr>
          <w:sz w:val="20"/>
          <w:szCs w:val="20"/>
          <w:color w:val="auto"/>
        </w:rPr>
      </w:pPr>
    </w:p>
    <w:p>
      <w:pPr>
        <w:ind w:left="106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Consolidated Statements of Cash Flows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Notes to Consolidated Financial Statements</w:t>
        </w:r>
      </w:hyperlink>
    </w:p>
    <w:p>
      <w:pPr>
        <w:spacing w:after="0" w:line="2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INTERIM FINANCIAL STATEMENTS</w:t>
      </w:r>
    </w:p>
    <w:p>
      <w:pPr>
        <w:spacing w:after="0" w:line="44"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Condensed Consolidated Balance Sheets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Condensed Consolidated Statements of Operations (unaudited)</w:t>
        </w:r>
      </w:hyperlink>
    </w:p>
    <w:p>
      <w:pPr>
        <w:spacing w:after="0" w:line="80" w:lineRule="exact"/>
        <w:rPr>
          <w:sz w:val="20"/>
          <w:szCs w:val="20"/>
          <w:color w:val="auto"/>
        </w:rPr>
      </w:pPr>
    </w:p>
    <w:p>
      <w:pPr>
        <w:ind w:left="900"/>
        <w:spacing w:after="0"/>
        <w:rPr>
          <w:rFonts w:ascii="Times New Roman" w:cs="Times New Roman" w:eastAsia="Times New Roman" w:hAnsi="Times New Roman"/>
          <w:sz w:val="14"/>
          <w:szCs w:val="14"/>
          <w:u w:val="single" w:color="auto"/>
          <w:color w:val="0000EE"/>
        </w:rPr>
      </w:pPr>
      <w:hyperlink w:anchor="page1">
        <w:r>
          <w:rPr>
            <w:rFonts w:ascii="Times New Roman" w:cs="Times New Roman" w:eastAsia="Times New Roman" w:hAnsi="Times New Roman"/>
            <w:sz w:val="14"/>
            <w:szCs w:val="14"/>
            <w:u w:val="single" w:color="auto"/>
            <w:color w:val="0000EE"/>
          </w:rPr>
          <w:t>Condensed Consolidated Statements of Stockholders’ Equity (Deficit)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-93345</wp:posOffset>
            </wp:positionV>
            <wp:extent cx="4573270" cy="167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83"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Condensed Consolidated Statements of Cash Flows (unaudited)</w:t>
        </w:r>
      </w:hyperlink>
    </w:p>
    <w:p>
      <w:pPr>
        <w:spacing w:after="0" w:line="80" w:lineRule="exact"/>
        <w:rPr>
          <w:sz w:val="20"/>
          <w:szCs w:val="20"/>
          <w:color w:val="auto"/>
        </w:rPr>
      </w:pPr>
    </w:p>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Notes to Condensed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-107950</wp:posOffset>
            </wp:positionV>
            <wp:extent cx="4573270" cy="167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Page</w:t>
      </w: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F-2</w:t>
      </w: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F-3</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F-4</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F-5</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F-7</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F-9</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F-65</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F-66</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F-67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F-69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F-71</w:t>
      </w:r>
    </w:p>
    <w:p>
      <w:pPr>
        <w:sectPr>
          <w:pgSz w:w="11900" w:h="16840" w:orient="portrait"/>
          <w:cols w:equalWidth="0" w:num="2">
            <w:col w:w="6840" w:space="720"/>
            <w:col w:w="1460"/>
          </w:cols>
          <w:pgMar w:left="1440" w:top="557" w:right="1440" w:bottom="1440" w:gutter="0" w:footer="0" w:header="0"/>
        </w:sectPr>
      </w:pPr>
    </w:p>
    <w:bookmarkStart w:id="122" w:name="page123"/>
    <w:bookmarkEnd w:id="12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ind w:left="900" w:right="1820" w:firstLine="942"/>
        <w:spacing w:after="0" w:line="418" w:lineRule="auto"/>
        <w:rPr>
          <w:sz w:val="20"/>
          <w:szCs w:val="20"/>
          <w:color w:val="auto"/>
        </w:rPr>
      </w:pPr>
      <w:r>
        <w:rPr>
          <w:rFonts w:ascii="Times New Roman" w:cs="Times New Roman" w:eastAsia="Times New Roman" w:hAnsi="Times New Roman"/>
          <w:sz w:val="16"/>
          <w:szCs w:val="16"/>
          <w:b w:val="1"/>
          <w:bCs w:val="1"/>
          <w:color w:val="auto"/>
        </w:rPr>
        <w:t xml:space="preserve">REPORT OF INDEPENDENT REGISTERED PUBLIC ACCOUNTING FIRM </w:t>
      </w:r>
      <w:r>
        <w:rPr>
          <w:rFonts w:ascii="Times New Roman" w:cs="Times New Roman" w:eastAsia="Times New Roman" w:hAnsi="Times New Roman"/>
          <w:sz w:val="16"/>
          <w:szCs w:val="16"/>
          <w:color w:val="auto"/>
        </w:rPr>
        <w:t>To the Shareholders and Board of Directors of Agrify Corporation and Subsidiaries</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18" w:lineRule="exact"/>
        <w:rPr>
          <w:sz w:val="20"/>
          <w:szCs w:val="20"/>
          <w:color w:val="auto"/>
        </w:rPr>
      </w:pPr>
    </w:p>
    <w:p>
      <w:pPr>
        <w:jc w:val="both"/>
        <w:ind w:left="900" w:right="880" w:firstLine="384"/>
        <w:spacing w:after="0" w:line="27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Agrify Corporation and Subsidiaries (the “Company”) as of December 31, 2022 and 2021, the related consolidated statements of operations, stockholders’ deficit (equity) and cash flows for each of the two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two years in the period ended December 31, 2022, in conformity with accounting principles generally accepted in the United States of America.</w:t>
      </w:r>
    </w:p>
    <w:p>
      <w:pPr>
        <w:spacing w:after="0" w:line="14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Explanatory Paragraph — Going Concern</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3"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 Marcum llp</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Marcum llp</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We have served as the Company’s auditor since 2019.</w:t>
      </w:r>
    </w:p>
    <w:p>
      <w:pPr>
        <w:spacing w:after="0" w:line="11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Melville, NY</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November 27, 2023</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3" w:name="page124"/>
    <w:bookmarkEnd w:id="12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44,550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Accounts receivable, net of allowance for doubtful accounts of $4,605 and $1,415</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at December 31, 2022 and 2021, respectively</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right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Inventory, net of reserves of $32,422 and $942 at December 31, 2022</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and 2021, respectively</w:t>
            </w:r>
          </w:p>
        </w:tc>
        <w:tc>
          <w:tcPr>
            <w:tcW w:w="2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20,498</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80" w:type="dxa"/>
            <w:vAlign w:val="bottom"/>
            <w:tcBorders>
              <w:bottom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86,736</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Loans receivable, net of allowance for doubtful accounts of $33,050 and $0 at</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December 31, 2022 and 2021, respectively</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22,255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50,090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69,687</w:t>
            </w:r>
          </w:p>
        </w:tc>
        <w:tc>
          <w:tcPr>
            <w:tcW w:w="1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182,048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 current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 of current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980" w:type="dxa"/>
            <w:vAlign w:val="bottom"/>
            <w:tcBorders>
              <w:top w:val="single" w:sz="8" w:color="CCEEFF"/>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78,728</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44,624</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Commitments and contingencies (Note 17)</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 equity:</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Common Stock, $0.001 par value per share, 5,000,000 and 2,500,000 shares</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authorized at December 31, 2022 and 2021, respectively, 1,038,298 and</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111,035 shares issued and outstanding at December 31, 2022 and 2021,</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respectively</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right w:val="single" w:sz="8" w:color="CCEEFF"/>
            </w:tcBorders>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Preferred Stock, $0.001 par value per share, 2,895,000 shares authorized, no</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Borders>
              <w:bottom w:val="single" w:sz="8" w:color="CCEEFF"/>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shares issued or outstanding</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Preferred A Stock, $0.001 par value per share, 105,000 shares authorized, no</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shares issued or outstanding</w:t>
            </w:r>
          </w:p>
        </w:tc>
        <w:tc>
          <w:tcPr>
            <w:tcW w:w="22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196,034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(247,148)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stockholders’ (deficit) equity attributable to Agrify</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137,059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Borders>
              <w:right w:val="single" w:sz="8" w:color="CCEEFF"/>
            </w:tcBorders>
            <w:vMerge w:val="continue"/>
            <w:shd w:val="clear" w:color="auto" w:fill="CCEEFF"/>
          </w:tcPr>
          <w:p>
            <w:pPr>
              <w:spacing w:after="0"/>
              <w:rPr>
                <w:sz w:val="20"/>
                <w:szCs w:val="20"/>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69,687</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182,048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1300" w:right="920" w:hanging="394"/>
        <w:spacing w:after="0" w:line="262" w:lineRule="auto"/>
        <w:tabs>
          <w:tab w:leader="none" w:pos="13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presented have been adjusted to reflect the 1 -for-10 reverse stock split on October 18, 2022, and the 1-for-20 reverse stock split on July 5, 2023. Additional information regarding the reverse stock splits may be found in Note 1</w:t>
      </w:r>
    </w:p>
    <w:p>
      <w:pPr>
        <w:ind w:left="1300" w:right="94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Overview, Basis of Presentation, and Significant Accounting Policies, included elsewhere in the notes to the consolidated financial statements.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118" w:gutter="0" w:footer="0" w:header="0"/>
        </w:sectPr>
      </w:pPr>
    </w:p>
    <w:bookmarkStart w:id="124" w:name="page125"/>
    <w:bookmarkEnd w:id="12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8"/>
        </w:trPr>
        <w:tc>
          <w:tcPr>
            <w:tcW w:w="5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(including $2,417 and $31,439 from related parties, respectively)</w:t>
            </w: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90,054</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54,625</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Gross (loss) profit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(31,795)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263"/>
        </w:trPr>
        <w:tc>
          <w:tcPr>
            <w:tcW w:w="50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9,338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4,163</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8,179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3,925</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50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161,531</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40,307</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(193,326)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(35,073)</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(8,750)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Gain on forgiveness of PPP loan</w:t>
            </w:r>
          </w:p>
        </w:tc>
        <w:tc>
          <w:tcPr>
            <w:tcW w:w="1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gain on extinguishment of notes payable</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Other income, net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2,773</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(188,284)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(32,300)</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22"/>
                <w:szCs w:val="2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(188,307)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(32,325)</w:t>
            </w: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attributable to non-controlling interests</w:t>
            </w: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(188,173)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(32,465)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060" w:type="dxa"/>
            <w:vAlign w:val="bottom"/>
          </w:tcPr>
          <w:p>
            <w:pPr>
              <w:spacing w:after="0" w:line="205" w:lineRule="exact"/>
              <w:rPr>
                <w:sz w:val="20"/>
                <w:szCs w:val="20"/>
                <w:color w:val="auto"/>
              </w:rPr>
            </w:pPr>
            <w:r>
              <w:rPr>
                <w:rFonts w:ascii="Times New Roman" w:cs="Times New Roman" w:eastAsia="Times New Roman" w:hAnsi="Times New Roman"/>
                <w:sz w:val="16"/>
                <w:szCs w:val="16"/>
                <w:color w:val="auto"/>
              </w:rPr>
              <w:t>Net loss per share attributable to Common Stockholders – basic and diluted</w:t>
            </w:r>
            <w:r>
              <w:rPr>
                <w:rFonts w:ascii="Times New Roman" w:cs="Times New Roman" w:eastAsia="Times New Roman" w:hAnsi="Times New Roman"/>
                <w:sz w:val="19"/>
                <w:szCs w:val="19"/>
                <w:color w:val="auto"/>
                <w:vertAlign w:val="superscript"/>
              </w:rPr>
              <w:t>(1)</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(902.19)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(340.75)</w:t>
            </w:r>
          </w:p>
        </w:tc>
        <w:tc>
          <w:tcPr>
            <w:tcW w:w="0" w:type="dxa"/>
            <w:vAlign w:val="bottom"/>
          </w:tcPr>
          <w:p>
            <w:pPr>
              <w:spacing w:after="0"/>
              <w:rPr>
                <w:sz w:val="1"/>
                <w:szCs w:val="1"/>
                <w:color w:val="auto"/>
              </w:rPr>
            </w:pPr>
          </w:p>
        </w:tc>
      </w:tr>
      <w:tr>
        <w:trPr>
          <w:trHeight w:val="204"/>
        </w:trPr>
        <w:tc>
          <w:tcPr>
            <w:tcW w:w="5060" w:type="dxa"/>
            <w:vAlign w:val="bottom"/>
            <w:tcBorders>
              <w:top w:val="single" w:sz="8" w:color="CCEEFF"/>
              <w:bottom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6"/>
                <w:szCs w:val="16"/>
                <w:color w:val="auto"/>
              </w:rPr>
              <w:t>Weighted-average common shares outstanding – basic and diluted</w:t>
            </w:r>
            <w:r>
              <w:rPr>
                <w:rFonts w:ascii="Times New Roman" w:cs="Times New Roman" w:eastAsia="Times New Roman" w:hAnsi="Times New Roman"/>
                <w:sz w:val="19"/>
                <w:szCs w:val="19"/>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208,573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20" w:hanging="394"/>
        <w:spacing w:after="0" w:line="262" w:lineRule="auto"/>
        <w:tabs>
          <w:tab w:leader="none" w:pos="13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presented have been adjusted to reflect the 1 -for-10 reverse stock split on October 18, 2022, and the 1-for-20 reverse stock split on July 5, 2023. Additional information regarding the reverse stock splits may be found in Note 1</w:t>
      </w:r>
    </w:p>
    <w:p>
      <w:pPr>
        <w:ind w:left="1300" w:right="94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Overview, Basis of Presentation, and Significant Accounting Policies, included elsewhere in the notes to the consolidated financial statements.</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5" w:name="page126"/>
    <w:bookmarkEnd w:id="12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 Equity</w:t>
      </w: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54"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Preferred A</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880" w:type="dxa"/>
            <w:vAlign w:val="bottom"/>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3"/>
                <w:szCs w:val="13"/>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6"/>
            <w:vMerge w:val="restart"/>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Paid-In-  Accumulated</w:t>
            </w:r>
          </w:p>
        </w:tc>
        <w:tc>
          <w:tcPr>
            <w:tcW w:w="60" w:type="dxa"/>
            <w:vAlign w:val="bottom"/>
            <w:vMerge w:val="restart"/>
          </w:tcPr>
          <w:p>
            <w:pPr>
              <w:spacing w:after="0"/>
              <w:rPr>
                <w:sz w:val="6"/>
                <w:szCs w:val="6"/>
                <w:color w:val="auto"/>
              </w:rPr>
            </w:pPr>
          </w:p>
        </w:tc>
        <w:tc>
          <w:tcPr>
            <w:tcW w:w="780" w:type="dxa"/>
            <w:vAlign w:val="bottom"/>
            <w:gridSpan w:val="3"/>
            <w:vMerge w:val="restart"/>
          </w:tcPr>
          <w:p>
            <w:pPr>
              <w:jc w:val="center"/>
              <w:ind w:right="20"/>
              <w:spacing w:after="0" w:line="143" w:lineRule="exact"/>
              <w:rPr>
                <w:sz w:val="20"/>
                <w:szCs w:val="20"/>
                <w:color w:val="auto"/>
              </w:rPr>
            </w:pPr>
            <w:r>
              <w:rPr>
                <w:rFonts w:ascii="Times New Roman" w:cs="Times New Roman" w:eastAsia="Times New Roman" w:hAnsi="Times New Roman"/>
                <w:sz w:val="13"/>
                <w:szCs w:val="13"/>
                <w:b w:val="1"/>
                <w:bCs w:val="1"/>
                <w:color w:val="auto"/>
              </w:rPr>
              <w:t>attributable</w:t>
            </w:r>
          </w:p>
        </w:tc>
        <w:tc>
          <w:tcPr>
            <w:tcW w:w="740" w:type="dxa"/>
            <w:vAlign w:val="bottom"/>
            <w:gridSpan w:val="4"/>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780" w:type="dxa"/>
            <w:vAlign w:val="bottom"/>
            <w:gridSpan w:val="3"/>
            <w:vMerge w:val="continue"/>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5"/>
                <w:szCs w:val="15"/>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to Agrify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at</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January 1, 2021</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21,058</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19,831</w:t>
            </w: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(26,510)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(6,679)</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(6,454)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Beneficial</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conversion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feature</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associated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with amended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Convertible</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Promissory</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Notes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Convertible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Notes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8,485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13,100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13,100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13,100</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Stock – Initial</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Public</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Offering</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(“IPO”), net of</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fees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31,050</w:t>
            </w: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56,961</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56,961</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56,961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Stock –</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Secondary</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public</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offering, net of</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fees</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31,945</w:t>
            </w: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79,839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79,839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79,839</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Stock in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connection</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with</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acquisition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Preferred A</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tcPr>
          <w:p>
            <w:pPr>
              <w:ind w:left="140"/>
              <w:spacing w:after="0"/>
              <w:rPr>
                <w:sz w:val="20"/>
                <w:szCs w:val="20"/>
                <w:color w:val="auto"/>
              </w:rPr>
            </w:pPr>
            <w:r>
              <w:rPr>
                <w:rFonts w:ascii="Times New Roman" w:cs="Times New Roman" w:eastAsia="Times New Roman" w:hAnsi="Times New Roman"/>
                <w:sz w:val="13"/>
                <w:szCs w:val="13"/>
                <w:color w:val="auto"/>
              </w:rPr>
              <w:t>— (100,000)</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Acquisition of</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Precision and</w:t>
            </w: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Cascade</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12,355</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12,355</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12,355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Acquisition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PurePressure</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options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3,288</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warrants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(32,465)</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(32,465)</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(32,325)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Balance at</w:t>
            </w: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2021</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111,035</w:t>
            </w:r>
          </w:p>
        </w:tc>
        <w:tc>
          <w:tcPr>
            <w:tcW w:w="60" w:type="dxa"/>
            <w:vAlign w:val="bottom"/>
          </w:tcPr>
          <w:p>
            <w:pPr>
              <w:spacing w:after="0"/>
              <w:rPr>
                <w:sz w:val="16"/>
                <w:szCs w:val="16"/>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196,034</w:t>
            </w:r>
          </w:p>
        </w:tc>
        <w:tc>
          <w:tcPr>
            <w:tcW w:w="4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(58,975)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137,059</w:t>
            </w:r>
          </w:p>
        </w:tc>
        <w:tc>
          <w:tcPr>
            <w:tcW w:w="80" w:type="dxa"/>
            <w:vAlign w:val="bottom"/>
          </w:tcPr>
          <w:p>
            <w:pPr>
              <w:spacing w:after="0"/>
              <w:rPr>
                <w:sz w:val="16"/>
                <w:szCs w:val="16"/>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137,424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6" w:name="page127"/>
    <w:bookmarkEnd w:id="12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left="2380" w:right="1140"/>
        <w:spacing w:after="0" w:line="248" w:lineRule="auto"/>
        <w:rPr>
          <w:sz w:val="20"/>
          <w:szCs w:val="20"/>
          <w:color w:val="auto"/>
        </w:rPr>
      </w:pPr>
      <w:r>
        <w:rPr>
          <w:rFonts w:ascii="Times New Roman" w:cs="Times New Roman" w:eastAsia="Times New Roman" w:hAnsi="Times New Roman"/>
          <w:sz w:val="16"/>
          <w:szCs w:val="16"/>
          <w:b w:val="1"/>
          <w:bCs w:val="1"/>
          <w:color w:val="auto"/>
        </w:rPr>
        <w:t>AGRIFY CORPORATION AND SUBSIDIARIES Consolidated Statements of Stockholders’ (Deficit) Equity — (Continued) (In thousands, except share data)</w:t>
      </w:r>
    </w:p>
    <w:p>
      <w:pPr>
        <w:spacing w:after="0" w:line="247"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A</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gridSpan w:val="5"/>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gridSpan w:val="6"/>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b w:val="1"/>
                <w:bCs w:val="1"/>
                <w:color w:val="auto"/>
              </w:rPr>
              <w:t>Paid-In-  Accumulated</w:t>
            </w:r>
          </w:p>
        </w:tc>
        <w:tc>
          <w:tcPr>
            <w:tcW w:w="60" w:type="dxa"/>
            <w:vAlign w:val="bottom"/>
            <w:vMerge w:val="restart"/>
          </w:tcPr>
          <w:p>
            <w:pPr>
              <w:spacing w:after="0"/>
              <w:rPr>
                <w:sz w:val="6"/>
                <w:szCs w:val="6"/>
                <w:color w:val="auto"/>
              </w:rPr>
            </w:pPr>
          </w:p>
        </w:tc>
        <w:tc>
          <w:tcPr>
            <w:tcW w:w="800" w:type="dxa"/>
            <w:vAlign w:val="bottom"/>
            <w:gridSpan w:val="3"/>
            <w:vMerge w:val="restart"/>
          </w:tcPr>
          <w:p>
            <w:pPr>
              <w:jc w:val="center"/>
              <w:ind w:right="40"/>
              <w:spacing w:after="0" w:line="143" w:lineRule="exact"/>
              <w:rPr>
                <w:sz w:val="20"/>
                <w:szCs w:val="20"/>
                <w:color w:val="auto"/>
              </w:rPr>
            </w:pPr>
            <w:r>
              <w:rPr>
                <w:rFonts w:ascii="Times New Roman" w:cs="Times New Roman" w:eastAsia="Times New Roman" w:hAnsi="Times New Roman"/>
                <w:sz w:val="13"/>
                <w:szCs w:val="13"/>
                <w:b w:val="1"/>
                <w:bCs w:val="1"/>
                <w:color w:val="auto"/>
              </w:rPr>
              <w:t>attributable</w:t>
            </w:r>
          </w:p>
        </w:tc>
        <w:tc>
          <w:tcPr>
            <w:tcW w:w="740" w:type="dxa"/>
            <w:vAlign w:val="bottom"/>
            <w:gridSpan w:val="5"/>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7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5"/>
                <w:szCs w:val="15"/>
                <w:color w:val="auto"/>
              </w:rPr>
            </w:pPr>
          </w:p>
        </w:tc>
        <w:tc>
          <w:tcPr>
            <w:tcW w:w="158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Amount Shares Amount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to Agrify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at</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January 1, 2022</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111,035</w:t>
            </w:r>
          </w:p>
        </w:tc>
        <w:tc>
          <w:tcPr>
            <w:tcW w:w="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196,034</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(58,975)</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137,059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137,424</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compensation</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Stock,</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warrants, and</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prefunded</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warrants in</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private</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placement</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20,105</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14,824</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14,824</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Confidentially</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marketed</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public offering</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594,232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Issuance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Common</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Stock</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through an “at</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the market”</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offering, net of</w:t>
            </w: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fees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306,628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15,042</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15,042</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15,042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issued for</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contingent</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Acquisition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Lab Society</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options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warrants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Vesting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restricted 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units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(188,173)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(188,173)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(134)</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(188,307)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20" w:type="dxa"/>
            <w:vAlign w:val="bottom"/>
          </w:tcPr>
          <w:p>
            <w:pPr>
              <w:spacing w:after="0" w:line="124" w:lineRule="exact"/>
              <w:rPr>
                <w:sz w:val="20"/>
                <w:szCs w:val="20"/>
                <w:color w:val="auto"/>
              </w:rPr>
            </w:pPr>
            <w:r>
              <w:rPr>
                <w:rFonts w:ascii="Times New Roman" w:cs="Times New Roman" w:eastAsia="Times New Roman" w:hAnsi="Times New Roman"/>
                <w:sz w:val="13"/>
                <w:szCs w:val="13"/>
                <w:color w:val="auto"/>
              </w:rPr>
              <w:t>Balance at</w:t>
            </w: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31,</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2022</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1,038,298</w:t>
            </w:r>
          </w:p>
        </w:tc>
        <w:tc>
          <w:tcPr>
            <w:tcW w:w="40" w:type="dxa"/>
            <w:vAlign w:val="bottom"/>
          </w:tcPr>
          <w:p>
            <w:pPr>
              <w:spacing w:after="0"/>
              <w:rPr>
                <w:sz w:val="16"/>
                <w:szCs w:val="16"/>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6"/>
                <w:szCs w:val="16"/>
                <w:color w:val="auto"/>
              </w:rPr>
            </w:pPr>
          </w:p>
        </w:tc>
        <w:tc>
          <w:tcPr>
            <w:tcW w:w="80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237,875</w:t>
            </w:r>
          </w:p>
        </w:tc>
        <w:tc>
          <w:tcPr>
            <w:tcW w:w="40" w:type="dxa"/>
            <w:vAlign w:val="bottom"/>
          </w:tcPr>
          <w:p>
            <w:pPr>
              <w:spacing w:after="0"/>
              <w:rPr>
                <w:sz w:val="16"/>
                <w:szCs w:val="16"/>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(247,148)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(9,272)</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7" w:name="page128"/>
    <w:bookmarkEnd w:id="12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98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22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(188,173)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(32,465)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52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Adjustments to reconcile net loss attributable to Agrify Corporation to net</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used in operating activities:</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on goodwill and intangible assets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extinguishment of notes payable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(51,461)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premium on marketable securities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marketable securities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inventory obsolescence</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31,480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4,459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200" w:type="dxa"/>
            <w:vAlign w:val="bottom"/>
            <w:shd w:val="clear" w:color="auto" w:fill="CCEEFF"/>
          </w:tcPr>
          <w:p>
            <w:pPr>
              <w:ind w:left="140"/>
              <w:spacing w:after="0" w:line="167" w:lineRule="exact"/>
              <w:rPr>
                <w:sz w:val="20"/>
                <w:szCs w:val="20"/>
                <w:color w:val="auto"/>
              </w:rPr>
            </w:pPr>
            <w:r>
              <w:rPr>
                <w:rFonts w:ascii="Times New Roman" w:cs="Times New Roman" w:eastAsia="Times New Roman" w:hAnsi="Times New Roman"/>
                <w:sz w:val="16"/>
                <w:szCs w:val="16"/>
                <w:color w:val="auto"/>
              </w:rPr>
              <w:t>Compensation in connection with the issuance of stock options and</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restricted stock units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4,319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5,552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shares in connection with acquisition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(income) from disposal of fixed assets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forgiveness of PPP Loan</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attributed to non-controlling interest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1,540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(3,391)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Inventory</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(30,248)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(6,568)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(1,745)</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Right-of-use assets, net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non-current assets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(8,555)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8,284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(72,021)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(30,149)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2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(8,134)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(2,220)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intangibles assets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(294,687)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(62,209)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sale of marketable securities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329,009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 of fixed assets</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loans receivable, net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(22,143)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contingent liabilities</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received from escrow account related to Sinclair acquisition</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business combination, net of cash acquired</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(3,517)</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(104,740)</w:t>
            </w: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520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16"/>
                <w:szCs w:val="16"/>
                <w:color w:val="auto"/>
              </w:rPr>
              <w:t>F-7</w:t>
            </w:r>
          </w:p>
        </w:tc>
        <w:tc>
          <w:tcPr>
            <w:tcW w:w="8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28" w:name="page129"/>
    <w:bookmarkEnd w:id="12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 (Continued)</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8"/>
        </w:trPr>
        <w:tc>
          <w:tcPr>
            <w:tcW w:w="5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debt and warrants in Security Purchase Agreement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Common Stock and warrants in private placement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Common Stock through an “at the market” offering, net of fees</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IPO, net of fees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Secondary public offering, net of fees</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2,132</w:t>
            </w: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confidentially marketed public offering</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debt in private placement</w:t>
            </w: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(35,497)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notes payable, other</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on insurance financing loans</w:t>
            </w: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of other financing loans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of financing leases</w:t>
            </w:r>
          </w:p>
        </w:tc>
        <w:tc>
          <w:tcPr>
            <w:tcW w:w="14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72,781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138,792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3,903</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period</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8,111</w:t>
            </w:r>
          </w:p>
        </w:tc>
        <w:tc>
          <w:tcPr>
            <w:tcW w:w="0" w:type="dxa"/>
            <w:vAlign w:val="bottom"/>
          </w:tcPr>
          <w:p>
            <w:pPr>
              <w:spacing w:after="0"/>
              <w:rPr>
                <w:sz w:val="1"/>
                <w:szCs w:val="1"/>
                <w:color w:val="auto"/>
              </w:rPr>
            </w:pPr>
          </w:p>
        </w:tc>
      </w:tr>
      <w:tr>
        <w:trPr>
          <w:trHeight w:val="271"/>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10,457</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10,457</w:t>
            </w:r>
          </w:p>
        </w:tc>
        <w:tc>
          <w:tcPr>
            <w:tcW w:w="120" w:type="dxa"/>
            <w:vAlign w:val="bottom"/>
          </w:tcPr>
          <w:p>
            <w:pPr>
              <w:spacing w:after="0"/>
              <w:rPr>
                <w:sz w:val="20"/>
                <w:szCs w:val="20"/>
                <w:color w:val="auto"/>
              </w:rPr>
            </w:pP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1"/>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cash, cash equivalents, and restricted cash at the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20,457</w:t>
            </w:r>
          </w:p>
        </w:tc>
        <w:tc>
          <w:tcPr>
            <w:tcW w:w="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4,969</w:t>
            </w: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paid for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information</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Equipment sold for loan receivable to customer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55,627</w:t>
            </w:r>
          </w:p>
        </w:tc>
        <w:tc>
          <w:tcPr>
            <w:tcW w:w="120" w:type="dxa"/>
            <w:vAlign w:val="bottom"/>
          </w:tcPr>
          <w:p>
            <w:pPr>
              <w:spacing w:after="0"/>
              <w:rPr>
                <w:sz w:val="20"/>
                <w:szCs w:val="20"/>
                <w:color w:val="auto"/>
              </w:rPr>
            </w:pP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Financing of prepaid insurance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1,928</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29" w:name="page130"/>
    <w:bookmarkEnd w:id="12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right="2900"/>
        <w:spacing w:after="0" w:line="416" w:lineRule="auto"/>
        <w:rPr>
          <w:sz w:val="20"/>
          <w:szCs w:val="20"/>
          <w:color w:val="auto"/>
        </w:rPr>
      </w:pPr>
      <w:r>
        <w:rPr>
          <w:rFonts w:ascii="Times New Roman" w:cs="Times New Roman" w:eastAsia="Times New Roman" w:hAnsi="Times New Roman"/>
          <w:sz w:val="16"/>
          <w:szCs w:val="16"/>
          <w:b w:val="1"/>
          <w:bCs w:val="1"/>
          <w:color w:val="auto"/>
        </w:rPr>
        <w:t>Note 1 — Overview, Basis of Presentation, and Significant Accounting Policies Description of Business</w:t>
      </w: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9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Company has nine wholly-owned subsidiaries, which are collectively referred to as the “Subsidiaries” and the Company also has ownership interests in certain companies. (Please refer to Exhibit 21.1 for further details.)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Reverse Stock Splits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18, 2022, the Company effected a 1-for -10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Annual Report on Form 10-K has been retroactively adjusted to reflect the impact of these reverse stock splits.</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Initial Public Offering and Secondary Public Offering</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February 1, 2021, the Company closed its initial public offering, or (“IPO”), of 31,050 shares of its Common Stock (inclusive of 4,050 shares of Common Stock from the full exercise of the over-allotment option of shares granted to the underwriters). The offer and sale of all of the shares in the IPO were registered under the Securities Act of 1933, as amended, pursuant to a registration statement on Form S-1 (File Nos. 333-251616 and 333- 252490), which was declared effective by the Securities Exchange Commission (“SEC”) on January 27, 2021. In the IPO, Maxim Group LLC and Roth Capital Partners acted as the underwriters. The IPO price for shares of Common Stock was $2,000.00 per share. The total gross proceeds from the IPO were $62.1 million.</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0" w:name="page131"/>
    <w:bookmarkEnd w:id="13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After deducting underwriting discounts and commissions of $ 4 million and offering expenses paid by the Company of approximately $1 million, the net proceeds from the IPO were approximately $57 million. The Company used the net proceeds from the IPO for its working capital needs, to support revenue growth, increase inventory to meet customer demand forecasts, and support operational growth.</w:t>
      </w:r>
    </w:p>
    <w:p>
      <w:pPr>
        <w:spacing w:after="0" w:line="95"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February 19, 2021, the Company consummated a secondary public offering (the “February Offering”) of 27,778 shares of its Common Stock for a price of $2,700.00 per share, less certain underwriting discounts, and commissions. On March 22, 2021, the Company closed on the sale of an additional 4,167 shares of Common Stock on the same terms and conditions pursuant to the exercise of the underwriters’ over -allotment option. The exercise of the over-allotment option brought the total number of shares of Common Stock sold by the Company in connection with the February Offering to 31,945 shares and the total net proceeds received in connection with the February Offering to approximately $80 million, after deducting underwriting discounts and offering expenses. The Company used the net proceeds from the IPO for its working capital needs, to support revenue growth, increase inventory, meet customer demand forecasts, and support operational growth.</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Confidentially Marketed Public Offering</w:t>
      </w:r>
    </w:p>
    <w:p>
      <w:pPr>
        <w:spacing w:after="0" w:line="118" w:lineRule="exact"/>
        <w:rPr>
          <w:sz w:val="20"/>
          <w:szCs w:val="20"/>
          <w:color w:val="auto"/>
        </w:rPr>
      </w:pPr>
    </w:p>
    <w:p>
      <w:pPr>
        <w:jc w:val="both"/>
        <w:ind w:left="900" w:right="920" w:firstLine="384"/>
        <w:spacing w:after="0" w:line="271" w:lineRule="auto"/>
        <w:rPr>
          <w:sz w:val="20"/>
          <w:szCs w:val="20"/>
          <w:color w:val="auto"/>
        </w:rPr>
      </w:pPr>
      <w:r>
        <w:rPr>
          <w:rFonts w:ascii="Times New Roman" w:cs="Times New Roman" w:eastAsia="Times New Roman" w:hAnsi="Times New Roman"/>
          <w:sz w:val="14"/>
          <w:szCs w:val="14"/>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 Warrants will be issued separately but can only be purchased together in this Offering. Additional information regarding the Company’s December 2022 Warrants may be found in Note 4</w:t>
      </w:r>
    </w:p>
    <w:p>
      <w:pPr>
        <w:spacing w:after="0" w:line="4" w:lineRule="exact"/>
        <w:rPr>
          <w:sz w:val="20"/>
          <w:szCs w:val="20"/>
          <w:color w:val="auto"/>
        </w:rPr>
      </w:pPr>
    </w:p>
    <w:p>
      <w:pPr>
        <w:ind w:left="900" w:right="960"/>
        <w:spacing w:after="0" w:line="238" w:lineRule="auto"/>
        <w:rPr>
          <w:sz w:val="20"/>
          <w:szCs w:val="20"/>
          <w:color w:val="auto"/>
        </w:rPr>
      </w:pPr>
      <w:r>
        <w:rPr>
          <w:rFonts w:ascii="Times New Roman" w:cs="Times New Roman" w:eastAsia="Times New Roman" w:hAnsi="Times New Roman"/>
          <w:sz w:val="16"/>
          <w:szCs w:val="16"/>
          <w:color w:val="auto"/>
        </w:rPr>
        <w:t>— Fair Value Measures and Note 12 — Stockholders’ Equity, included elsewhere in the notes to the consolidated financial statements.</w:t>
      </w:r>
    </w:p>
    <w:p>
      <w:pPr>
        <w:spacing w:after="0" w:line="97"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Nasdaq Deficiency Notice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0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1" w:name="page132"/>
    <w:bookmarkEnd w:id="13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99" w:lineRule="auto"/>
        <w:rPr>
          <w:sz w:val="20"/>
          <w:szCs w:val="20"/>
          <w:color w:val="auto"/>
        </w:rPr>
      </w:pPr>
      <w:r>
        <w:rPr>
          <w:rFonts w:ascii="Times New Roman" w:cs="Times New Roman" w:eastAsia="Times New Roman" w:hAnsi="Times New Roman"/>
          <w:sz w:val="14"/>
          <w:szCs w:val="14"/>
          <w:color w:val="auto"/>
        </w:rPr>
        <w:t>for a minimum of 10 consecutive trading days during this 180-day compliance period, unless the Staff exercises its discretion to extend the minimum trading day period pursuant to Nasdaq Listing Rule 5810(c)(3)(G). On July 19, 2023, the Company received a notice from Nasdaq confirming its recompliance with the minimum bid price rule.</w:t>
      </w:r>
    </w:p>
    <w:p>
      <w:pPr>
        <w:spacing w:after="0" w:line="59"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10 -K, the First Quarter 2023 Form 10-Q and the Second Quarter 2023 Form 10-Q without unreasonable effort or expense.</w:t>
      </w:r>
    </w:p>
    <w:p>
      <w:pPr>
        <w:spacing w:after="0" w:line="75"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97"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Nasdaq granted the Company an exception until October 16, 2023, to file its 2022 Form 10-K and First and Second Quarter 2023 Forms 10-Q. The Nasdaq Notice had no immediate effect on the listing of the Company’s common stock on The Nasdaq Stock Market LLC.</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timely requested a hearing before the Nasdaq Hearings Panel (the “Panel”), and the Panel scheduled a hearing for January 11, 2024. In connection with the hearing request, the Company requested that the stay be extended through the hearing and the expiration of any additional extension period granted by the Panel following the hearing. In that regard, pursuant to the Nasdaq Listing Rules, the Panel granted the additional extension period. However, there can be no assurance that the Company will be able to regain compliance by the end of any additional extension period.</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The Paycheck Protection Program</w:t>
      </w:r>
    </w:p>
    <w:p>
      <w:pPr>
        <w:spacing w:after="0" w:line="118"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On February 18, 2022, the Company applied for forgiveness of the outstanding balance of the PPP Loan and the application was denied by the SBA on March 18,2022.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2" w:name="page133"/>
    <w:bookmarkEnd w:id="13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In July 2020, the Company received a separate PPP loan in the amount of $45,000. In September 2021, this loan was 100% forgiven by the SBA. The forgiveness of this loan is reflected in the 2021 Consolidated Statement of Operations as a gain on forgiveness.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Wholly-Owned Subsidiaries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accounting principles generally accepted in the United States (“GAAP”) and include the accounts of Agrify Corporation and its wholly- 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Less Than Wholly-Owned Subsidiaries</w:t>
      </w:r>
    </w:p>
    <w:p>
      <w:pPr>
        <w:spacing w:after="0" w:line="120"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For the Company’s less than wholly-owned subsidiaries, which include Teejan Podponics International LLC (“TPI”), Agrify-Valiant LLC (“Agrify- 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 venture qualifies as a VIE and the Company is the primary beneficiary, the Company’s financial interest in the VIE is consolidated.</w:t>
      </w:r>
    </w:p>
    <w:p>
      <w:pPr>
        <w:spacing w:after="0" w:line="263"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 -Valiant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 - 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consolidated financial statements’ issuance date. The following matters raise substantial doubt about the Company’s ability to continue as a going concern within one year after the date the consolidated financial statements are issued.</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3" w:name="page134"/>
    <w:bookmarkEnd w:id="13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has incurred operating losses since its inception, has negative cash flows from operations and a working capital deficiency. The Company also has an accumulated deficit of approximately $247.1 million as of December 31, 2022.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As of December 31, 2022, the Company had $20.5 million of cash, cash equivalents, and restricted cash. The Company’s restricted cash is associated with its senior secured note (the “Exchange Note”) and was $10.0 million as of December 31, 2022. Additional information regarding the Company’s Exchange Note may be found in Note 9 — Debt, included elsewhere in the notes to the consolidated financial statements.</w:t>
      </w:r>
    </w:p>
    <w:p>
      <w:pPr>
        <w:spacing w:after="0" w:line="95" w:lineRule="exact"/>
        <w:rPr>
          <w:sz w:val="20"/>
          <w:szCs w:val="20"/>
          <w:color w:val="auto"/>
        </w:rPr>
      </w:pPr>
    </w:p>
    <w:p>
      <w:pPr>
        <w:jc w:val="both"/>
        <w:ind w:left="900" w:right="920" w:firstLine="384"/>
        <w:spacing w:after="0" w:line="236"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Canaccord Genuity LLC (the “Agent”) pursuant to which it may issue and sell, from time to time, shares of its Common Stock having an aggregate offering price of up to $ 50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Program at an average price of $50.85 per share, resulting in gross proceeds of $15.6 million, and net proceeds of $15.0 million after commissions and fees to the Agent totaling $468 thousand and legal fees totaling $75 thousand. Subsequent to December 31, 2022 through April 1, 2023, after which time the ATM program was discontinued, the Company sold an additional 323,082 shares of Common Stock under the ATM at an average price of $4.93, resulting in gross proceeds of $1.6 million and net proceeds of $1.6 million after commissions and fees to the Agent totaling $48 thousand. $3.0 million of the proceeds under the ATM Program were used to repay amounts due to the Investor under the Exchange Note. The Company used the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w:t>
      </w:r>
    </w:p>
    <w:p>
      <w:pPr>
        <w:spacing w:after="0" w:line="10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These consolidated financial statements have been prepared on a going concern basis, which implies the Company believes these conditions raise substantial doubt about its ability to continue as a going concern within the next twelve-months from the date these consolidated financial statements are available to be issued. The Company’s continuation as a going concern is dependent upon its ability to obtain the necessary debt or equity financing to continue operations until the Company begins generating sufficient cash flows from operations to meet its obligations. If the Company is unable raise additional funds, it may be forced to cease operations.</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There is no assurance that the Company will ever be profitable. The consolidated financial statements do not include any adjustments to reflect the potential future effects on the recoverability and classification of assets or the amounts and classifications of liabilities that may result should the Company be unable to continue as a going concern.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 -based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4" w:name="page135"/>
    <w:bookmarkEnd w:id="13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Certain amounts in the Company’s prior period consolidated financial statements have been reclassified to conform to the presentation of the current period consolidated financial statements. In this filing, the Company has reclassified selling, general and administrative expenses to two separate line items in the accompanying consolidated statements of operations as general and administrative expenses and selling and marketing expenses for the years ended December 31, 2022 and 2021.</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addition, 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Consolidated Balance Sheet reflects the reverse stock split by reclassifying from “Common Stock” to “Additional paid-in capital” an amount equal to the par value of the decreased shares resulting from the reverse stock split.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Cash and cash equivalents consists principally of cash and deposits with maturities of three months or less as of December 31, 2022 and 2021. All cash equivalents are carried at cost, which approximates fair value. Restricted cash represents cash required to be held as collateral for the Company’s Notes. Accordingly, these balances contain restrictions as to their availability and usage and are classified as restricted cash in the consolidated balance sheets. Additional information relating to the Company’s Notes may be found in Note 9 — Debt,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Marketable Securities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Concentration of Credit Risk and Significant Customer</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5" w:name="page136"/>
    <w:bookmarkEnd w:id="13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tables below show customers who account for 10% or more of the Company’s total revenues and 10% or more of the Company’s accounts receivable for the periods presented.</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20"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For the years ended December 31, 2022 and 2021, the Company’s customers that accounted for 10% or more of the total revenue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8"/>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6"/>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68"/>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28"/>
        </w:trPr>
        <w:tc>
          <w:tcPr>
            <w:tcW w:w="2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9"/>
        </w:trPr>
        <w:tc>
          <w:tcPr>
            <w:tcW w:w="20" w:type="dxa"/>
            <w:vAlign w:val="bottom"/>
          </w:tcPr>
          <w:p>
            <w:pPr>
              <w:spacing w:after="0"/>
              <w:rPr>
                <w:sz w:val="13"/>
                <w:szCs w:val="13"/>
                <w:color w:val="auto"/>
              </w:rPr>
            </w:pPr>
          </w:p>
        </w:tc>
        <w:tc>
          <w:tcPr>
            <w:tcW w:w="382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6"/>
                <w:szCs w:val="16"/>
                <w:color w:val="auto"/>
              </w:rPr>
              <w:t>New England Innovation Academy (“NEIA”) – Related</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Party</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22,010</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r>
      <w:tr>
        <w:trPr>
          <w:trHeight w:val="167"/>
        </w:trPr>
        <w:tc>
          <w:tcPr>
            <w:tcW w:w="20" w:type="dxa"/>
            <w:vAlign w:val="bottom"/>
          </w:tcPr>
          <w:p>
            <w:pPr>
              <w:spacing w:after="0"/>
              <w:rPr>
                <w:sz w:val="14"/>
                <w:szCs w:val="14"/>
                <w:color w:val="auto"/>
              </w:rPr>
            </w:pPr>
          </w:p>
        </w:tc>
        <w:tc>
          <w:tcPr>
            <w:tcW w:w="39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Greenstone Holdings (“Greenstone”) – Greenstone is 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90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w w:val="99"/>
              </w:rPr>
              <w:t>related party because one of the Company’s former Agrify</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900" w:type="dxa"/>
            <w:vAlign w:val="bottom"/>
            <w:gridSpan w:val="2"/>
          </w:tcPr>
          <w:p>
            <w:pPr>
              <w:ind w:left="140"/>
              <w:spacing w:after="0" w:line="180" w:lineRule="exact"/>
              <w:rPr>
                <w:sz w:val="20"/>
                <w:szCs w:val="20"/>
                <w:color w:val="auto"/>
              </w:rPr>
            </w:pPr>
            <w:r>
              <w:rPr>
                <w:rFonts w:ascii="Times New Roman" w:cs="Times New Roman" w:eastAsia="Times New Roman" w:hAnsi="Times New Roman"/>
                <w:sz w:val="16"/>
                <w:szCs w:val="16"/>
                <w:color w:val="auto"/>
              </w:rPr>
              <w:t>Brands employees and its VP of Engineering had a</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minority ownership</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9,429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26"/>
        </w:trPr>
        <w:tc>
          <w:tcPr>
            <w:tcW w:w="3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136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8,005</w:t>
            </w: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9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Company Customer Number – 139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8,761</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60" w:type="dxa"/>
            <w:vAlign w:val="bottom"/>
          </w:tcPr>
          <w:p>
            <w:pPr>
              <w:jc w:val="right"/>
              <w:ind w:right="125"/>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64" w:lineRule="exact"/>
        <w:rPr>
          <w:sz w:val="20"/>
          <w:szCs w:val="20"/>
          <w:color w:val="auto"/>
        </w:rPr>
      </w:pPr>
    </w:p>
    <w:p>
      <w:pPr>
        <w:ind w:left="1260" w:hanging="354"/>
        <w:spacing w:after="0"/>
        <w:tabs>
          <w:tab w:leader="none" w:pos="126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revenue, as a percentage of total revenue, was less than 10%</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20"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of December 31, 2022 and 2021, the Company’s customers that accounted for 10% or more of the total accounts receivable, net,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0"/>
        </w:trPr>
        <w:tc>
          <w:tcPr>
            <w:tcW w:w="3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8"/>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6"/>
        </w:trPr>
        <w:tc>
          <w:tcPr>
            <w:tcW w:w="3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r>
      <w:tr>
        <w:trPr>
          <w:trHeight w:val="190"/>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62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8"/>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4"/>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NEIA – Related Party</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3,498</w:t>
            </w:r>
          </w:p>
        </w:tc>
        <w:tc>
          <w:tcPr>
            <w:tcW w:w="8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48.4%</w:t>
            </w:r>
          </w:p>
        </w:tc>
      </w:tr>
      <w:tr>
        <w:trPr>
          <w:trHeight w:val="264"/>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 126</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4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1,541</w:t>
            </w: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21.3%</w:t>
            </w:r>
          </w:p>
        </w:tc>
      </w:tr>
      <w:tr>
        <w:trPr>
          <w:trHeight w:val="244"/>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15095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8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 10888</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6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6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16491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6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64" w:lineRule="exact"/>
        <w:rPr>
          <w:sz w:val="20"/>
          <w:szCs w:val="20"/>
          <w:color w:val="auto"/>
        </w:rPr>
      </w:pPr>
    </w:p>
    <w:p>
      <w:pPr>
        <w:ind w:left="1260" w:hanging="354"/>
        <w:spacing w:after="0"/>
        <w:tabs>
          <w:tab w:leader="none" w:pos="126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accounts receivable balance, as a percentage of total accounts receivable balance, was less than 10%</w:t>
      </w:r>
    </w:p>
    <w:p>
      <w:pPr>
        <w:spacing w:after="0" w:line="23" w:lineRule="exact"/>
        <w:rPr>
          <w:sz w:val="20"/>
          <w:szCs w:val="20"/>
          <w:color w:val="auto"/>
        </w:rPr>
      </w:pPr>
    </w:p>
    <w:p>
      <w:pPr>
        <w:ind w:left="1300" w:right="920" w:hanging="394"/>
        <w:spacing w:after="0" w:line="253" w:lineRule="auto"/>
        <w:tabs>
          <w:tab w:leader="none" w:pos="13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accounts receivable balance was fully reserved at December 31, 2022 due to an ongoing dispute with the customer.</w:t>
      </w:r>
    </w:p>
    <w:p>
      <w:pPr>
        <w:spacing w:after="0" w:line="34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 -offs of potentially slow -moving or damaged inventory are recorded through specific identification of obsolete or damaged material. The Company takes physical inventory at least once annually at all inventory locations.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6" w:name="page137"/>
    <w:bookmarkEnd w:id="13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60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0"/>
        </w:trPr>
        <w:tc>
          <w:tcPr>
            <w:tcW w:w="36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28"/>
        </w:trPr>
        <w:tc>
          <w:tcPr>
            <w:tcW w:w="36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8"/>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 to 3</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laboratory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 to 5</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Leased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5 to 13</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 to 5</w:t>
            </w: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of estimated useful life or remaining lease term</w:t>
            </w:r>
          </w:p>
        </w:tc>
      </w:tr>
    </w:tbl>
    <w:p>
      <w:pPr>
        <w:spacing w:after="0" w:line="169"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w:t>
      </w:r>
    </w:p>
    <w:p>
      <w:pPr>
        <w:spacing w:after="0" w:line="7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Costs for capital assets not yet placed into service are capitalized as construction-in-progress and depreciated once placed into service. During construction, costs are accumulated in a construction-in- progress account, with no depreciation. Upon completion, costs are transferred to the appropriate asset account, and depreciation begins when the asset is placed into service.</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94"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7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73"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Additional information regarding the Company’s interim testing on goodwill may be found in Note 7 — Goodwill and Intangible Assets, Net, included elsewhere in the notes to the consolidated financial statements.</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initially records intangible assets at their estimated fair values and reviews these assets periodically for impairment. Identifiable intangible assets, which consist principally of customer- related acquired assets, acquired and/or developed technology, non -compete agreements, and trade names, are reported net of accumulated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7" w:name="page138"/>
    <w:bookmarkEnd w:id="13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3" w:lineRule="auto"/>
        <w:rPr>
          <w:sz w:val="20"/>
          <w:szCs w:val="20"/>
          <w:color w:val="auto"/>
        </w:rPr>
      </w:pPr>
      <w:r>
        <w:rPr>
          <w:rFonts w:ascii="Times New Roman" w:cs="Times New Roman" w:eastAsia="Times New Roman" w:hAnsi="Times New Roman"/>
          <w:sz w:val="16"/>
          <w:szCs w:val="16"/>
          <w:color w:val="auto"/>
        </w:rPr>
        <w:t>amortization, and are being amortized over their estimated useful lives at amortization rates that are proportional to each asset’s estimated economic benefit. The Company’s intangible assets are amortized on a straight -line basis over the estimated useful lives of the assets. The Company reviews the carrying value of these intangible assets annually, or more frequently if indicators of impairment are present.</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useful lives are as follows:</w:t>
      </w:r>
    </w:p>
    <w:p>
      <w:pPr>
        <w:spacing w:after="0" w:line="200"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Trade names</w:t>
            </w:r>
          </w:p>
        </w:tc>
        <w:tc>
          <w:tcPr>
            <w:tcW w:w="288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5 to 7 years</w:t>
            </w: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288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5 to 8 years</w:t>
            </w: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2880" w:type="dxa"/>
            <w:vAlign w:val="bottom"/>
          </w:tcPr>
          <w:p>
            <w:pPr>
              <w:jc w:val="center"/>
              <w:ind w:left="2062"/>
              <w:spacing w:after="0"/>
              <w:rPr>
                <w:sz w:val="20"/>
                <w:szCs w:val="20"/>
                <w:color w:val="auto"/>
              </w:rPr>
            </w:pPr>
            <w:r>
              <w:rPr>
                <w:rFonts w:ascii="Times New Roman" w:cs="Times New Roman" w:eastAsia="Times New Roman" w:hAnsi="Times New Roman"/>
                <w:sz w:val="16"/>
                <w:szCs w:val="16"/>
                <w:color w:val="auto"/>
              </w:rPr>
              <w:t>5 years</w:t>
            </w: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88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5 to 8 years</w:t>
            </w:r>
          </w:p>
        </w:tc>
      </w:tr>
      <w:tr>
        <w:trPr>
          <w:trHeight w:val="264"/>
        </w:trPr>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Capitalized website costs</w:t>
            </w:r>
          </w:p>
        </w:tc>
        <w:tc>
          <w:tcPr>
            <w:tcW w:w="2880" w:type="dxa"/>
            <w:vAlign w:val="bottom"/>
          </w:tcPr>
          <w:p>
            <w:pPr>
              <w:jc w:val="center"/>
              <w:ind w:left="2082"/>
              <w:spacing w:after="0"/>
              <w:rPr>
                <w:sz w:val="20"/>
                <w:szCs w:val="20"/>
                <w:color w:val="auto"/>
              </w:rPr>
            </w:pPr>
            <w:r>
              <w:rPr>
                <w:rFonts w:ascii="Times New Roman" w:cs="Times New Roman" w:eastAsia="Times New Roman" w:hAnsi="Times New Roman"/>
                <w:sz w:val="16"/>
                <w:szCs w:val="16"/>
                <w:color w:val="auto"/>
                <w:w w:val="96"/>
              </w:rPr>
              <w:t>3 to 5 years</w:t>
            </w:r>
          </w:p>
        </w:tc>
      </w:tr>
    </w:tbl>
    <w:p>
      <w:pPr>
        <w:spacing w:after="0" w:line="16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97"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Additional information regarding the Company’s interim testing on intangible assets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Convertible Notes Payable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ECOs, certain variable-share settlement features, and any related freestanding instruments at their fair values as of the inception date of the agreement and at fair value as of each subsequent balance sheet date. Any change in fair value is recorded as non- 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0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If the Company determines that an instrument is not a derivative liability, it then evaluates whether there is a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 Additionally, adoption of ASU 2020-06 simplifies the accounting for convertible instruments by eliminating the cash conversion and the BCF accounting models for convertible debt and convertible preferred stock.</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8" w:name="page139"/>
    <w:bookmarkEnd w:id="13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8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73" w:lineRule="exact"/>
        <w:rPr>
          <w:sz w:val="20"/>
          <w:szCs w:val="20"/>
          <w:color w:val="auto"/>
        </w:rPr>
      </w:pPr>
    </w:p>
    <w:p>
      <w:pPr>
        <w:jc w:val="both"/>
        <w:ind w:left="900" w:right="920" w:firstLine="384"/>
        <w:spacing w:after="0" w:line="271" w:lineRule="auto"/>
        <w:rPr>
          <w:sz w:val="20"/>
          <w:szCs w:val="20"/>
          <w:color w:val="auto"/>
        </w:rPr>
      </w:pPr>
      <w:r>
        <w:rPr>
          <w:rFonts w:ascii="Times New Roman" w:cs="Times New Roman" w:eastAsia="Times New Roman" w:hAnsi="Times New Roman"/>
          <w:sz w:val="14"/>
          <w:szCs w:val="14"/>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w:t>
      </w:r>
    </w:p>
    <w:p>
      <w:pPr>
        <w:spacing w:after="0" w:line="4" w:lineRule="exact"/>
        <w:rPr>
          <w:sz w:val="20"/>
          <w:szCs w:val="20"/>
          <w:color w:val="auto"/>
        </w:rPr>
      </w:pPr>
    </w:p>
    <w:p>
      <w:pPr>
        <w:ind w:left="900" w:right="920"/>
        <w:spacing w:after="0" w:line="238" w:lineRule="auto"/>
        <w:rPr>
          <w:sz w:val="20"/>
          <w:szCs w:val="20"/>
          <w:color w:val="auto"/>
        </w:rPr>
      </w:pPr>
      <w:r>
        <w:rPr>
          <w:rFonts w:ascii="Times New Roman" w:cs="Times New Roman" w:eastAsia="Times New Roman" w:hAnsi="Times New Roman"/>
          <w:sz w:val="16"/>
          <w:szCs w:val="16"/>
          <w:color w:val="auto"/>
        </w:rPr>
        <w:t>— Fair Value Measures and Note 9 — Debt, included elsewhere in the notes to the consolidated financial statements.</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Debt Issuance Costs and Debt Discount</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Original Issue Discount</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39" w:name="page140"/>
    <w:bookmarkEnd w:id="13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5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1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94"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The Company measures all stock options and other stock- 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44"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Company classifies stock-based compensation expense in its consolidated statements of operations in the same manner in which the award recipient’s payroll costs are classified.</w:t>
      </w:r>
    </w:p>
    <w:p>
      <w:pPr>
        <w:spacing w:after="0" w:line="59" w:lineRule="exact"/>
        <w:rPr>
          <w:sz w:val="20"/>
          <w:szCs w:val="20"/>
          <w:color w:val="auto"/>
        </w:rPr>
      </w:pPr>
    </w:p>
    <w:p>
      <w:pPr>
        <w:jc w:val="both"/>
        <w:ind w:left="900" w:right="860" w:firstLine="384"/>
        <w:spacing w:after="0" w:line="237" w:lineRule="auto"/>
        <w:rPr>
          <w:sz w:val="20"/>
          <w:szCs w:val="20"/>
          <w:color w:val="auto"/>
        </w:rPr>
      </w:pPr>
      <w:r>
        <w:rPr>
          <w:rFonts w:ascii="Times New Roman" w:cs="Times New Roman" w:eastAsia="Times New Roman" w:hAnsi="Times New Roman"/>
          <w:sz w:val="16"/>
          <w:szCs w:val="16"/>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97"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0" w:name="page141"/>
    <w:bookmarkEnd w:id="14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80" w:lineRule="auto"/>
        <w:rPr>
          <w:sz w:val="20"/>
          <w:szCs w:val="20"/>
          <w:color w:val="auto"/>
        </w:rPr>
      </w:pPr>
      <w:r>
        <w:rPr>
          <w:rFonts w:ascii="Times New Roman" w:cs="Times New Roman" w:eastAsia="Times New Roman" w:hAnsi="Times New Roman"/>
          <w:sz w:val="14"/>
          <w:szCs w:val="14"/>
          <w:color w:val="auto"/>
        </w:rPr>
        <w:t>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49"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Company generates revenue from the following sources: (1) equipment sales, (2) providing services and</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 construction contracts.</w:t>
      </w:r>
    </w:p>
    <w:p>
      <w:pPr>
        <w:spacing w:after="0" w:line="7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accordance with ASC 606 “Revenue Recognition”, the Company recognizes revenue from contracts with customers using a five-step model, which is described below:</w:t>
      </w:r>
    </w:p>
    <w:p>
      <w:pPr>
        <w:spacing w:after="0" w:line="59" w:lineRule="exact"/>
        <w:rPr>
          <w:sz w:val="20"/>
          <w:szCs w:val="20"/>
          <w:color w:val="auto"/>
        </w:rPr>
      </w:pPr>
    </w:p>
    <w:p>
      <w:pPr>
        <w:ind w:left="1680" w:hanging="389"/>
        <w:spacing w:after="0"/>
        <w:tabs>
          <w:tab w:leader="none" w:pos="16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customer contract;</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performance obligations that are distinct;</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distinct performance obligations; and</w:t>
      </w:r>
    </w:p>
    <w:p>
      <w:pPr>
        <w:spacing w:after="0" w:line="92"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as the performance obligations are satisfied.</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Identify the customer contract</w:t>
      </w:r>
    </w:p>
    <w:p>
      <w:pPr>
        <w:spacing w:after="0" w:line="96"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Identify performance obligations that are distinct</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Determine the transaction price</w:t>
      </w:r>
    </w:p>
    <w:p>
      <w:pPr>
        <w:spacing w:after="0" w:line="120" w:lineRule="exact"/>
        <w:rPr>
          <w:sz w:val="20"/>
          <w:szCs w:val="20"/>
          <w:color w:val="auto"/>
        </w:rPr>
      </w:pPr>
    </w:p>
    <w:p>
      <w:pPr>
        <w:jc w:val="both"/>
        <w:ind w:left="900" w:right="880" w:firstLine="384"/>
        <w:spacing w:after="0" w:line="247"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Allocate the transaction price to distinct performance obligations</w:t>
      </w:r>
    </w:p>
    <w:p>
      <w:pPr>
        <w:spacing w:after="0" w:line="96" w:lineRule="exact"/>
        <w:rPr>
          <w:sz w:val="20"/>
          <w:szCs w:val="20"/>
          <w:color w:val="auto"/>
        </w:rPr>
      </w:pPr>
    </w:p>
    <w:p>
      <w:pPr>
        <w:jc w:val="both"/>
        <w:ind w:left="900" w:right="920" w:firstLine="384"/>
        <w:spacing w:after="0" w:line="284" w:lineRule="auto"/>
        <w:rPr>
          <w:sz w:val="20"/>
          <w:szCs w:val="20"/>
          <w:color w:val="auto"/>
        </w:rPr>
      </w:pPr>
      <w:r>
        <w:rPr>
          <w:rFonts w:ascii="Times New Roman" w:cs="Times New Roman" w:eastAsia="Times New Roman" w:hAnsi="Times New Roman"/>
          <w:sz w:val="14"/>
          <w:szCs w:val="14"/>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1" w:name="page142"/>
    <w:bookmarkEnd w:id="14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Recognize revenue as the performance obligations are satisfied</w:t>
      </w:r>
    </w:p>
    <w:p>
      <w:pPr>
        <w:spacing w:after="0" w:line="120"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Revenue is recognized when, or as, performance obligations are satisfied by transferring control of a promised product or service to a customer.</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Significant Judgments</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9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0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utilizes the cost- 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determines the SSP for services in time and materials contracts by observable prices in standalone services arrangements.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estimates variable consideration in the form of royalties, revenue share, monthly fees, and service credits at contract inception and it is updated at the end of each reporting period if additional information becomes available. Variable consideration is typically not subject to constraint. Changes to variable consideration were not material for the periods presented.</w:t>
      </w:r>
    </w:p>
    <w:p>
      <w:pPr>
        <w:spacing w:after="0" w:line="95"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years ended December 31, 2022 and 2021, the Company did not have any such financial income.</w:t>
      </w:r>
    </w:p>
    <w:p>
      <w:pPr>
        <w:spacing w:after="0" w:line="10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2" w:name="page143"/>
    <w:bookmarkEnd w:id="14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8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86"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In accordance with ASC 606-10- 50- 13,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606- 10-50-14A, including (i) performance obligation is part of a contract that has an original expected duration of one year or less and (ii) the right to invoice practical expedient.</w:t>
      </w:r>
    </w:p>
    <w:p>
      <w:pPr>
        <w:spacing w:after="0" w:line="89" w:lineRule="exact"/>
        <w:rPr>
          <w:sz w:val="20"/>
          <w:szCs w:val="20"/>
          <w:color w:val="auto"/>
        </w:rPr>
      </w:pPr>
    </w:p>
    <w:p>
      <w:pPr>
        <w:jc w:val="both"/>
        <w:ind w:left="900" w:right="880" w:firstLine="384"/>
        <w:spacing w:after="0" w:line="238" w:lineRule="auto"/>
        <w:rPr>
          <w:sz w:val="20"/>
          <w:szCs w:val="20"/>
          <w:color w:val="auto"/>
        </w:rPr>
      </w:pPr>
      <w:r>
        <w:rPr>
          <w:rFonts w:ascii="Times New Roman" w:cs="Times New Roman" w:eastAsia="Times New Roman" w:hAnsi="Times New Roman"/>
          <w:sz w:val="16"/>
          <w:szCs w:val="16"/>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 -year period. In accordance with ASC 450-20-25, the Company accrues for product warranties when the loss is probable and can be reasonably estimated. The Company maintains a reserve for warranty returns of $553 thousand and $398 thousand for December 31, 2022 and 2021,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Capitalization of Internal Software Development Costs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capitalizes certain software engineering efforts related to the continued development of Agrify Insights™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3" w:name="page144"/>
    <w:bookmarkEnd w:id="14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68"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 -likely-than-not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2022, tax years 2017 through 2021 remain open for audit by the Internal Revenue Service (“IRS”). The Company has received no notice of audit from the IRS for any of the open tax years.</w:t>
      </w:r>
    </w:p>
    <w:p>
      <w:pPr>
        <w:spacing w:after="0" w:line="233"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4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For the year ended December 31, 2021, the Company recorded a deferred tax liability of approximately $25 thousand, comprised of its change in deferred tax liability during the year related to its indefinite-lived intangible asset balance. The indefinite-lived intangibles are not all available as a source of income and thus are not fully available to offset the Company’s deferred tax assets. As of December 31, 2022, the Company has federal and state net operating loss (“NOL”) carryforwards of approximately $96.7 million and $71.6 million, respectively. There was no federal income tax expense for the years ended December 31, 2022 and 2021 due to the Company’s net losses.</w:t>
      </w:r>
    </w:p>
    <w:p>
      <w:pPr>
        <w:spacing w:after="0" w:line="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Net Loss Per Share</w:t>
      </w:r>
    </w:p>
    <w:p>
      <w:pPr>
        <w:spacing w:after="0" w:line="94"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50"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Net loss per share calculations for all periods have been adjusted to reflect the reverse stock splits effected on January 12, 2021, October 18, 2022 and July 5, 2023. Net loss per share was calculated based on the weighted-average number of Common Stock outstanding.</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August 2020, the FASB issued ASU No. 2020-06, Debt — Debt with Conversion and Other Options (Subtopic 470-20), and Derivatives and Hedging —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4" w:name="page145"/>
    <w:bookmarkEnd w:id="14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scope exceptions for contracts in an entity’s own equity. ASU 2020- 06 is effective for fiscal years beginning after December 15, 2021, including interim periods within those fiscal years. The adoption of this new accounting guidance had no impact on the Company’s consolidated financial position.</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Pending Accounting Pronouncements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June 2016, the FASB issued ASU No. 2016- 13, Financial Instruments — 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for fiscal years beginning after December 15, 2022. The Company does not expect that the application of ASU No. 2016-13 will have a material impact on the presentation of its results of operations, financial position, or disclosures.</w:t>
      </w:r>
    </w:p>
    <w:p>
      <w:pPr>
        <w:spacing w:after="0" w:line="101"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In October 2021, the FASB issued ASU No. 2021 -08,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does not expect that the application of ASU 2021-08 will have a material impact on the presentation of its results of operations, financial position, or disclosures.</w:t>
      </w:r>
    </w:p>
    <w:p>
      <w:pPr>
        <w:spacing w:after="0" w:line="10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Other recent accounting pronouncements did not or are not believed by management to have a material impact on the Company’s present or future consolidated financial statements.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2 — Revenue and Deferred Revenue</w:t>
      </w:r>
    </w:p>
    <w:p>
      <w:pPr>
        <w:spacing w:after="0" w:line="1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20"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provides the Company’s revenue disaggregated by the timing of revenue recognition:</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r>
      <w:tr>
        <w:trPr>
          <w:trHeight w:val="190"/>
        </w:trPr>
        <w:tc>
          <w:tcPr>
            <w:tcW w:w="26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2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8"/>
        </w:trPr>
        <w:tc>
          <w:tcPr>
            <w:tcW w:w="26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Transferred at a point in time</w:t>
            </w:r>
          </w:p>
        </w:tc>
        <w:tc>
          <w:tcPr>
            <w:tcW w:w="2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34,813</w:t>
            </w: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23,624</w:t>
            </w:r>
          </w:p>
        </w:tc>
      </w:tr>
      <w:tr>
        <w:trPr>
          <w:trHeight w:val="257"/>
        </w:trPr>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Transferred over time</w:t>
            </w:r>
          </w:p>
        </w:tc>
        <w:tc>
          <w:tcPr>
            <w:tcW w:w="22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23,446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36,235</w:t>
            </w:r>
          </w:p>
        </w:tc>
      </w:tr>
      <w:tr>
        <w:trPr>
          <w:trHeight w:val="238"/>
        </w:trPr>
        <w:tc>
          <w:tcPr>
            <w:tcW w:w="2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w:t>
            </w:r>
          </w:p>
        </w:tc>
        <w:tc>
          <w:tcPr>
            <w:tcW w:w="2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13"/>
        </w:trPr>
        <w:tc>
          <w:tcPr>
            <w:tcW w:w="26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1460"/>
              <w:spacing w:after="0"/>
              <w:rPr>
                <w:sz w:val="20"/>
                <w:szCs w:val="20"/>
                <w:color w:val="auto"/>
              </w:rPr>
            </w:pPr>
            <w:r>
              <w:rPr>
                <w:rFonts w:ascii="Times New Roman" w:cs="Times New Roman" w:eastAsia="Times New Roman" w:hAnsi="Times New Roman"/>
                <w:sz w:val="16"/>
                <w:szCs w:val="16"/>
                <w:color w:val="auto"/>
              </w:rPr>
              <w:t>F-24</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45" w:name="page146"/>
    <w:bookmarkEnd w:id="14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2 — Revenue and Deferred Revenue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provides the Company’s revenue disaggregated by revenue type:</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Cultivation solutions, including ancillary products and services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11,354</w:t>
            </w: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Agrify Insights™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Facility build-outs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36,193</w:t>
            </w:r>
          </w:p>
        </w:tc>
      </w:tr>
      <w:tr>
        <w:trPr>
          <w:trHeight w:val="257"/>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Extraction solutions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34,345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12,304</w:t>
            </w:r>
          </w:p>
        </w:tc>
      </w:tr>
      <w:tr>
        <w:trPr>
          <w:trHeight w:val="238"/>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58,259</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rPr>
          <w:sz w:val="20"/>
          <w:szCs w:val="20"/>
          <w:color w:val="auto"/>
        </w:rPr>
      </w:pPr>
      <w:r>
        <w:rPr>
          <w:rFonts w:ascii="Times New Roman" w:cs="Times New Roman" w:eastAsia="Times New Roman" w:hAnsi="Times New Roman"/>
          <w:sz w:val="16"/>
          <w:szCs w:val="16"/>
          <w:color w:val="auto"/>
        </w:rPr>
        <w:t>In accordance with ASC 606-10- 50- 13,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w:t>
      </w:r>
    </w:p>
    <w:p>
      <w:pPr>
        <w:spacing w:after="0" w:line="2" w:lineRule="exact"/>
        <w:rPr>
          <w:sz w:val="20"/>
          <w:szCs w:val="20"/>
          <w:color w:val="auto"/>
        </w:rPr>
      </w:pPr>
    </w:p>
    <w:p>
      <w:pPr>
        <w:ind w:left="900" w:right="920" w:firstLine="6"/>
        <w:spacing w:after="0" w:line="238" w:lineRule="auto"/>
        <w:tabs>
          <w:tab w:leader="none" w:pos="1087"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obligation is part of a contract that has an original expected duration of one year or less and (ii) the right to invoice practical expedient.</w:t>
      </w: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Deferred Revenue</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the Company’s current deferred revenue balance for the years ended December 31, 2022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2021 were as follows: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7"/>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 beginning of period</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3,762</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Recognized</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(13,052)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revenue – end of period</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0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Deferred revenue balances primarily consist of customer deposits on the Company’s cultivation and extraction solutions equipment. As of December 31, 2022 and 2021, all of the Company’s deferred revenue balances were reported as current liabilities in the accompanying consolidated balance sheets.</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In the year ended December 31, 2022, the Company recognized $2.7 million of revenue that was deferred during 2021. And, during the year ended December 31, 2021, the Company recognized $120 thousand of revenue that was deferred during 2020.</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3 — Supplemental Consolidated Balance Sheet Information</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Accounts receivable consisted of the following as of December 31, 2022 and 2021:</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gross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center"/>
              <w:ind w:left="284"/>
              <w:spacing w:after="0"/>
              <w:rPr>
                <w:sz w:val="20"/>
                <w:szCs w:val="20"/>
                <w:color w:val="auto"/>
              </w:rPr>
            </w:pPr>
            <w:r>
              <w:rPr>
                <w:rFonts w:ascii="Times New Roman" w:cs="Times New Roman" w:eastAsia="Times New Roman" w:hAnsi="Times New Roman"/>
                <w:sz w:val="16"/>
                <w:szCs w:val="16"/>
                <w:color w:val="auto"/>
                <w:w w:val="99"/>
              </w:rPr>
              <w:t>5,675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center"/>
              <w:ind w:left="324"/>
              <w:spacing w:after="0"/>
              <w:rPr>
                <w:sz w:val="20"/>
                <w:szCs w:val="20"/>
                <w:color w:val="auto"/>
              </w:rPr>
            </w:pPr>
            <w:r>
              <w:rPr>
                <w:rFonts w:ascii="Times New Roman" w:cs="Times New Roman" w:eastAsia="Times New Roman" w:hAnsi="Times New Roman"/>
                <w:sz w:val="16"/>
                <w:szCs w:val="16"/>
                <w:color w:val="auto"/>
                <w:w w:val="99"/>
              </w:rPr>
              <w:t>8,637</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Less allowance for doubtful accounts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center"/>
              <w:ind w:left="264"/>
              <w:spacing w:after="0"/>
              <w:rPr>
                <w:sz w:val="20"/>
                <w:szCs w:val="20"/>
                <w:color w:val="auto"/>
              </w:rPr>
            </w:pPr>
            <w:r>
              <w:rPr>
                <w:rFonts w:ascii="Times New Roman" w:cs="Times New Roman" w:eastAsia="Times New Roman" w:hAnsi="Times New Roman"/>
                <w:sz w:val="16"/>
                <w:szCs w:val="16"/>
                <w:color w:val="auto"/>
                <w:w w:val="98"/>
              </w:rPr>
              <w:t>(4,605)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left="304"/>
              <w:spacing w:after="0"/>
              <w:rPr>
                <w:sz w:val="20"/>
                <w:szCs w:val="20"/>
                <w:color w:val="auto"/>
              </w:rPr>
            </w:pPr>
            <w:r>
              <w:rPr>
                <w:rFonts w:ascii="Times New Roman" w:cs="Times New Roman" w:eastAsia="Times New Roman" w:hAnsi="Times New Roman"/>
                <w:sz w:val="16"/>
                <w:szCs w:val="16"/>
                <w:color w:val="auto"/>
                <w:w w:val="98"/>
              </w:rPr>
              <w:t>(1,415)</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center"/>
              <w:ind w:left="284"/>
              <w:spacing w:after="0"/>
              <w:rPr>
                <w:sz w:val="20"/>
                <w:szCs w:val="20"/>
                <w:color w:val="auto"/>
              </w:rPr>
            </w:pPr>
            <w:r>
              <w:rPr>
                <w:rFonts w:ascii="Times New Roman" w:cs="Times New Roman" w:eastAsia="Times New Roman" w:hAnsi="Times New Roman"/>
                <w:sz w:val="16"/>
                <w:szCs w:val="16"/>
                <w:color w:val="auto"/>
                <w:w w:val="99"/>
              </w:rPr>
              <w:t>1,070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center"/>
              <w:ind w:left="324"/>
              <w:spacing w:after="0"/>
              <w:rPr>
                <w:sz w:val="20"/>
                <w:szCs w:val="20"/>
                <w:color w:val="auto"/>
              </w:rPr>
            </w:pPr>
            <w:r>
              <w:rPr>
                <w:rFonts w:ascii="Times New Roman" w:cs="Times New Roman" w:eastAsia="Times New Roman" w:hAnsi="Times New Roman"/>
                <w:sz w:val="16"/>
                <w:szCs w:val="16"/>
                <w:color w:val="auto"/>
                <w:w w:val="99"/>
              </w:rPr>
              <w:t>7,222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NEIA, a related party, accounted for $3 thousand and $3.5 million of the Company’s accounts receivable, net as of December 31, 2022 and 2021, respectively.</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6" w:name="page147"/>
    <w:bookmarkEnd w:id="14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3 — Supplemental Consolidated Balance Sheet Information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changes in the allowance for doubtful accounts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doubtful accounts – beginning of period</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Allowance for doubtful accounts – end of period</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4,605</w:t>
            </w:r>
          </w:p>
        </w:tc>
        <w:tc>
          <w:tcPr>
            <w:tcW w:w="100" w:type="dxa"/>
            <w:vAlign w:val="bottom"/>
          </w:tcPr>
          <w:p>
            <w:pPr>
              <w:spacing w:after="0"/>
              <w:rPr>
                <w:sz w:val="20"/>
                <w:szCs w:val="20"/>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Bad debt expense was $3.4 million and $1.2 million for the years ended December 31, 2022 and 2021, respectively.</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 as of December 31, 2022 and 2021:</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receivables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other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Deferred issuance costs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Prepaid materials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note receivables</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Deferred costs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60" w:type="dxa"/>
            <w:vAlign w:val="bottom"/>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300" w:right="900" w:hanging="394"/>
        <w:spacing w:after="0" w:line="291" w:lineRule="auto"/>
        <w:tabs>
          <w:tab w:leader="none" w:pos="13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note receivables relate to the current portion of one of its loan receivable balances related to the total turn-key solution (“TTK Solution”) program.</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December 31, 2022 and 2021:</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r>
      <w:tr>
        <w:trPr>
          <w:trHeight w:val="28"/>
        </w:trPr>
        <w:tc>
          <w:tcPr>
            <w:tcW w:w="3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20" w:type="dxa"/>
            <w:vAlign w:val="bottom"/>
          </w:tcPr>
          <w:p>
            <w:pPr>
              <w:spacing w:after="0"/>
              <w:rPr>
                <w:sz w:val="20"/>
                <w:szCs w:val="20"/>
                <w:color w:val="auto"/>
              </w:rPr>
            </w:pP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Pr>
          <w:p>
            <w:pPr>
              <w:spacing w:after="0"/>
              <w:rPr>
                <w:sz w:val="20"/>
                <w:szCs w:val="20"/>
                <w:color w:val="auto"/>
              </w:rPr>
            </w:pP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Pr>
          <w:p>
            <w:pPr>
              <w:spacing w:after="0"/>
              <w:rPr>
                <w:sz w:val="20"/>
                <w:szCs w:val="20"/>
                <w:color w:val="auto"/>
              </w:rPr>
            </w:pP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laboratory equipment</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0"/>
                <w:szCs w:val="20"/>
                <w:color w:val="auto"/>
              </w:rPr>
            </w:pP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1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22"/>
                <w:szCs w:val="22"/>
                <w:color w:val="auto"/>
              </w:rPr>
            </w:pPr>
          </w:p>
        </w:tc>
      </w:tr>
      <w:tr>
        <w:trPr>
          <w:trHeight w:val="225"/>
        </w:trPr>
        <w:tc>
          <w:tcPr>
            <w:tcW w:w="32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 gross</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3,776</w:t>
            </w:r>
          </w:p>
        </w:tc>
      </w:tr>
      <w:tr>
        <w:trPr>
          <w:trHeight w:val="26"/>
        </w:trPr>
        <w:tc>
          <w:tcPr>
            <w:tcW w:w="3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(780)</w:t>
            </w:r>
          </w:p>
        </w:tc>
      </w:tr>
      <w:tr>
        <w:trPr>
          <w:trHeight w:val="257"/>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7,443</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3,236</w:t>
            </w:r>
          </w:p>
        </w:tc>
        <w:tc>
          <w:tcPr>
            <w:tcW w:w="120" w:type="dxa"/>
            <w:vAlign w:val="bottom"/>
            <w:tcBorders>
              <w:bottom w:val="single" w:sz="8" w:color="CCEEFF"/>
            </w:tcBorders>
          </w:tcPr>
          <w:p>
            <w:pPr>
              <w:spacing w:after="0"/>
              <w:rPr>
                <w:sz w:val="22"/>
                <w:szCs w:val="22"/>
                <w:color w:val="auto"/>
              </w:rPr>
            </w:pPr>
          </w:p>
        </w:tc>
      </w:tr>
      <w:tr>
        <w:trPr>
          <w:trHeight w:val="238"/>
        </w:trPr>
        <w:tc>
          <w:tcPr>
            <w:tcW w:w="3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72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6,232</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0"/>
        </w:trPr>
        <w:tc>
          <w:tcPr>
            <w:tcW w:w="32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3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1222"/>
              <w:spacing w:after="0"/>
              <w:rPr>
                <w:sz w:val="20"/>
                <w:szCs w:val="20"/>
                <w:color w:val="auto"/>
              </w:rPr>
            </w:pPr>
            <w:r>
              <w:rPr>
                <w:rFonts w:ascii="Times New Roman" w:cs="Times New Roman" w:eastAsia="Times New Roman" w:hAnsi="Times New Roman"/>
                <w:sz w:val="16"/>
                <w:szCs w:val="16"/>
                <w:color w:val="auto"/>
              </w:rPr>
              <w:t>F-26</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47" w:name="page148"/>
    <w:bookmarkEnd w:id="14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3 — Supplemental Consolidated Balance Sheet Information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Depreciation expense for the years ended December 31, 2022 and 2021 was $1.7 million and $655 thousand, respectively.</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Other Non-Current Assets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Other non-current assets consisted of the following as of December 31, 2022 and 2021:</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4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deferred commissions expense</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0" w:type="dxa"/>
            <w:vAlign w:val="bottom"/>
          </w:tcPr>
          <w:p>
            <w:pPr>
              <w:spacing w:after="0"/>
              <w:rPr>
                <w:sz w:val="19"/>
                <w:szCs w:val="19"/>
                <w:color w:val="auto"/>
              </w:rPr>
            </w:pPr>
          </w:p>
        </w:tc>
      </w:tr>
      <w:tr>
        <w:trPr>
          <w:trHeight w:val="257"/>
        </w:trPr>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 w:type="dxa"/>
            <w:vAlign w:val="bottom"/>
          </w:tcPr>
          <w:p>
            <w:pPr>
              <w:spacing w:after="0"/>
              <w:rPr>
                <w:sz w:val="22"/>
                <w:szCs w:val="22"/>
                <w:color w:val="auto"/>
              </w:rPr>
            </w:pPr>
          </w:p>
        </w:tc>
      </w:tr>
      <w:tr>
        <w:trPr>
          <w:trHeight w:val="238"/>
        </w:trPr>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w:t>
            </w:r>
          </w:p>
        </w:tc>
        <w:tc>
          <w:tcPr>
            <w:tcW w:w="20" w:type="dxa"/>
            <w:vAlign w:val="bottom"/>
          </w:tcPr>
          <w:p>
            <w:pPr>
              <w:spacing w:after="0"/>
              <w:rPr>
                <w:sz w:val="20"/>
                <w:szCs w:val="20"/>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Accrued expenses and other current liabilities consisted of the following as of December 31, 2022 and 2021:</w:t>
      </w:r>
    </w:p>
    <w:p>
      <w:pPr>
        <w:spacing w:after="0" w:line="174"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tax payable</w:t>
            </w:r>
            <w:r>
              <w:rPr>
                <w:rFonts w:ascii="Times New Roman" w:cs="Times New Roman" w:eastAsia="Times New Roman" w:hAnsi="Times New Roman"/>
                <w:sz w:val="19"/>
                <w:szCs w:val="19"/>
                <w:color w:val="auto"/>
                <w:vertAlign w:val="superscript"/>
              </w:rPr>
              <w:t>(1)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20" w:type="dxa"/>
            <w:vAlign w:val="bottom"/>
          </w:tcPr>
          <w:p>
            <w:pPr>
              <w:spacing w:after="0"/>
              <w:rPr>
                <w:sz w:val="21"/>
                <w:szCs w:val="21"/>
                <w:color w:val="auto"/>
              </w:rPr>
            </w:pPr>
          </w:p>
        </w:tc>
      </w:tr>
      <w:tr>
        <w:trPr>
          <w:trHeight w:val="26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acquisition liabilities</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3,502</w:t>
            </w: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9,198</w:t>
            </w: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construction costs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2,669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8,803</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related fees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2,285</w:t>
            </w: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3,491</w:t>
            </w: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inventory purchases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warranty costs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expense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0" w:type="dxa"/>
            <w:vAlign w:val="bottom"/>
          </w:tcPr>
          <w:p>
            <w:pPr>
              <w:spacing w:after="0"/>
              <w:rPr>
                <w:sz w:val="21"/>
                <w:szCs w:val="21"/>
                <w:color w:val="auto"/>
              </w:rPr>
            </w:pPr>
          </w:p>
        </w:tc>
      </w:tr>
      <w:tr>
        <w:trPr>
          <w:trHeight w:val="257"/>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22"/>
                <w:szCs w:val="22"/>
                <w:color w:val="auto"/>
              </w:rPr>
            </w:pPr>
          </w:p>
        </w:tc>
      </w:tr>
      <w:tr>
        <w:trPr>
          <w:trHeight w:val="238"/>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28,764</w:t>
            </w:r>
          </w:p>
        </w:tc>
        <w:tc>
          <w:tcPr>
            <w:tcW w:w="20" w:type="dxa"/>
            <w:vAlign w:val="bottom"/>
          </w:tcPr>
          <w:p>
            <w:pPr>
              <w:spacing w:after="0"/>
              <w:rPr>
                <w:sz w:val="20"/>
                <w:szCs w:val="20"/>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20" w:hanging="394"/>
        <w:spacing w:after="0" w:line="258" w:lineRule="auto"/>
        <w:tabs>
          <w:tab w:leader="none" w:pos="13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tax payable primarily represents identified sales and use tax liabilities arising from the acquisition of Precision and Cascade. These amounts are included as part of the initial purchase price allocations and are the subject matter of an indemnification claim under the Precision and Cascade acquisition agreement.</w:t>
      </w:r>
    </w:p>
    <w:p>
      <w:pPr>
        <w:jc w:val="both"/>
        <w:ind w:left="1300" w:right="900" w:hanging="394"/>
        <w:spacing w:after="0" w:line="265" w:lineRule="auto"/>
        <w:tabs>
          <w:tab w:leader="none" w:pos="13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acquisition liabilities include both the contingent consideration and the value of held -back Common Stock associated with the 2022 acquisition of Lab Society and the 2021 acquisitions of PurePressure, Cascade, and Precision.</w:t>
      </w: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Accrued Warranty Costs</w:t>
      </w:r>
    </w:p>
    <w:p>
      <w:pPr>
        <w:spacing w:after="0" w:line="118"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activity related to the Company’s accrued liability for estimated future warranty costs: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accrual – beginning of period</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5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Liabilities accrued for warranties issued during period</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38"/>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accrual – end of period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460"/>
              <w:spacing w:after="0"/>
              <w:rPr>
                <w:sz w:val="20"/>
                <w:szCs w:val="20"/>
                <w:color w:val="auto"/>
              </w:rPr>
            </w:pPr>
            <w:r>
              <w:rPr>
                <w:rFonts w:ascii="Times New Roman" w:cs="Times New Roman" w:eastAsia="Times New Roman" w:hAnsi="Times New Roman"/>
                <w:sz w:val="16"/>
                <w:szCs w:val="16"/>
                <w:color w:val="auto"/>
              </w:rPr>
              <w:t>F-27</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92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48" w:name="page149"/>
    <w:bookmarkEnd w:id="14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4 — Fair Value Measures</w:t>
      </w:r>
    </w:p>
    <w:p>
      <w:pPr>
        <w:spacing w:after="0" w:line="1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Values of Assets and Liabilities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2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Level 1: Observable inputs such as quoted prices for identical assets or liabilities in active markets.</w:t>
      </w:r>
    </w:p>
    <w:p>
      <w:pPr>
        <w:spacing w:after="0" w:line="152" w:lineRule="exact"/>
        <w:rPr>
          <w:sz w:val="20"/>
          <w:szCs w:val="20"/>
          <w:color w:val="auto"/>
        </w:rPr>
      </w:pPr>
    </w:p>
    <w:p>
      <w:pPr>
        <w:ind w:left="1880" w:right="920" w:hanging="599"/>
        <w:spacing w:after="0" w:line="259" w:lineRule="auto"/>
        <w:rPr>
          <w:sz w:val="20"/>
          <w:szCs w:val="20"/>
          <w:color w:val="auto"/>
        </w:rPr>
      </w:pPr>
      <w:r>
        <w:rPr>
          <w:rFonts w:ascii="Times New Roman" w:cs="Times New Roman" w:eastAsia="Times New Roman" w:hAnsi="Times New Roman"/>
          <w:sz w:val="16"/>
          <w:szCs w:val="16"/>
          <w:color w:val="auto"/>
        </w:rPr>
        <w:t>Level 2: Other inputs that are observable directly or indirectly, such as quoted prices for similar instruments in active markets or for similar markets that are not active.</w:t>
      </w:r>
    </w:p>
    <w:p>
      <w:pPr>
        <w:spacing w:after="0" w:line="119" w:lineRule="exact"/>
        <w:rPr>
          <w:sz w:val="20"/>
          <w:szCs w:val="20"/>
          <w:color w:val="auto"/>
        </w:rPr>
      </w:pPr>
    </w:p>
    <w:p>
      <w:pPr>
        <w:ind w:left="1880" w:right="920" w:hanging="599"/>
        <w:spacing w:after="0" w:line="259" w:lineRule="auto"/>
        <w:rPr>
          <w:sz w:val="20"/>
          <w:szCs w:val="20"/>
          <w:color w:val="auto"/>
        </w:rPr>
      </w:pPr>
      <w:r>
        <w:rPr>
          <w:rFonts w:ascii="Times New Roman" w:cs="Times New Roman" w:eastAsia="Times New Roman" w:hAnsi="Times New Roman"/>
          <w:sz w:val="16"/>
          <w:szCs w:val="16"/>
          <w:color w:val="auto"/>
        </w:rPr>
        <w:t>Level 3: Unobservable inputs for which there is little or no market data which require the Company to develop its own assumptions about how market participants would price the asset or liability.</w:t>
      </w:r>
    </w:p>
    <w:p>
      <w:pPr>
        <w:spacing w:after="0" w:line="155"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95"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At December 31, 2022 and 2021, the Company’s assets and liabilities measured at fair value on a recurring basis were as follows: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9"/>
          </w:tcPr>
          <w:p>
            <w:pPr>
              <w:jc w:val="center"/>
              <w:ind w:left="183"/>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9"/>
          </w:tcPr>
          <w:p>
            <w:pPr>
              <w:jc w:val="center"/>
              <w:ind w:left="303"/>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Using Input Types</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Using Input Types</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9"/>
                <w:szCs w:val="19"/>
                <w:color w:val="auto"/>
              </w:rPr>
            </w:pPr>
          </w:p>
        </w:tc>
        <w:tc>
          <w:tcPr>
            <w:tcW w:w="142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Level 2   Level 3</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8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Level 2   Level 3</w:t>
            </w:r>
          </w:p>
        </w:tc>
        <w:tc>
          <w:tcPr>
            <w:tcW w:w="1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8"/>
        </w:trPr>
        <w:tc>
          <w:tcPr>
            <w:tcW w:w="1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Mutual funds (included in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00" w:type="dxa"/>
            <w:vAlign w:val="bottom"/>
          </w:tcPr>
          <w:p>
            <w:pPr>
              <w:ind w:left="320"/>
              <w:spacing w:after="0" w:line="180" w:lineRule="exact"/>
              <w:rPr>
                <w:sz w:val="20"/>
                <w:szCs w:val="20"/>
                <w:color w:val="auto"/>
              </w:rPr>
            </w:pPr>
            <w:r>
              <w:rPr>
                <w:rFonts w:ascii="Times New Roman" w:cs="Times New Roman" w:eastAsia="Times New Roman" w:hAnsi="Times New Roman"/>
                <w:sz w:val="16"/>
                <w:szCs w:val="16"/>
                <w:color w:val="auto"/>
              </w:rPr>
              <w:t>cash and cash</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equivalents in 2021)</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40" w:type="dxa"/>
            <w:vAlign w:val="bottom"/>
            <w:gridSpan w:val="2"/>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Municipal bonds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9,961</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34,589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900" w:type="dxa"/>
            <w:vAlign w:val="bottom"/>
            <w:vMerge w:val="continue"/>
            <w:shd w:val="clear" w:color="auto" w:fill="CCEEFF"/>
          </w:tcPr>
          <w:p>
            <w:pPr>
              <w:spacing w:after="0"/>
              <w:rPr>
                <w:sz w:val="20"/>
                <w:szCs w:val="20"/>
                <w:color w:val="auto"/>
              </w:rPr>
            </w:pPr>
          </w:p>
        </w:tc>
        <w:tc>
          <w:tcPr>
            <w:tcW w:w="2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44,728</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1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6,137</w:t>
            </w: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Warrant Liabilities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January 2022 Warrants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74"/>
              </w:rPr>
              <w:t>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90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6"/>
                <w:szCs w:val="16"/>
                <w:color w:val="auto"/>
              </w:rPr>
              <w:t>Warrant Liabilities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March 2022 Warrants</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87"/>
              </w:rPr>
              <w:t>34</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160"/>
              <w:spacing w:after="0" w:line="167" w:lineRule="exact"/>
              <w:rPr>
                <w:sz w:val="20"/>
                <w:szCs w:val="20"/>
                <w:color w:val="auto"/>
              </w:rPr>
            </w:pPr>
            <w:r>
              <w:rPr>
                <w:rFonts w:ascii="Times New Roman" w:cs="Times New Roman" w:eastAsia="Times New Roman" w:hAnsi="Times New Roman"/>
                <w:sz w:val="16"/>
                <w:szCs w:val="16"/>
                <w:color w:val="auto"/>
              </w:rPr>
              <w:t>Warrant Liabilities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August 2022 Warrants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87"/>
              </w:rPr>
              <w:t>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190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6"/>
                <w:szCs w:val="16"/>
                <w:color w:val="auto"/>
              </w:rPr>
              <w:t>Warrant Liabilities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900" w:type="dxa"/>
            <w:vAlign w:val="bottom"/>
            <w:shd w:val="clear" w:color="auto" w:fill="CCEEFF"/>
          </w:tcPr>
          <w:p>
            <w:pPr>
              <w:ind w:left="320"/>
              <w:spacing w:after="0" w:line="180" w:lineRule="exact"/>
              <w:rPr>
                <w:sz w:val="20"/>
                <w:szCs w:val="20"/>
                <w:color w:val="auto"/>
              </w:rPr>
            </w:pPr>
            <w:r>
              <w:rPr>
                <w:rFonts w:ascii="Times New Roman" w:cs="Times New Roman" w:eastAsia="Times New Roman" w:hAnsi="Times New Roman"/>
                <w:sz w:val="16"/>
                <w:szCs w:val="16"/>
                <w:color w:val="auto"/>
              </w:rPr>
              <w:t>December 2022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Warrants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4"/>
              </w:rPr>
              <w:t>5,854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5,854</w:t>
            </w: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900" w:type="dxa"/>
            <w:vAlign w:val="bottom"/>
            <w:vMerge w:val="continue"/>
          </w:tcPr>
          <w:p>
            <w:pPr>
              <w:spacing w:after="0"/>
              <w:rPr>
                <w:sz w:val="20"/>
                <w:szCs w:val="20"/>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3"/>
          </w:tcPr>
          <w:p>
            <w:pPr>
              <w:jc w:val="right"/>
              <w:ind w:right="108"/>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5,985 $</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5,985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6,137</w:t>
            </w:r>
          </w:p>
        </w:tc>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92" w:lineRule="exact"/>
        <w:rPr>
          <w:sz w:val="20"/>
          <w:szCs w:val="20"/>
          <w:color w:val="auto"/>
        </w:rPr>
      </w:pPr>
    </w:p>
    <w:p>
      <w:pPr>
        <w:ind w:left="1680" w:right="920" w:hanging="389"/>
        <w:spacing w:after="0" w:line="259" w:lineRule="auto"/>
        <w:tabs>
          <w:tab w:leader="none" w:pos="168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accounts receivable, accounts payable, accrued expenses, and deferred revenue liabilities approximate their fair values based on the short-term nature of these instruments.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49" w:name="page150"/>
    <w:bookmarkEnd w:id="14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680" w:right="900" w:hanging="389"/>
        <w:spacing w:after="0" w:line="259" w:lineRule="auto"/>
        <w:tabs>
          <w:tab w:leader="none" w:pos="16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securities classified as current held-to-maturity securities are recorded at amortized cost, which at December 31, 2022, approximated fair value.</w:t>
      </w:r>
    </w:p>
    <w:p>
      <w:pPr>
        <w:spacing w:after="0" w:line="83" w:lineRule="exact"/>
        <w:rPr>
          <w:rFonts w:ascii="Times New Roman" w:cs="Times New Roman" w:eastAsia="Times New Roman" w:hAnsi="Times New Roman"/>
          <w:sz w:val="16"/>
          <w:szCs w:val="16"/>
          <w:color w:val="auto"/>
        </w:rPr>
      </w:pPr>
    </w:p>
    <w:p>
      <w:pPr>
        <w:jc w:val="both"/>
        <w:ind w:left="1680" w:right="900" w:hanging="389"/>
        <w:spacing w:after="0" w:line="243" w:lineRule="auto"/>
        <w:tabs>
          <w:tab w:leader="none" w:pos="16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deferred consideration was recorded in connection with acquisitions during the fourth quarter of fiscal 2021 and the first quarter of fiscal 2022 using an estimated fair value discount at the time of the transactions. As of December 31, 2022 and 2021, the carrying value of the deferred consideration approximated fair value.</w:t>
      </w:r>
    </w:p>
    <w:p>
      <w:pPr>
        <w:spacing w:after="0" w:line="95"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Marketable Securities</w:t>
      </w:r>
    </w:p>
    <w:p>
      <w:pPr>
        <w:spacing w:after="0" w:line="118"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As of December 31, 2022 and 2021,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composition of the Company’s marketable securities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4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marketable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9,961</w:t>
            </w:r>
          </w:p>
        </w:tc>
      </w:tr>
      <w:tr>
        <w:trPr>
          <w:trHeight w:val="26"/>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34,589</w:t>
            </w:r>
          </w:p>
        </w:tc>
        <w:tc>
          <w:tcPr>
            <w:tcW w:w="20" w:type="dxa"/>
            <w:vAlign w:val="bottom"/>
          </w:tcPr>
          <w:p>
            <w:pPr>
              <w:spacing w:after="0"/>
              <w:rPr>
                <w:sz w:val="21"/>
                <w:szCs w:val="21"/>
                <w:color w:val="auto"/>
              </w:rPr>
            </w:pPr>
          </w:p>
        </w:tc>
      </w:tr>
      <w:tr>
        <w:trPr>
          <w:trHeight w:val="257"/>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8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4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44,550</w:t>
            </w:r>
          </w:p>
        </w:tc>
        <w:tc>
          <w:tcPr>
            <w:tcW w:w="20" w:type="dxa"/>
            <w:vAlign w:val="bottom"/>
          </w:tcPr>
          <w:p>
            <w:pPr>
              <w:spacing w:after="0"/>
              <w:rPr>
                <w:sz w:val="20"/>
                <w:szCs w:val="20"/>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 December 31, 2022, marketable securities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9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8"/>
        </w:trPr>
        <w:tc>
          <w:tcPr>
            <w:tcW w:w="3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6"/>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marketable securities (due within 1 year)</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8"/>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6"/>
        </w:trPr>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7"/>
        </w:trPr>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Mutual funds</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8"/>
        </w:trPr>
        <w:tc>
          <w:tcPr>
            <w:tcW w:w="3680" w:type="dxa"/>
            <w:vAlign w:val="bottom"/>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 December 31, 2021, marketable securities consisted of the following:</w:t>
      </w:r>
    </w:p>
    <w:p>
      <w:pPr>
        <w:sectPr>
          <w:pgSz w:w="11900" w:h="16840" w:orient="portrait"/>
          <w:cols w:equalWidth="0" w:num="1">
            <w:col w:w="9020"/>
          </w:cols>
          <w:pgMar w:left="1440" w:top="557" w:right="1440" w:bottom="1440" w:gutter="0" w:footer="0" w:header="0"/>
        </w:sectPr>
      </w:pPr>
    </w:p>
    <w:p>
      <w:pPr>
        <w:spacing w:after="0" w:line="3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p>
      <w:pPr>
        <w:spacing w:after="0" w:line="25"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24765</wp:posOffset>
            </wp:positionV>
            <wp:extent cx="4573270" cy="1752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73270" cy="1752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Unrealized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Estimated</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84" w:lineRule="exact"/>
        <w:rPr>
          <w:sz w:val="20"/>
          <w:szCs w:val="20"/>
          <w:color w:val="auto"/>
        </w:rPr>
      </w:pPr>
    </w:p>
    <w:p>
      <w:pPr>
        <w:sectPr>
          <w:pgSz w:w="11900" w:h="16840" w:orient="portrait"/>
          <w:cols w:equalWidth="0" w:num="4">
            <w:col w:w="4220" w:space="720"/>
            <w:col w:w="660" w:space="460"/>
            <w:col w:w="660" w:space="520"/>
            <w:col w:w="1780"/>
          </w:cols>
          <w:pgMar w:left="1440" w:top="557" w:right="1440"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6"/>
          <w:szCs w:val="16"/>
          <w:b w:val="1"/>
          <w:bCs w:val="1"/>
          <w:color w:val="auto"/>
        </w:rPr>
        <w:t>Current marketable securities (due within 1 year)</w:t>
      </w:r>
    </w:p>
    <w:p>
      <w:pPr>
        <w:spacing w:after="0" w:line="82"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2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 bonds</w:t>
            </w: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9,961</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9,952</w:t>
            </w:r>
          </w:p>
        </w:tc>
      </w:tr>
      <w:tr>
        <w:trPr>
          <w:trHeight w:val="26"/>
        </w:trPr>
        <w:tc>
          <w:tcPr>
            <w:tcW w:w="2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Corporate bonds</w:t>
            </w:r>
          </w:p>
        </w:tc>
        <w:tc>
          <w:tcPr>
            <w:tcW w:w="15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34,589</w:t>
            </w: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w:t>
            </w: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34,517</w:t>
            </w:r>
          </w:p>
        </w:tc>
        <w:tc>
          <w:tcPr>
            <w:tcW w:w="20" w:type="dxa"/>
            <w:vAlign w:val="bottom"/>
          </w:tcPr>
          <w:p>
            <w:pPr>
              <w:spacing w:after="0"/>
              <w:rPr>
                <w:sz w:val="22"/>
                <w:szCs w:val="22"/>
                <w:color w:val="auto"/>
              </w:rPr>
            </w:pPr>
          </w:p>
        </w:tc>
      </w:tr>
      <w:tr>
        <w:trPr>
          <w:trHeight w:val="20"/>
        </w:trPr>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2340" w:type="dxa"/>
            <w:vAlign w:val="bottom"/>
          </w:tcPr>
          <w:p>
            <w:pPr>
              <w:spacing w:after="0"/>
              <w:rPr>
                <w:sz w:val="20"/>
                <w:szCs w:val="20"/>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44,550</w:t>
            </w:r>
          </w:p>
        </w:tc>
        <w:tc>
          <w:tcPr>
            <w:tcW w:w="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(81)</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44,469</w:t>
            </w:r>
          </w:p>
        </w:tc>
        <w:tc>
          <w:tcPr>
            <w:tcW w:w="20" w:type="dxa"/>
            <w:vAlign w:val="bottom"/>
          </w:tcPr>
          <w:p>
            <w:pPr>
              <w:spacing w:after="0"/>
              <w:rPr>
                <w:sz w:val="20"/>
                <w:szCs w:val="20"/>
                <w:color w:val="auto"/>
              </w:rPr>
            </w:pPr>
          </w:p>
        </w:tc>
      </w:tr>
      <w:tr>
        <w:trPr>
          <w:trHeight w:val="20"/>
        </w:trPr>
        <w:tc>
          <w:tcPr>
            <w:tcW w:w="2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3"/>
        </w:trPr>
        <w:tc>
          <w:tcPr>
            <w:tcW w:w="2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F-29</w:t>
            </w: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40" w:orient="portrait"/>
          <w:cols w:equalWidth="0" w:num="1">
            <w:col w:w="9020"/>
          </w:cols>
          <w:pgMar w:left="1440" w:top="557" w:right="1440" w:bottom="1440" w:gutter="0" w:footer="0" w:header="0"/>
          <w:type w:val="continuous"/>
        </w:sectPr>
      </w:pPr>
    </w:p>
    <w:bookmarkStart w:id="150" w:name="page151"/>
    <w:bookmarkEnd w:id="15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Contingent Consideration</w:t>
      </w:r>
    </w:p>
    <w:p>
      <w:pPr>
        <w:spacing w:after="0" w:line="118"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A description of the Company’s acquisitions completed during the first quarter of 2022 and fiscal 2021 are included within Note 8 — Business Combinations, included elsewhere in the notes to the consolidated financial statements.</w:t>
      </w:r>
    </w:p>
    <w:p>
      <w:pPr>
        <w:spacing w:after="0" w:line="110"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 – beginning of period</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6,137</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contingent consideration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Accretion of contingent consideration</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and Common Stock issued for contingent 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Contingent consideration – end of period</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6,137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included contingent consideration within accrued expenses and other current liabilities in its consolidated balance sheets as of December 31, 2022 and 2021.</w:t>
      </w:r>
    </w:p>
    <w:p>
      <w:pPr>
        <w:spacing w:after="0" w:line="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See below for additional information related to each acquisition’s contingent consideration.</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PurePressure</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$602 thousand and their second earn -out by approximately $170 thousand. As required by ASC Topic 805 Business Combination (“ASC 805”), the change in contingent consideration was recorded as a reduction in operating expenses during the third and fourth quarters of 2022, respectively.</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Lab Society</w:t>
      </w:r>
    </w:p>
    <w:p>
      <w:pPr>
        <w:spacing w:after="0" w:line="120"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$ 1.0 million and their second earn-out by approximately $484 thousand. As required by ASC 805, the change in contingent consideration was recorded as a reduction in operating expenses during the second and fourth quarters of 2022, respectively.</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Precision and Cascade</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1" w:name="page152"/>
    <w:bookmarkEnd w:id="15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$121 thousand to reflect the final contingent consideration amount due. This amount was recorded as an increase in operating expenses during the second quarter of 2022. During the year ended December 31, 2022, the Company made the final payment on the contingent consideration of approximately $5.6 million to the members of Precision and Cascade. Additional information regarding the Company’s final payment to Precision and Cascade may be found in Note 8 — Business Combinations,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estimated fair value of the warrant liabilities on December 31, 2022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95"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However, inherent uncertainties are involved. If factors or assumptions change, the estimated fair values could be materially different.</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January 2022 Warrants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23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Option exercise price</w:t>
            </w:r>
          </w:p>
        </w:tc>
        <w:tc>
          <w:tcPr>
            <w:tcW w:w="23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1,496.00</w:t>
            </w:r>
          </w:p>
        </w:tc>
      </w:tr>
      <w:tr>
        <w:trPr>
          <w:trHeight w:val="26"/>
        </w:trPr>
        <w:tc>
          <w:tcPr>
            <w:tcW w:w="4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4.58</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r>
      <w:tr>
        <w:trPr>
          <w:trHeight w:val="26"/>
        </w:trPr>
        <w:tc>
          <w:tcPr>
            <w:tcW w:w="40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(Treasury yield)</w:t>
            </w:r>
          </w:p>
        </w:tc>
        <w:tc>
          <w:tcPr>
            <w:tcW w:w="23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6"/>
        </w:trPr>
        <w:tc>
          <w:tcPr>
            <w:tcW w:w="40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10,969</w:t>
            </w:r>
          </w:p>
        </w:tc>
        <w:tc>
          <w:tcPr>
            <w:tcW w:w="120" w:type="dxa"/>
            <w:vAlign w:val="bottom"/>
          </w:tcPr>
          <w:p>
            <w:pPr>
              <w:spacing w:after="0"/>
              <w:rPr>
                <w:sz w:val="20"/>
                <w:szCs w:val="20"/>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4"/>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(10,965)</w:t>
            </w:r>
          </w:p>
        </w:tc>
      </w:tr>
      <w:tr>
        <w:trPr>
          <w:trHeight w:val="231"/>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 end of period</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March 2022 Warrants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374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Option exercise price</w:t>
            </w:r>
          </w:p>
        </w:tc>
        <w:tc>
          <w:tcPr>
            <w:tcW w:w="37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430.00</w:t>
            </w:r>
          </w:p>
        </w:tc>
      </w:tr>
      <w:tr>
        <w:trPr>
          <w:trHeight w:val="26"/>
        </w:trPr>
        <w:tc>
          <w:tcPr>
            <w:tcW w:w="2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7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5.13</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3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6"/>
        </w:trPr>
        <w:tc>
          <w:tcPr>
            <w:tcW w:w="26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(Treasury yield)</w:t>
            </w:r>
          </w:p>
        </w:tc>
        <w:tc>
          <w:tcPr>
            <w:tcW w:w="37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336"/>
        </w:trPr>
        <w:tc>
          <w:tcPr>
            <w:tcW w:w="26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jc w:val="right"/>
              <w:ind w:right="2582"/>
              <w:spacing w:after="0"/>
              <w:rPr>
                <w:sz w:val="20"/>
                <w:szCs w:val="20"/>
                <w:color w:val="auto"/>
              </w:rPr>
            </w:pPr>
            <w:r>
              <w:rPr>
                <w:rFonts w:ascii="Times New Roman" w:cs="Times New Roman" w:eastAsia="Times New Roman" w:hAnsi="Times New Roman"/>
                <w:sz w:val="16"/>
                <w:szCs w:val="16"/>
                <w:color w:val="auto"/>
              </w:rPr>
              <w:t>F-31</w:t>
            </w:r>
          </w:p>
        </w:tc>
        <w:tc>
          <w:tcPr>
            <w:tcW w:w="7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52" w:name="page153"/>
    <w:bookmarkEnd w:id="15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29,522</w:t>
            </w:r>
          </w:p>
        </w:tc>
        <w:tc>
          <w:tcPr>
            <w:tcW w:w="120" w:type="dxa"/>
            <w:vAlign w:val="bottom"/>
          </w:tcPr>
          <w:p>
            <w:pPr>
              <w:spacing w:after="0"/>
              <w:rPr>
                <w:sz w:val="20"/>
                <w:szCs w:val="20"/>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(31,133)</w:t>
            </w:r>
          </w:p>
        </w:tc>
      </w:tr>
      <w:tr>
        <w:trPr>
          <w:trHeight w:val="257"/>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Component of loss on debt extinguishment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1,645</w:t>
            </w:r>
          </w:p>
        </w:tc>
      </w:tr>
      <w:tr>
        <w:trPr>
          <w:trHeight w:val="23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end of period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August 2022 Warrants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2420" w:type="dxa"/>
            <w:vAlign w:val="bottom"/>
            <w:tcBorders>
              <w:bottom w:val="single" w:sz="8" w:color="CCEEFF"/>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Option exercise price</w:t>
            </w:r>
          </w:p>
        </w:tc>
        <w:tc>
          <w:tcPr>
            <w:tcW w:w="24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246.00</w:t>
            </w:r>
          </w:p>
        </w:tc>
      </w:tr>
      <w:tr>
        <w:trPr>
          <w:trHeight w:val="26"/>
        </w:trPr>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2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5.13</w:t>
            </w:r>
          </w:p>
        </w:tc>
      </w:tr>
      <w:tr>
        <w:trPr>
          <w:trHeight w:val="23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6"/>
        </w:trPr>
        <w:tc>
          <w:tcPr>
            <w:tcW w:w="40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8"/>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(Treasury yield)</w:t>
            </w:r>
          </w:p>
        </w:tc>
        <w:tc>
          <w:tcPr>
            <w:tcW w:w="24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6"/>
        </w:trPr>
        <w:tc>
          <w:tcPr>
            <w:tcW w:w="40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10,212</w:t>
            </w:r>
          </w:p>
        </w:tc>
        <w:tc>
          <w:tcPr>
            <w:tcW w:w="120" w:type="dxa"/>
            <w:vAlign w:val="bottom"/>
          </w:tcPr>
          <w:p>
            <w:pPr>
              <w:spacing w:after="0"/>
              <w:rPr>
                <w:sz w:val="20"/>
                <w:szCs w:val="20"/>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(9,876)</w:t>
            </w:r>
          </w:p>
        </w:tc>
      </w:tr>
      <w:tr>
        <w:trPr>
          <w:trHeight w:val="257"/>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Warrants settled in period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w:t>
            </w:r>
          </w:p>
        </w:tc>
      </w:tr>
      <w:tr>
        <w:trPr>
          <w:trHeight w:val="23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end of period</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December 2022 Warrants</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378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Option exercise price</w:t>
            </w:r>
          </w:p>
        </w:tc>
        <w:tc>
          <w:tcPr>
            <w:tcW w:w="37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13.00</w:t>
            </w:r>
          </w:p>
        </w:tc>
      </w:tr>
      <w:tr>
        <w:trPr>
          <w:trHeight w:val="26"/>
        </w:trPr>
        <w:tc>
          <w:tcPr>
            <w:tcW w:w="2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(Years)</w:t>
            </w:r>
          </w:p>
        </w:tc>
        <w:tc>
          <w:tcPr>
            <w:tcW w:w="3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4.98</w:t>
            </w: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37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r>
      <w:tr>
        <w:trPr>
          <w:trHeight w:val="26"/>
        </w:trPr>
        <w:tc>
          <w:tcPr>
            <w:tcW w:w="26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(Treasury yield)</w:t>
            </w:r>
          </w:p>
        </w:tc>
        <w:tc>
          <w:tcPr>
            <w:tcW w:w="37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336"/>
        </w:trPr>
        <w:tc>
          <w:tcPr>
            <w:tcW w:w="26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jc w:val="right"/>
              <w:ind w:right="2622"/>
              <w:spacing w:after="0"/>
              <w:rPr>
                <w:sz w:val="20"/>
                <w:szCs w:val="20"/>
                <w:color w:val="auto"/>
              </w:rPr>
            </w:pPr>
            <w:r>
              <w:rPr>
                <w:rFonts w:ascii="Times New Roman" w:cs="Times New Roman" w:eastAsia="Times New Roman" w:hAnsi="Times New Roman"/>
                <w:sz w:val="16"/>
                <w:szCs w:val="16"/>
                <w:color w:val="auto"/>
              </w:rPr>
              <w:t>F-32</w:t>
            </w:r>
          </w:p>
        </w:tc>
        <w:tc>
          <w:tcPr>
            <w:tcW w:w="74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53" w:name="page154"/>
    <w:bookmarkEnd w:id="15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r>
      <w:tr>
        <w:trPr>
          <w:trHeight w:val="28"/>
        </w:trPr>
        <w:tc>
          <w:tcPr>
            <w:tcW w:w="5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8"/>
        </w:trPr>
        <w:tc>
          <w:tcPr>
            <w:tcW w:w="5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4,924</w:t>
            </w:r>
          </w:p>
        </w:tc>
      </w:tr>
      <w:tr>
        <w:trPr>
          <w:trHeight w:val="26"/>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20" w:type="dxa"/>
            <w:vAlign w:val="bottom"/>
          </w:tcPr>
          <w:p>
            <w:pPr>
              <w:spacing w:after="0"/>
              <w:rPr>
                <w:sz w:val="22"/>
                <w:szCs w:val="22"/>
                <w:color w:val="auto"/>
              </w:rPr>
            </w:pPr>
          </w:p>
        </w:tc>
      </w:tr>
      <w:tr>
        <w:trPr>
          <w:trHeight w:val="23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Warrant liabilities – end of period</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5,854</w:t>
            </w:r>
          </w:p>
        </w:tc>
      </w:tr>
      <w:tr>
        <w:trPr>
          <w:trHeight w:val="20"/>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5 — Loans Receivable</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 portion of the capital raised from the Company’s IPO was allocated to launch the Company’s TTK Solution program. The TTK Solution is the industry’s first -of-its-kind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9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Company recorded $11.3 million in loan reserves during the fourth quarter of 2022, related to three customer balances that were fully or partially reserved.</w:t>
      </w:r>
    </w:p>
    <w:p>
      <w:pPr>
        <w:spacing w:after="0" w:line="83"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On September 15, 2022, the Company provided a notice of default under the term loan agreement between the Company and Bud &amp; Mary’s (the “Bud &amp; 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02"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Greenstone is a related party as of December 31, 2022 and 2021.</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4" w:name="page155"/>
    <w:bookmarkEnd w:id="15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5 — Loans Receivable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breakdown of loans receivable by customer as of December 31, 2022 and 2021 were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Bud &amp; Mary’s – TTK Solution</w:t>
            </w:r>
          </w:p>
        </w:tc>
        <w:tc>
          <w:tcPr>
            <w:tcW w:w="320" w:type="dxa"/>
            <w:vAlign w:val="bottom"/>
            <w:tcBorders>
              <w:bottom w:val="single" w:sz="8" w:color="CCEEFF"/>
            </w:tcBorders>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5,542</w:t>
            </w:r>
          </w:p>
        </w:tc>
        <w:tc>
          <w:tcPr>
            <w:tcW w:w="20" w:type="dxa"/>
            <w:vAlign w:val="bottom"/>
          </w:tcPr>
          <w:p>
            <w:pPr>
              <w:spacing w:after="0"/>
              <w:rPr>
                <w:sz w:val="19"/>
                <w:szCs w:val="19"/>
                <w:color w:val="auto"/>
              </w:rPr>
            </w:pPr>
          </w:p>
        </w:tc>
      </w:tr>
      <w:tr>
        <w:trPr>
          <w:trHeight w:val="167"/>
        </w:trPr>
        <w:tc>
          <w:tcPr>
            <w:tcW w:w="20" w:type="dxa"/>
            <w:vAlign w:val="bottom"/>
          </w:tcPr>
          <w:p>
            <w:pPr>
              <w:spacing w:after="0"/>
              <w:rPr>
                <w:sz w:val="14"/>
                <w:szCs w:val="14"/>
                <w:color w:val="auto"/>
              </w:rPr>
            </w:pPr>
          </w:p>
        </w:tc>
        <w:tc>
          <w:tcPr>
            <w:tcW w:w="49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8"/>
              </w:rPr>
              <w:t>Greenstone – TTK Solution – Greenstone is a related party because one of the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94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w w:val="98"/>
              </w:rPr>
              <w:t>Company’s former Agrify Brands employees and its VP of Engineering had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 minority ownership</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11,177</w:t>
            </w:r>
          </w:p>
        </w:tc>
        <w:tc>
          <w:tcPr>
            <w:tcW w:w="20" w:type="dxa"/>
            <w:vAlign w:val="bottom"/>
          </w:tcPr>
          <w:p>
            <w:pPr>
              <w:spacing w:after="0"/>
              <w:rPr>
                <w:sz w:val="17"/>
                <w:szCs w:val="17"/>
                <w:color w:val="auto"/>
              </w:rPr>
            </w:pPr>
          </w:p>
        </w:tc>
      </w:tr>
      <w:tr>
        <w:trPr>
          <w:trHeight w:val="26"/>
        </w:trPr>
        <w:tc>
          <w:tcPr>
            <w:tcW w:w="4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136 – TTK Solution</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9,048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20" w:type="dxa"/>
            <w:vAlign w:val="bottom"/>
          </w:tcPr>
          <w:p>
            <w:pPr>
              <w:spacing w:after="0"/>
              <w:rPr>
                <w:sz w:val="21"/>
                <w:szCs w:val="21"/>
                <w:color w:val="auto"/>
              </w:rPr>
            </w:pPr>
          </w:p>
        </w:tc>
      </w:tr>
      <w:tr>
        <w:trPr>
          <w:trHeight w:val="238"/>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125 – TTK Solution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1,105</w:t>
            </w:r>
          </w:p>
        </w:tc>
      </w:tr>
      <w:tr>
        <w:trPr>
          <w:trHeight w:val="26"/>
        </w:trPr>
        <w:tc>
          <w:tcPr>
            <w:tcW w:w="4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71 – Non-TTK Solution</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20" w:type="dxa"/>
            <w:vAlign w:val="bottom"/>
          </w:tcPr>
          <w:p>
            <w:pPr>
              <w:spacing w:after="0"/>
              <w:rPr>
                <w:sz w:val="22"/>
                <w:szCs w:val="22"/>
                <w:color w:val="auto"/>
              </w:rPr>
            </w:pPr>
          </w:p>
        </w:tc>
      </w:tr>
      <w:tr>
        <w:trPr>
          <w:trHeight w:val="264"/>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Company Customer Number 140 – TTK Solution</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TTK Solution – Allowance for doubtful accounts</w:t>
            </w:r>
            <w:r>
              <w:rPr>
                <w:rFonts w:ascii="Times New Roman" w:cs="Times New Roman" w:eastAsia="Times New Roman" w:hAnsi="Times New Roman"/>
                <w:sz w:val="19"/>
                <w:szCs w:val="19"/>
                <w:color w:val="auto"/>
                <w:vertAlign w:val="superscript"/>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(33,050)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r>
      <w:tr>
        <w:trPr>
          <w:trHeight w:val="231"/>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loan receivable</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22,255</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300" w:right="920" w:hanging="394"/>
        <w:spacing w:after="0" w:line="262" w:lineRule="auto"/>
        <w:tabs>
          <w:tab w:leader="none" w:pos="13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portion of loan receivable is included within Note 3 — Supplemental Consolidated Balance Sheet Information, included elsewhere in the notes to the consolidated financial statements.</w:t>
      </w:r>
    </w:p>
    <w:p>
      <w:pPr>
        <w:ind w:left="1300" w:hanging="394"/>
        <w:spacing w:after="0"/>
        <w:tabs>
          <w:tab w:leader="none" w:pos="13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was written off at December 31, 2022 due to the cancellation of this TTK Solution project.</w:t>
      </w:r>
    </w:p>
    <w:p>
      <w:pPr>
        <w:spacing w:after="0" w:line="7" w:lineRule="exact"/>
        <w:rPr>
          <w:rFonts w:ascii="Times New Roman" w:cs="Times New Roman" w:eastAsia="Times New Roman" w:hAnsi="Times New Roman"/>
          <w:sz w:val="14"/>
          <w:szCs w:val="14"/>
          <w:color w:val="auto"/>
        </w:rPr>
      </w:pPr>
    </w:p>
    <w:p>
      <w:pPr>
        <w:jc w:val="both"/>
        <w:ind w:left="1300" w:right="920" w:hanging="394"/>
        <w:spacing w:after="0" w:line="254" w:lineRule="auto"/>
        <w:tabs>
          <w:tab w:leader="none" w:pos="13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established an allowance for doubtful accounts of approximately $14.7 million related to Bud &amp; Mary’s ongoing litigation. Approximately $12.5 million relates to Greenstone, which is a related party because one of the Company’s former Agrify Brands employees and its VP of Engineering had a minority ownership, consisting of capital advances, accrued interest, and VFUs sales. Approximately $4.5 million relates to Hannah, and $1.4 million relates to WhiteCloud.</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At this time, the Company is not aware of, nor has it identified any risk or potential performance failure associated with any of its TTK Solution arrangements, other than the noted exceptions of Bud &amp; Mary’s TTK Solution and Greenstone TTK Solution, which is a related party, as described above.</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As of December 31, 2022,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6 — Inventory</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with cost principally determined by the weighted-average cost method on a first- in, first-out basis. Such costs include the acquisition cost for raw materials and operating supplies. The Company’s standard payment terms with suppliers may require making payments in advance of delivery of the Company’s products. The Company’s prepaid inventory is a short -term, non-interest-bearing asset that is applied to the purchase of products once they are delivered.</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Inventory consisted of the following as of December 31, 2022 and 2021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4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center"/>
              <w:ind w:left="303"/>
              <w:spacing w:after="0"/>
              <w:rPr>
                <w:sz w:val="20"/>
                <w:szCs w:val="20"/>
                <w:color w:val="auto"/>
              </w:rPr>
            </w:pPr>
            <w:r>
              <w:rPr>
                <w:rFonts w:ascii="Times New Roman" w:cs="Times New Roman" w:eastAsia="Times New Roman" w:hAnsi="Times New Roman"/>
                <w:sz w:val="16"/>
                <w:szCs w:val="16"/>
                <w:color w:val="auto"/>
                <w:w w:val="95"/>
              </w:rPr>
              <w:t>24,960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6,393</w:t>
            </w:r>
          </w:p>
        </w:tc>
        <w:tc>
          <w:tcPr>
            <w:tcW w:w="0" w:type="dxa"/>
            <w:vAlign w:val="bottom"/>
          </w:tcPr>
          <w:p>
            <w:pPr>
              <w:spacing w:after="0"/>
              <w:rPr>
                <w:sz w:val="1"/>
                <w:szCs w:val="1"/>
                <w:color w:val="auto"/>
              </w:rPr>
            </w:pPr>
          </w:p>
        </w:tc>
      </w:tr>
      <w:tr>
        <w:trPr>
          <w:trHeight w:val="238"/>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Prepaid inventory</w:t>
            </w: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ind w:left="303"/>
              <w:spacing w:after="0"/>
              <w:rPr>
                <w:sz w:val="20"/>
                <w:szCs w:val="20"/>
                <w:color w:val="auto"/>
              </w:rPr>
            </w:pPr>
            <w:r>
              <w:rPr>
                <w:rFonts w:ascii="Times New Roman" w:cs="Times New Roman" w:eastAsia="Times New Roman" w:hAnsi="Times New Roman"/>
                <w:sz w:val="16"/>
                <w:szCs w:val="16"/>
                <w:color w:val="auto"/>
                <w:w w:val="95"/>
              </w:rPr>
              <w:t>15,506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2,237</w:t>
            </w: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left="303"/>
              <w:spacing w:after="0"/>
              <w:rPr>
                <w:sz w:val="20"/>
                <w:szCs w:val="20"/>
                <w:color w:val="auto"/>
              </w:rPr>
            </w:pPr>
            <w:r>
              <w:rPr>
                <w:rFonts w:ascii="Times New Roman" w:cs="Times New Roman" w:eastAsia="Times New Roman" w:hAnsi="Times New Roman"/>
                <w:sz w:val="16"/>
                <w:szCs w:val="16"/>
                <w:color w:val="auto"/>
                <w:w w:val="95"/>
              </w:rPr>
              <w:t>13,352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2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Inventory, gross</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center"/>
              <w:ind w:left="303"/>
              <w:spacing w:after="0"/>
              <w:rPr>
                <w:sz w:val="20"/>
                <w:szCs w:val="20"/>
                <w:color w:val="auto"/>
              </w:rPr>
            </w:pPr>
            <w:r>
              <w:rPr>
                <w:rFonts w:ascii="Times New Roman" w:cs="Times New Roman" w:eastAsia="Times New Roman" w:hAnsi="Times New Roman"/>
                <w:sz w:val="16"/>
                <w:szCs w:val="16"/>
                <w:color w:val="auto"/>
                <w:w w:val="95"/>
              </w:rPr>
              <w:t>53,818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w:t>
            </w:r>
          </w:p>
        </w:tc>
        <w:tc>
          <w:tcPr>
            <w:tcW w:w="25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6"/>
                <w:szCs w:val="16"/>
                <w:color w:val="auto"/>
                <w:w w:val="98"/>
              </w:rPr>
              <w:t>(32,422)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Total inventory, net</w:t>
            </w:r>
          </w:p>
        </w:tc>
        <w:tc>
          <w:tcPr>
            <w:tcW w:w="2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420" w:type="dxa"/>
            <w:vAlign w:val="bottom"/>
            <w:vMerge w:val="continue"/>
          </w:tcPr>
          <w:p>
            <w:pPr>
              <w:spacing w:after="0"/>
              <w:rPr>
                <w:sz w:val="20"/>
                <w:szCs w:val="20"/>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center"/>
              <w:ind w:left="303"/>
              <w:spacing w:after="0"/>
              <w:rPr>
                <w:sz w:val="20"/>
                <w:szCs w:val="20"/>
                <w:color w:val="auto"/>
              </w:rPr>
            </w:pPr>
            <w:r>
              <w:rPr>
                <w:rFonts w:ascii="Times New Roman" w:cs="Times New Roman" w:eastAsia="Times New Roman" w:hAnsi="Times New Roman"/>
                <w:sz w:val="16"/>
                <w:szCs w:val="16"/>
                <w:color w:val="auto"/>
                <w:w w:val="95"/>
              </w:rPr>
              <w:t>21,396</w:t>
            </w:r>
          </w:p>
        </w:tc>
        <w:tc>
          <w:tcPr>
            <w:tcW w:w="12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4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ind w:right="1320"/>
              <w:spacing w:after="0"/>
              <w:rPr>
                <w:sz w:val="20"/>
                <w:szCs w:val="20"/>
                <w:color w:val="auto"/>
              </w:rPr>
            </w:pPr>
            <w:r>
              <w:rPr>
                <w:rFonts w:ascii="Times New Roman" w:cs="Times New Roman" w:eastAsia="Times New Roman" w:hAnsi="Times New Roman"/>
                <w:sz w:val="16"/>
                <w:szCs w:val="16"/>
                <w:color w:val="auto"/>
              </w:rPr>
              <w:t>F-34</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55" w:name="page156"/>
    <w:bookmarkEnd w:id="15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6 — Inventory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Inventory Reserves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establishes an inventory reserve for obsolete, slow-moving, and defective inventory. The Company calculates inventory reserves for obsolete, slow-moving, or defective items as the difference between the cost of inventory and its estimated net realizable value. The reserves are based upon management’s expected method of disposition.</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the Company’s inventory reserve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8"/>
        </w:trPr>
        <w:tc>
          <w:tcPr>
            <w:tcW w:w="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 – beginning of period</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Increase in inventory reserves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61"/>
        </w:trPr>
        <w:tc>
          <w:tcPr>
            <w:tcW w:w="20" w:type="dxa"/>
            <w:vAlign w:val="bottom"/>
          </w:tcPr>
          <w:p>
            <w:pPr>
              <w:spacing w:after="0"/>
              <w:rPr>
                <w:sz w:val="5"/>
                <w:szCs w:val="5"/>
                <w:color w:val="auto"/>
              </w:rPr>
            </w:pPr>
          </w:p>
        </w:tc>
        <w:tc>
          <w:tcPr>
            <w:tcW w:w="490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r>
      <w:tr>
        <w:trPr>
          <w:trHeight w:val="237"/>
        </w:trPr>
        <w:tc>
          <w:tcPr>
            <w:tcW w:w="2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 – end of period</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7 — Goodwill and Intangible Assets, Net</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has concluded that there was an impairment-triggering event during the quarter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During the quarter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101"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goodwill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3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8"/>
        </w:trPr>
        <w:tc>
          <w:tcPr>
            <w:tcW w:w="3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 beginning of period</w:t>
            </w:r>
          </w:p>
        </w:tc>
        <w:tc>
          <w:tcPr>
            <w:tcW w:w="21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0" w:type="dxa"/>
            <w:vAlign w:val="bottom"/>
          </w:tcPr>
          <w:p>
            <w:pPr>
              <w:spacing w:after="0"/>
              <w:rPr>
                <w:sz w:val="1"/>
                <w:szCs w:val="1"/>
                <w:color w:val="auto"/>
              </w:rPr>
            </w:pPr>
          </w:p>
        </w:tc>
      </w:tr>
      <w:tr>
        <w:trPr>
          <w:trHeight w:val="238"/>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Goodwill acquired during period</w:t>
            </w: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49,458</w:t>
            </w:r>
          </w:p>
        </w:tc>
        <w:tc>
          <w:tcPr>
            <w:tcW w:w="0" w:type="dxa"/>
            <w:vAlign w:val="bottom"/>
          </w:tcPr>
          <w:p>
            <w:pPr>
              <w:spacing w:after="0"/>
              <w:rPr>
                <w:sz w:val="1"/>
                <w:szCs w:val="1"/>
                <w:color w:val="auto"/>
              </w:rPr>
            </w:pPr>
          </w:p>
        </w:tc>
      </w:tr>
      <w:tr>
        <w:trPr>
          <w:trHeight w:val="26"/>
        </w:trPr>
        <w:tc>
          <w:tcPr>
            <w:tcW w:w="3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 purchase accounting adjustment</w:t>
            </w:r>
          </w:p>
        </w:tc>
        <w:tc>
          <w:tcPr>
            <w:tcW w:w="1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Goodwill impairment loss</w:t>
            </w:r>
          </w:p>
        </w:tc>
        <w:tc>
          <w:tcPr>
            <w:tcW w:w="1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(54,747)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 end of period</w:t>
            </w:r>
          </w:p>
        </w:tc>
        <w:tc>
          <w:tcPr>
            <w:tcW w:w="188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120" w:type="dxa"/>
            <w:vAlign w:val="bottom"/>
            <w:vMerge w:val="continue"/>
            <w:shd w:val="clear" w:color="auto" w:fill="CCEEFF"/>
          </w:tcPr>
          <w:p>
            <w:pPr>
              <w:spacing w:after="0"/>
              <w:rPr>
                <w:sz w:val="20"/>
                <w:szCs w:val="20"/>
                <w:color w:val="auto"/>
              </w:rPr>
            </w:pPr>
          </w:p>
        </w:tc>
        <w:tc>
          <w:tcPr>
            <w:tcW w:w="2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1460"/>
              <w:spacing w:after="0"/>
              <w:rPr>
                <w:sz w:val="20"/>
                <w:szCs w:val="20"/>
                <w:color w:val="auto"/>
              </w:rPr>
            </w:pPr>
            <w:r>
              <w:rPr>
                <w:rFonts w:ascii="Times New Roman" w:cs="Times New Roman" w:eastAsia="Times New Roman" w:hAnsi="Times New Roman"/>
                <w:sz w:val="16"/>
                <w:szCs w:val="16"/>
                <w:color w:val="auto"/>
              </w:rPr>
              <w:t>F-35</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56" w:name="page157"/>
    <w:bookmarkEnd w:id="15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7 — Goodwill and Intangible Assets, Net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Intangible assets, net as of December 31, 2022 were as follows:</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Intangible Assets, Gross</w:t>
            </w:r>
          </w:p>
        </w:tc>
        <w:tc>
          <w:tcPr>
            <w:tcW w:w="2560" w:type="dxa"/>
            <w:vAlign w:val="bottom"/>
            <w:gridSpan w:val="11"/>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Accumulated Amortization and Impairment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ind w:left="40"/>
              <w:spacing w:after="0" w:line="134" w:lineRule="exact"/>
              <w:rPr>
                <w:sz w:val="20"/>
                <w:szCs w:val="20"/>
                <w:color w:val="auto"/>
              </w:rPr>
            </w:pPr>
            <w:r>
              <w:rPr>
                <w:rFonts w:ascii="Times New Roman" w:cs="Times New Roman" w:eastAsia="Times New Roman" w:hAnsi="Times New Roman"/>
                <w:sz w:val="13"/>
                <w:szCs w:val="13"/>
                <w:b w:val="1"/>
                <w:bCs w:val="1"/>
                <w:color w:val="auto"/>
              </w:rPr>
              <w:t>Expense and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6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Impairments,</w:t>
            </w:r>
          </w:p>
        </w:tc>
        <w:tc>
          <w:tcPr>
            <w:tcW w:w="60" w:type="dxa"/>
            <w:vAlign w:val="bottom"/>
          </w:tcPr>
          <w:p>
            <w:pPr>
              <w:spacing w:after="0"/>
              <w:rPr>
                <w:sz w:val="13"/>
                <w:szCs w:val="13"/>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January 1,</w:t>
            </w:r>
          </w:p>
        </w:tc>
        <w:tc>
          <w:tcPr>
            <w:tcW w:w="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Additions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net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2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(2,508)</w:t>
            </w:r>
          </w:p>
        </w:tc>
        <w:tc>
          <w:tcPr>
            <w:tcW w:w="2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(2,735)</w:t>
            </w:r>
          </w:p>
        </w:tc>
        <w:tc>
          <w:tcPr>
            <w:tcW w:w="1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2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Customer</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relationships</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(6,587)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Acquired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developed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(6,152)</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(6,343)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Non-compete</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agreements</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Capitalized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website</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17,414</w:t>
            </w:r>
          </w:p>
        </w:tc>
        <w:tc>
          <w:tcPr>
            <w:tcW w:w="60" w:type="dxa"/>
            <w:vAlign w:val="bottom"/>
          </w:tcPr>
          <w:p>
            <w:pPr>
              <w:spacing w:after="0"/>
              <w:rPr>
                <w:sz w:val="20"/>
                <w:szCs w:val="20"/>
                <w:color w:val="auto"/>
              </w:rPr>
            </w:pP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c>
          <w:tcPr>
            <w:tcW w:w="24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(16,534)</w:t>
            </w:r>
          </w:p>
        </w:tc>
        <w:tc>
          <w:tcPr>
            <w:tcW w:w="26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(17,414)</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Intangible assets, net as of December 31, 2021 was as follows:</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9"/>
          </w:tcPr>
          <w:p>
            <w:pPr>
              <w:ind w:left="240"/>
              <w:spacing w:after="0"/>
              <w:rPr>
                <w:sz w:val="20"/>
                <w:szCs w:val="20"/>
                <w:color w:val="auto"/>
              </w:rPr>
            </w:pPr>
            <w:r>
              <w:rPr>
                <w:rFonts w:ascii="Times New Roman" w:cs="Times New Roman" w:eastAsia="Times New Roman" w:hAnsi="Times New Roman"/>
                <w:sz w:val="13"/>
                <w:szCs w:val="13"/>
                <w:b w:val="1"/>
                <w:bCs w:val="1"/>
                <w:color w:val="auto"/>
              </w:rPr>
              <w:t>Intangible Assets, 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10"/>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 Amortization</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3"/>
                <w:szCs w:val="13"/>
                <w:b w:val="1"/>
                <w:bCs w:val="1"/>
                <w:color w:val="auto"/>
                <w:w w:val="97"/>
              </w:rPr>
              <w:t>January 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vMerge w:val="continue"/>
          </w:tcPr>
          <w:p>
            <w:pPr>
              <w:spacing w:after="0"/>
              <w:rPr>
                <w:sz w:val="11"/>
                <w:szCs w:val="11"/>
                <w:color w:val="auto"/>
              </w:rPr>
            </w:pPr>
          </w:p>
        </w:tc>
        <w:tc>
          <w:tcPr>
            <w:tcW w:w="1440" w:type="dxa"/>
            <w:vAlign w:val="bottom"/>
            <w:gridSpan w:val="5"/>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January 1, December 31,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w w:val="95"/>
              </w:rPr>
              <w:t>Expense</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rPr>
              <w:t>2021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(139)</w:t>
            </w: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2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Customer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relationships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2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Acquired developed</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Non-compete</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agreements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2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Capitalized website</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4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13,033</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20" w:type="dxa"/>
            <w:vAlign w:val="bottom"/>
          </w:tcPr>
          <w:p>
            <w:pPr>
              <w:spacing w:after="0"/>
              <w:rPr>
                <w:sz w:val="20"/>
                <w:szCs w:val="20"/>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(655)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Amortization expense recorded in general and administrative expense in the consolidated statements of operations were $1.4 million and $655 thousand for the years ended December 31, 2022 and 2021, respectively.</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8 — Business Combinations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Acquisition of Lab Society</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February 1, 2022, the Company entered into an Agreement and Plan of Merger (the “Merger Agreement”) with Lab Society, a newly-formed wholly-owned subsidiary of the Company (“Merger Sub”), Michael S. Maibach Jr., as the Owner Representative thereunder, and each of the shareholders of Lab Society (collectively, the “Owners”), pursuant to which the Company agreed to acquire Lab Society. Concurrently with the execution of the Merger Agreement, the Company consummated the merger of Lab Society with and into Merger Sub, with Merger Sub surviving such merger as a wholly-owned subsidiary of the Company (the “Lab Society Acquisition”).</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92"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Company withheld 638 of the Buyer Shares issuable to the Owners (the “Holdback Lab Buyer Shares”) for the purpose of securing any post-closing adjustment owed to the Company and any claim for indemnification or payment of damages to which the Company may be entitled under the Merger Agreement. During the third quarter of 2022, 139 of the Holdback Lab Buyer Shares were forfeited after the finalization of the net working capital settlement. The remaining 499 Holdback Lab Buyer Shares were released following the twelve-month anniversary of the Closing Date in accordance with and subject to the conditions of the Merger Agreement.</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7" w:name="page158"/>
    <w:bookmarkEnd w:id="15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 Additional information regarding the Company’s contingent consideration arrangements may be found in Note 4 — Fair Value Measures, included elsewhere in the notes to the consolidated financial statements.</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Transaction and related costs, consisting primarily of professional fees, related to the acquisition, totaled approximately $66 thousand and $0 for the years ended December 31, 2022 and 2021, respectively. All transaction and related costs were expensed as incurred and are included in general and administrative expense.</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has prepared purchase price allocations for the business combination. The following table sets forth the components and the allocation of the purchase price for the business combination:</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price consideration</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Closing proceeds</w:t>
            </w:r>
          </w:p>
        </w:tc>
        <w:tc>
          <w:tcPr>
            <w:tcW w:w="4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4,002</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 expenses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Closing buyer shares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1,904</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Holdback buyer shares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Earn-out consideration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Working capital adjustment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7,967</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purchase price, net of cash acquired</w:t>
            </w: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7,402</w:t>
            </w:r>
          </w:p>
        </w:tc>
        <w:tc>
          <w:tcPr>
            <w:tcW w:w="0" w:type="dxa"/>
            <w:vAlign w:val="bottom"/>
          </w:tcPr>
          <w:p>
            <w:pPr>
              <w:spacing w:after="0"/>
              <w:rPr>
                <w:sz w:val="1"/>
                <w:szCs w:val="1"/>
                <w:color w:val="auto"/>
              </w:rPr>
            </w:pPr>
          </w:p>
        </w:tc>
      </w:tr>
      <w:tr>
        <w:trPr>
          <w:trHeight w:val="263"/>
        </w:trPr>
        <w:tc>
          <w:tcPr>
            <w:tcW w:w="6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 allocation of purchase price</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gridSpan w:val="2"/>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receivables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 – of-use assets, net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liability</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2,462</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4,368</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purchase price</w:t>
            </w: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7,967</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3460"/>
              <w:spacing w:after="0"/>
              <w:rPr>
                <w:sz w:val="20"/>
                <w:szCs w:val="20"/>
                <w:color w:val="auto"/>
              </w:rPr>
            </w:pPr>
            <w:r>
              <w:rPr>
                <w:rFonts w:ascii="Times New Roman" w:cs="Times New Roman" w:eastAsia="Times New Roman" w:hAnsi="Times New Roman"/>
                <w:sz w:val="16"/>
                <w:szCs w:val="16"/>
                <w:color w:val="auto"/>
              </w:rPr>
              <w:t>F-37</w:t>
            </w: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6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58" w:name="page159"/>
    <w:bookmarkEnd w:id="15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Useful</w:t>
            </w: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Life</w:t>
            </w: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Identified intangible assets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 names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 years</w:t>
            </w: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1,432</w:t>
            </w:r>
          </w:p>
        </w:tc>
        <w:tc>
          <w:tcPr>
            <w:tcW w:w="1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 years</w:t>
            </w:r>
          </w:p>
        </w:tc>
      </w:tr>
      <w:tr>
        <w:trPr>
          <w:trHeight w:val="257"/>
        </w:trPr>
        <w:tc>
          <w:tcPr>
            <w:tcW w:w="4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6 years</w:t>
            </w:r>
          </w:p>
        </w:tc>
      </w:tr>
      <w:tr>
        <w:trPr>
          <w:trHeight w:val="238"/>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identified intangible assets</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2,462</w:t>
            </w:r>
          </w:p>
        </w:tc>
        <w:tc>
          <w:tcPr>
            <w:tcW w:w="1100" w:type="dxa"/>
            <w:vAlign w:val="bottom"/>
            <w:shd w:val="clear" w:color="auto" w:fill="CCEEFF"/>
          </w:tcPr>
          <w:p>
            <w:pPr>
              <w:spacing w:after="0"/>
              <w:rPr>
                <w:sz w:val="20"/>
                <w:szCs w:val="20"/>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The Company’s initial fair value estimates related to the various identified intangible assets of Lab Society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6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01"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amount of revenue of Lab Society included in the consolidated statements of operations from the acquisition date of February 1, 2022 to December 31, 2022 was $4.5 million.</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Acquisition of Precision and Cascade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September 29, 2021 (the “Execution Date”), the Company entered into a Plan of Merger and Equity Purchase Agreement, as amended by an amendment dated October 1, 2021 (as amended, the “Purchase Agreement”), with Sinclair Scientific, LLC, a Delaware limited liability company (“Sinclair”), Mass2Media, LLC, Precision, a Michigan limited liability company; and each of the equity holders of Sinclair named therein (collectively, the “Sinclair Members”). On October 1, 2021, the Company consummated the transactions contemplated by the Purchase Agreement.</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Subject to the terms and conditions set forth in the Purchase Agreement, Sinclair transferred to the Company, and the Company purchased (the “Interest Purchase”) from Sinclair, 100% of the equity interests of Cascade, a Delaware limited liability company, such that immediately after the consummation of such Interest Purchase, Cascade became a wholly-owned subsidiary of the Company, and Precision merged (the “Merger”) with and into a newly-formed wholly-owned subsidiary of the Company, Precision Extraction NewCo, LLC.</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aggregate consideration for the Interest Purchase and the Merger consisted of the sum of $30 million in cash, plus consideration payable to holders of outstanding Sinclair equity awards, subject to certain adjustments for working capital, cash, and indebtedness, payable in connection with the Interest Purchase; the number of shares of Common Stock, subject to adjustment, equal to the quotient of $20.0 million divided by the volume weighted average price per share of Common Stock on The Nasdaq Capital Market for the 30 consecutive trading days ending on the Execution Date (the “VWAP Price”), issuable in connection with the Merger; Holdback Buyer Shares; and the True-Up Buyer Shares, issuable in connection with the Merger.</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59" w:name="page160"/>
    <w:bookmarkEnd w:id="15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withheld 588 shares issuable to certain members (the “Holdback Buyer Shares”) for the purpose of securing any post-closing adjustment owed to the Company and any claim for indemnification or payment of damages to which the Company may be entitled under the Purchase Agreement. These shares were not released as of December 31,2022.</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Purchase Agreement included customary post-closing adjustments, representations and warranties, and covenants of the parties. The Sinclair Members became entitled to additional shares of Common Stock (the “True-Up Buyer Shares”) and cash (together with the True-Up Buyer Shares, the “Aggregate True-Up Payment”) based on the eligible net revenues (as defined in the Purchase Agreement) achieved by the Cascade and Precision businesses during the fiscal year ending December 31, 2021.</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August 10, 2022, the Company entered into a post-closing adjustment settlement agreement (“Agreement”) with Sinclair. The Agreement was entered into in connection with the Purchase Agreement. According to the Purchase Agreement, $2.5 million was held by the escrow agent as the Adjustment Escrow Amount, $4.5 million was held by the escrow agent as the Indemnity Escrow Amount. On August 17, 2022, the Company made the final Aggregate True-up Payment of approximately $5.6 million, of which $3.3 million was paid in cash and 435 True-Up Buyer Shares were released to the Sinclair Members, and the Company received $1.4 million from the Adjustment Escrow Amount, and the remaining $1.1 million balance of the Adjustment Escrow Amount became part of the Indemnity Escrow Amount.</w:t>
      </w:r>
    </w:p>
    <w:p>
      <w:pPr>
        <w:spacing w:after="0" w:line="101" w:lineRule="exact"/>
        <w:rPr>
          <w:sz w:val="20"/>
          <w:szCs w:val="20"/>
          <w:color w:val="auto"/>
        </w:rPr>
      </w:pPr>
    </w:p>
    <w:p>
      <w:pPr>
        <w:jc w:val="both"/>
        <w:ind w:left="900" w:right="900" w:firstLine="384"/>
        <w:spacing w:after="0" w:line="299" w:lineRule="auto"/>
        <w:rPr>
          <w:sz w:val="20"/>
          <w:szCs w:val="20"/>
          <w:color w:val="auto"/>
        </w:rPr>
      </w:pPr>
      <w:r>
        <w:rPr>
          <w:rFonts w:ascii="Times New Roman" w:cs="Times New Roman" w:eastAsia="Times New Roman" w:hAnsi="Times New Roman"/>
          <w:sz w:val="14"/>
          <w:szCs w:val="14"/>
          <w:color w:val="auto"/>
        </w:rPr>
        <w:t>Transaction and related costs, consisting primarily of professional fees, related to the acquisition, totaled approximately $63 thousand and $4.0 million for the years ended December 31, 2022 and 2021, respectively. All transaction and related costs were expensed as incurred and are included in general and administrative expense.</w:t>
      </w:r>
    </w:p>
    <w:p>
      <w:pPr>
        <w:spacing w:after="0" w:line="59"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components and the allocation of the purchase price for the business combination:</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price consideration</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to Sinclair Members at the close</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contributed to escrow accounts at the close</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7,000</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excess net working capital</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 issued at the close</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Fair value of contingent consideration to be achieved</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3,953</w:t>
            </w:r>
          </w:p>
        </w:tc>
        <w:tc>
          <w:tcPr>
            <w:tcW w:w="0" w:type="dxa"/>
            <w:vAlign w:val="bottom"/>
          </w:tcPr>
          <w:p>
            <w:pPr>
              <w:spacing w:after="0"/>
              <w:rPr>
                <w:sz w:val="1"/>
                <w:szCs w:val="1"/>
                <w:color w:val="auto"/>
              </w:rPr>
            </w:pPr>
          </w:p>
        </w:tc>
      </w:tr>
      <w:tr>
        <w:trPr>
          <w:trHeight w:val="251"/>
        </w:trPr>
        <w:tc>
          <w:tcPr>
            <w:tcW w:w="6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49,918</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purchase price, net of cash acquired</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allocation of purchase price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6,761</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receivables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1,736</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Right-of-use assets, net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Capitalized web costs, net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(9,223)</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(5,419)</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(1,961)</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38"/>
        </w:trPr>
        <w:tc>
          <w:tcPr>
            <w:tcW w:w="6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9,889</w:t>
            </w: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45,002</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purchase price</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460"/>
              <w:spacing w:after="0"/>
              <w:rPr>
                <w:sz w:val="20"/>
                <w:szCs w:val="20"/>
                <w:color w:val="auto"/>
              </w:rPr>
            </w:pPr>
            <w:r>
              <w:rPr>
                <w:rFonts w:ascii="Times New Roman" w:cs="Times New Roman" w:eastAsia="Times New Roman" w:hAnsi="Times New Roman"/>
                <w:sz w:val="16"/>
                <w:szCs w:val="16"/>
                <w:color w:val="auto"/>
              </w:rPr>
              <w:t>F-39</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6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60" w:name="page161"/>
    <w:bookmarkEnd w:id="16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Identified intangible assets consist of trade names, technology, non-compete agreements, and customer relationships. The fair value of intangible assets and the determination of their respective useful lives were made in accordance with ASC 805 and are outlined in the table below:</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Identified intangible assets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 names</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6 to 7 years</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Non-compete agreements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80" w:type="dxa"/>
            <w:vAlign w:val="bottom"/>
            <w:shd w:val="clear" w:color="auto" w:fill="CCEEFF"/>
          </w:tcPr>
          <w:p>
            <w:pPr>
              <w:spacing w:after="0"/>
              <w:rPr>
                <w:sz w:val="22"/>
                <w:szCs w:val="2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7 to 8 years</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identified intangible assets</w:t>
            </w: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Company’s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Acquisition of PurePressure</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December 31, 2021, the Company entered into a Membership Interest Purchase Agreement (the “Pure Purchase Agreement”) with PurePressure, LLC, a Colorado Limited liability company (“PurePressure”), and the members of PurePressure (collectively, the “Members”), Benjamin Britton as the Member Representative thereunder, and each of the Members. Concurrently with the execution of the Pure Purchase Agreement, the Company consummated the acquisition of all the outstanding equity interests of PurePressure, such that immediately after the consummation of such purchase, PurePressure became a wholly-owned subsidiary of the Company (the “Acquisition”).</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aggregate consideration for the Acquisition consisted of $4.0 million in cash, subject to certain adjustments for working capital, cash, and indebtedness of PurePressure at closing; 1,646 shares of Common Stock (the “Buyer Shares”); and the Earn-out Consideration (as defined below), to the extent earned.</w:t>
      </w:r>
    </w:p>
    <w:p>
      <w:pPr>
        <w:spacing w:after="0" w:line="92"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Company withheld 444 of the Buyer Shares issuable to certain Members (the “Holdback Buyer Shares”) for the purpose of securing any post-closing adjustment owed to the Company and any claim for indemnification or payment of damages to which the Company may be entitled under the Pure Purchase Agreement. During the third quarter of 2022, 72 of the Holdback Buyer Shares were forfeited after the finalization of the net working capital settlement. On January 31, 2023, the remaining 372 Holdback Buyer Shares were released, including 6 Holdback Buyer Shares that were withheld to cover a tax indemnification claim in accordance with the Purchase Agreement.</w:t>
      </w:r>
    </w:p>
    <w:p>
      <w:pPr>
        <w:spacing w:after="0" w:line="73"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Pure Purchase Agreement includes customary post-closing adjustments, representations and warranties, and covenants of the parties. The Members may become entitled to additional consideration with a value of up to $3.0 million based on the eligible net revenues achieved by the PurePressure business during the fiscal years ending December 31, 2022 and December 31, 2023, of which 40% will be payable in cash and the remaining 60% will be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1" w:name="page162"/>
    <w:bookmarkEnd w:id="16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payable by issuing shares of Common Stock (collectively, the “Earn- out Consideration”). Additional information regarding the Company’s contingent consideration arrangements may be found in Note 4 — Fair Value Measures, included elsewhere in the notes to the consolidated financial statements.</w:t>
      </w:r>
    </w:p>
    <w:p>
      <w:pPr>
        <w:spacing w:after="0" w:line="92"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Subject to certain customary limitations, the Members will indemnify the Company and its affiliates, officers, directors, and other agents against certain losses related to, among other things, breaches of the Members’ and PurePressure’s representations and warranties, indebtedness, transaction expenses, pre-closing taxes, and the failure to perform covenants or obligations under the Pure Purchase Agreement, and the Company will indemnify the Members and their respective affiliates, officers, directors, and other agents against certain losses related to, among other things, breaches of the Company’s representations and warranties and the failure to perform covenants or obligations under the Pure Purchase Agreement.</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Transaction and related costs, consisting primarily of professional fees, related to the acquisition, totaled approximately $563 thousand and $0 for the years ended December 31, 2022 and 2021, respectively. All transaction and related costs were expensed as incurred and are included in general and administrative expense.</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has prepared purchase price allocations for the business combination. The following table sets forth the components and the allocation of the purchase price for the business combination:</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price consideration</w:t>
            </w:r>
          </w:p>
        </w:tc>
        <w:tc>
          <w:tcPr>
            <w:tcW w:w="2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Closing proceeds</w:t>
            </w:r>
          </w:p>
        </w:tc>
        <w:tc>
          <w:tcPr>
            <w:tcW w:w="3180" w:type="dxa"/>
            <w:vAlign w:val="bottom"/>
            <w:gridSpan w:val="3"/>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3,613</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Indebtedness paid</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Transaction expenses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Closing buyer shares</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2,211</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Holdback buyer shares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Earn-out consideration</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Working capital adjustment</w:t>
            </w:r>
          </w:p>
        </w:tc>
        <w:tc>
          <w:tcPr>
            <w:tcW w:w="2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of total consideration transferred</w:t>
            </w:r>
          </w:p>
        </w:tc>
        <w:tc>
          <w:tcPr>
            <w:tcW w:w="2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7,950</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purchase price, net of cash acquired</w:t>
            </w:r>
          </w:p>
        </w:tc>
        <w:tc>
          <w:tcPr>
            <w:tcW w:w="28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280" w:type="dxa"/>
            <w:vAlign w:val="bottom"/>
            <w:vMerge w:val="continue"/>
          </w:tcPr>
          <w:p>
            <w:pPr>
              <w:spacing w:after="0"/>
              <w:rPr>
                <w:sz w:val="23"/>
                <w:szCs w:val="23"/>
                <w:color w:val="auto"/>
              </w:rPr>
            </w:pPr>
          </w:p>
        </w:tc>
        <w:tc>
          <w:tcPr>
            <w:tcW w:w="2820" w:type="dxa"/>
            <w:vAlign w:val="bottom"/>
            <w:gridSpan w:val="2"/>
          </w:tcPr>
          <w:p>
            <w:pPr>
              <w:spacing w:after="0"/>
              <w:rPr>
                <w:sz w:val="23"/>
                <w:szCs w:val="23"/>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7,647</w:t>
            </w:r>
          </w:p>
        </w:tc>
        <w:tc>
          <w:tcPr>
            <w:tcW w:w="0" w:type="dxa"/>
            <w:vAlign w:val="bottom"/>
          </w:tcPr>
          <w:p>
            <w:pPr>
              <w:spacing w:after="0"/>
              <w:rPr>
                <w:sz w:val="1"/>
                <w:szCs w:val="1"/>
                <w:color w:val="auto"/>
              </w:rPr>
            </w:pPr>
          </w:p>
        </w:tc>
      </w:tr>
      <w:tr>
        <w:trPr>
          <w:trHeight w:val="241"/>
        </w:trPr>
        <w:tc>
          <w:tcPr>
            <w:tcW w:w="3280" w:type="dxa"/>
            <w:vAlign w:val="bottom"/>
            <w:tcBorders>
              <w:top w:val="single" w:sz="8" w:color="CCEEFF"/>
            </w:tcBorders>
            <w:shd w:val="clear" w:color="auto" w:fill="CCEEFF"/>
          </w:tcPr>
          <w:p>
            <w:pPr>
              <w:spacing w:after="0"/>
              <w:rPr>
                <w:sz w:val="20"/>
                <w:szCs w:val="20"/>
                <w:color w:val="auto"/>
              </w:rPr>
            </w:pPr>
          </w:p>
        </w:tc>
        <w:tc>
          <w:tcPr>
            <w:tcW w:w="2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allocation of purchase price</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180" w:type="dxa"/>
            <w:vAlign w:val="bottom"/>
            <w:tcBorders>
              <w:bottom w:val="single" w:sz="8" w:color="CCEEFF"/>
            </w:tcBorders>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Inventory</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1,537</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Right-of-use assets, net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receivables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non-current assets</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Finance lease liabilities, non-current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 payable, current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payable, non-current</w:t>
            </w:r>
          </w:p>
        </w:tc>
        <w:tc>
          <w:tcPr>
            <w:tcW w:w="2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8"/>
        </w:trPr>
        <w:tc>
          <w:tcPr>
            <w:tcW w:w="3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Acquired intangible assets</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3,037</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4,542</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purchase price</w:t>
            </w:r>
          </w:p>
        </w:tc>
        <w:tc>
          <w:tcPr>
            <w:tcW w:w="282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280" w:type="dxa"/>
            <w:vAlign w:val="bottom"/>
            <w:vMerge w:val="continue"/>
          </w:tcPr>
          <w:p>
            <w:pPr>
              <w:spacing w:after="0"/>
              <w:rPr>
                <w:sz w:val="20"/>
                <w:szCs w:val="20"/>
                <w:color w:val="auto"/>
              </w:rPr>
            </w:pPr>
          </w:p>
        </w:tc>
        <w:tc>
          <w:tcPr>
            <w:tcW w:w="2820" w:type="dxa"/>
            <w:vAlign w:val="bottom"/>
            <w:gridSpan w:val="2"/>
          </w:tcPr>
          <w:p>
            <w:pPr>
              <w:spacing w:after="0"/>
              <w:rPr>
                <w:sz w:val="20"/>
                <w:szCs w:val="20"/>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7,950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3"/>
          </w:tcPr>
          <w:p>
            <w:pPr>
              <w:jc w:val="right"/>
              <w:ind w:right="2622"/>
              <w:spacing w:after="0"/>
              <w:rPr>
                <w:sz w:val="20"/>
                <w:szCs w:val="20"/>
                <w:color w:val="auto"/>
              </w:rPr>
            </w:pPr>
            <w:r>
              <w:rPr>
                <w:rFonts w:ascii="Times New Roman" w:cs="Times New Roman" w:eastAsia="Times New Roman" w:hAnsi="Times New Roman"/>
                <w:sz w:val="16"/>
                <w:szCs w:val="16"/>
                <w:color w:val="auto"/>
              </w:rPr>
              <w:t>F-41</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62" w:name="page163"/>
    <w:bookmarkEnd w:id="16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Business Combinations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Identified intangible assets consist of trade names, technology, and customer relationships. The fair value of intangible assets and the determination of their respective useful lives were made in accordance with ASC 805 and are outlined in the table below:</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1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Identified intangible assets</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 name</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20"/>
                <w:szCs w:val="20"/>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1,093</w:t>
            </w:r>
          </w:p>
        </w:tc>
        <w:tc>
          <w:tcPr>
            <w:tcW w:w="1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8 years</w:t>
            </w:r>
          </w:p>
        </w:tc>
        <w:tc>
          <w:tcPr>
            <w:tcW w:w="0" w:type="dxa"/>
            <w:vAlign w:val="bottom"/>
          </w:tcPr>
          <w:p>
            <w:pPr>
              <w:spacing w:after="0"/>
              <w:rPr>
                <w:sz w:val="1"/>
                <w:szCs w:val="1"/>
                <w:color w:val="auto"/>
              </w:rPr>
            </w:pPr>
          </w:p>
        </w:tc>
      </w:tr>
      <w:tr>
        <w:trPr>
          <w:trHeight w:val="257"/>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Customer relationships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1,717</w:t>
            </w:r>
          </w:p>
        </w:tc>
        <w:tc>
          <w:tcPr>
            <w:tcW w:w="1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5 years</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identified intangible assets</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3,037</w:t>
            </w: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 Based on its interim testing, the Company noted that the entire carrying value of its goodwill and intangible assets were impaired. Additional information regarding the Company’s interim testing on goodwill and intangible assets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9 — Debt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Company’s debt consisted of:</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payable – Exchange Note</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PPP Loan</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Navitas Loan</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notes payable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debt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(3,414)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49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debt, net of debt discount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 net of current unamortized debt discount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(28,833)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debt</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Note Payable</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August 2022 Securities Exchange Agreement</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$300 thousand in repayments for other fees under the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3" w:name="page164"/>
    <w:bookmarkEnd w:id="16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Exchange Note is a senior secured obligation of the Company and ranks senior to all indebtedness of the Company. The Exchange Note will mature on the three -year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the Company in connection with any equity financing, which will reduce the outstanding principal amount under the Exchange Note.</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At any time, the Company may prepay all of the Exchange Note by redemption at a price equal to 102.5% of the then-outstanding principal amount under the Note plus accrued but unpaid interest. The Investor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10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9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 Note Exchange Warrant’s exercise price would have been reduced to the extent the Company issued securities, subject</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4" w:name="page165"/>
    <w:bookmarkEnd w:id="16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92"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August 2022 Warrants will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 first day after notice of such request by the Investor to increase its beneficial ownership limit has been delivered to the Company).</w:t>
      </w:r>
    </w:p>
    <w:p>
      <w:pPr>
        <w:spacing w:after="0" w:line="101" w:lineRule="exact"/>
        <w:rPr>
          <w:sz w:val="20"/>
          <w:szCs w:val="20"/>
          <w:color w:val="auto"/>
        </w:rPr>
      </w:pPr>
    </w:p>
    <w:p>
      <w:pPr>
        <w:jc w:val="both"/>
        <w:ind w:left="900" w:right="900" w:firstLine="384"/>
        <w:spacing w:after="0" w:line="275" w:lineRule="auto"/>
        <w:rPr>
          <w:sz w:val="20"/>
          <w:szCs w:val="20"/>
          <w:color w:val="auto"/>
        </w:rPr>
      </w:pPr>
      <w:r>
        <w:rPr>
          <w:rFonts w:ascii="Times New Roman" w:cs="Times New Roman" w:eastAsia="Times New Roman" w:hAnsi="Times New Roman"/>
          <w:sz w:val="14"/>
          <w:szCs w:val="14"/>
          <w:color w:val="auto"/>
        </w:rPr>
        <w:t>During the year ended December 31, 2022, the Company issued 2,000 shares of its Common Stock pursuant to the cashless exercise of August 2022 Warrants. As of December 31, 2022, the Company had outstanding liability-classified August 2022 Warrants that allow the Investor to purchase 100,544 shares of the Company’s Common Stock. Additional information regarding the Company’s August 2022 Warrants may be found in Note 1</w:t>
      </w:r>
    </w:p>
    <w:p>
      <w:pPr>
        <w:ind w:left="900" w:right="960"/>
        <w:spacing w:after="0" w:line="238" w:lineRule="auto"/>
        <w:rPr>
          <w:sz w:val="20"/>
          <w:szCs w:val="20"/>
          <w:color w:val="auto"/>
        </w:rPr>
      </w:pPr>
      <w:r>
        <w:rPr>
          <w:rFonts w:ascii="Times New Roman" w:cs="Times New Roman" w:eastAsia="Times New Roman" w:hAnsi="Times New Roman"/>
          <w:sz w:val="16"/>
          <w:szCs w:val="16"/>
          <w:color w:val="auto"/>
        </w:rPr>
        <w:t>— Overview, Basis of Presentation, and Significant Accounting Policies and Note 4 — Fair Value Measures, included elsewhere in the notes to the consolidated financial statements.</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short-term and long-term portions of the Exchange Note as of</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19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Payable, Net</w:t>
            </w:r>
          </w:p>
        </w:tc>
        <w:tc>
          <w:tcPr>
            <w:tcW w:w="0" w:type="dxa"/>
            <w:vAlign w:val="bottom"/>
          </w:tcPr>
          <w:p>
            <w:pPr>
              <w:spacing w:after="0"/>
              <w:rPr>
                <w:sz w:val="1"/>
                <w:szCs w:val="1"/>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Unamortized discount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(3,414)</w:t>
            </w: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carrying amount</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20" w:type="dxa"/>
            <w:vAlign w:val="bottom"/>
            <w:vMerge w:val="continue"/>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28,561</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Paycheck Protection Program Loan</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Paycheck Protection Program Loans under the Coronavirus Aid, Relief, and Economic Security Act</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May 2020, the Company entered into a PPP Loan with Bank of America pursuant to the PPP under the CARES Act administered by the SBA.</w:t>
      </w:r>
    </w:p>
    <w:p>
      <w:pPr>
        <w:spacing w:after="0" w:line="83" w:lineRule="exact"/>
        <w:rPr>
          <w:sz w:val="20"/>
          <w:szCs w:val="20"/>
          <w:color w:val="auto"/>
        </w:rPr>
      </w:pPr>
    </w:p>
    <w:p>
      <w:pPr>
        <w:ind w:left="900" w:right="900" w:firstLine="384"/>
        <w:spacing w:after="0" w:line="281" w:lineRule="auto"/>
        <w:rPr>
          <w:sz w:val="20"/>
          <w:szCs w:val="20"/>
          <w:color w:val="auto"/>
        </w:rPr>
      </w:pPr>
      <w:r>
        <w:rPr>
          <w:rFonts w:ascii="Times New Roman" w:cs="Times New Roman" w:eastAsia="Times New Roman" w:hAnsi="Times New Roman"/>
          <w:sz w:val="14"/>
          <w:szCs w:val="14"/>
          <w:color w:val="auto"/>
        </w:rPr>
        <w:t>The Company received total proceeds of approximately $779 thousand from the unsecured PPP Loan, which was originally scheduled to mature on May 7, 2022. The Company applied for forgiveness on the $779 thousand of</w:t>
      </w:r>
    </w:p>
    <w:p>
      <w:pPr>
        <w:spacing w:after="0" w:line="1" w:lineRule="exact"/>
        <w:rPr>
          <w:sz w:val="20"/>
          <w:szCs w:val="20"/>
          <w:color w:val="auto"/>
        </w:rPr>
      </w:pPr>
    </w:p>
    <w:p>
      <w:pPr>
        <w:jc w:val="both"/>
        <w:ind w:left="900" w:right="920" w:firstLine="6"/>
        <w:spacing w:after="0" w:line="236" w:lineRule="auto"/>
        <w:tabs>
          <w:tab w:leader="none" w:pos="1203"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but forgiveness was denied by the SBA.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99"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breakdown of PPP Loan balances by current and non-current as of December 31, 2022 and 2021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7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PPP Loan, current</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current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PPP Loan, non-current</w:t>
            </w:r>
          </w:p>
        </w:tc>
        <w:tc>
          <w:tcPr>
            <w:tcW w:w="100" w:type="dxa"/>
            <w:vAlign w:val="bottom"/>
          </w:tcPr>
          <w:p>
            <w:pPr>
              <w:spacing w:after="0"/>
              <w:rPr>
                <w:sz w:val="17"/>
                <w:szCs w:val="17"/>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PPP Loan outstanding</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6"/>
                <w:szCs w:val="16"/>
                <w:color w:val="auto"/>
              </w:rPr>
              <w:t>F-44</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65" w:name="page166"/>
    <w:bookmarkEnd w:id="16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Debt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PurePressure SBA Debt</w:t>
      </w:r>
    </w:p>
    <w:p>
      <w:pPr>
        <w:spacing w:after="0" w:line="12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As part of the acquisition of PurePressure, $159 thousand of debt remained outstanding from a standard SBA loan as of December 31, 2021. This debt was paid off during the year ended December 31, 2022 as a part of the PurePressure acquisition.</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As of December 31, 2022, future minimum principal payments for all debt were as follows:</w:t>
      </w:r>
    </w:p>
    <w:p>
      <w:pPr>
        <w:spacing w:after="0" w:line="2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p>
      <w:pPr>
        <w:spacing w:after="0" w:line="3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6000" w:type="dxa"/>
            <w:vAlign w:val="bottom"/>
            <w:tcBorders>
              <w:top w:val="single" w:sz="8" w:color="auto"/>
              <w:bottom w:val="single" w:sz="8" w:color="CCEEFF"/>
            </w:tcBorders>
            <w:shd w:val="clear" w:color="auto" w:fill="CCEEFF"/>
          </w:tcPr>
          <w:p>
            <w:pPr>
              <w:jc w:val="right"/>
              <w:ind w:right="5602"/>
              <w:spacing w:after="0"/>
              <w:rPr>
                <w:sz w:val="20"/>
                <w:szCs w:val="20"/>
                <w:color w:val="auto"/>
              </w:rPr>
            </w:pPr>
            <w:r>
              <w:rPr>
                <w:rFonts w:ascii="Times New Roman" w:cs="Times New Roman" w:eastAsia="Times New Roman" w:hAnsi="Times New Roman"/>
                <w:sz w:val="16"/>
                <w:szCs w:val="16"/>
                <w:color w:val="auto"/>
                <w:w w:val="93"/>
              </w:rPr>
              <w:t>2023</w:t>
            </w:r>
          </w:p>
        </w:tc>
        <w:tc>
          <w:tcPr>
            <w:tcW w:w="48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32,247</w:t>
            </w:r>
          </w:p>
        </w:tc>
      </w:tr>
      <w:tr>
        <w:trPr>
          <w:trHeight w:val="238"/>
        </w:trPr>
        <w:tc>
          <w:tcPr>
            <w:tcW w:w="6000" w:type="dxa"/>
            <w:vAlign w:val="bottom"/>
          </w:tcPr>
          <w:p>
            <w:pPr>
              <w:jc w:val="right"/>
              <w:ind w:right="5602"/>
              <w:spacing w:after="0"/>
              <w:rPr>
                <w:sz w:val="20"/>
                <w:szCs w:val="20"/>
                <w:color w:val="auto"/>
              </w:rPr>
            </w:pPr>
            <w:r>
              <w:rPr>
                <w:rFonts w:ascii="Times New Roman" w:cs="Times New Roman" w:eastAsia="Times New Roman" w:hAnsi="Times New Roman"/>
                <w:sz w:val="16"/>
                <w:szCs w:val="16"/>
                <w:color w:val="auto"/>
                <w:w w:val="93"/>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6000" w:type="dxa"/>
            <w:vAlign w:val="bottom"/>
            <w:shd w:val="clear" w:color="auto" w:fill="CCEEFF"/>
          </w:tcPr>
          <w:p>
            <w:pPr>
              <w:jc w:val="right"/>
              <w:ind w:right="5602"/>
              <w:spacing w:after="0"/>
              <w:rPr>
                <w:sz w:val="20"/>
                <w:szCs w:val="20"/>
                <w:color w:val="auto"/>
              </w:rPr>
            </w:pPr>
            <w:r>
              <w:rPr>
                <w:rFonts w:ascii="Times New Roman" w:cs="Times New Roman" w:eastAsia="Times New Roman" w:hAnsi="Times New Roman"/>
                <w:sz w:val="16"/>
                <w:szCs w:val="16"/>
                <w:color w:val="auto"/>
                <w:w w:val="93"/>
              </w:rPr>
              <w:t>2025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31"/>
        </w:trPr>
        <w:tc>
          <w:tcPr>
            <w:tcW w:w="6000" w:type="dxa"/>
            <w:vAlign w:val="bottom"/>
          </w:tcPr>
          <w:p>
            <w:pPr>
              <w:jc w:val="right"/>
              <w:ind w:right="4382"/>
              <w:spacing w:after="0"/>
              <w:rPr>
                <w:sz w:val="20"/>
                <w:szCs w:val="20"/>
                <w:color w:val="auto"/>
              </w:rPr>
            </w:pPr>
            <w:r>
              <w:rPr>
                <w:rFonts w:ascii="Times New Roman" w:cs="Times New Roman" w:eastAsia="Times New Roman" w:hAnsi="Times New Roman"/>
                <w:sz w:val="16"/>
                <w:szCs w:val="16"/>
                <w:color w:val="auto"/>
              </w:rPr>
              <w:t>Total future payments</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32,654</w:t>
            </w: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10 — Leases</w:t>
      </w:r>
    </w:p>
    <w:p>
      <w:pPr>
        <w:spacing w:after="0" w:line="118"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7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As the implicit interest rate in its leases was generally not known, the Company’s used its incremental borrowing rate as the discount rate for purposes of determining the present value of its lease liabilities. At December 31, 2022 and 2021, the Company’s weighted-average discount rate utilized for its leases was 7.29% and 7.16%, respectively.</w:t>
      </w:r>
    </w:p>
    <w:p>
      <w:pPr>
        <w:spacing w:after="0" w:line="95"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When a contract contained lease and non-lease elements, both were accounted for as a single lease component.</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had several non-cancelable finance leases for machinery and equipment. The Company’s finance leases have remaining lease terms of one year to five years.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Additional information on the Company’s operating and financing lease activity was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r>
      <w:tr>
        <w:trPr>
          <w:trHeight w:val="190"/>
        </w:trPr>
        <w:tc>
          <w:tcPr>
            <w:tcW w:w="29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8"/>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8"/>
        </w:trPr>
        <w:tc>
          <w:tcPr>
            <w:tcW w:w="29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2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1,119</w:t>
            </w:r>
          </w:p>
        </w:tc>
        <w:tc>
          <w:tcPr>
            <w:tcW w:w="380" w:type="dxa"/>
            <w:vAlign w:val="bottom"/>
            <w:tcBorders>
              <w:bottom w:val="single" w:sz="8" w:color="CCEEFF"/>
            </w:tcBorders>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38"/>
        </w:trPr>
        <w:tc>
          <w:tcPr>
            <w:tcW w:w="29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cost:</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6"/>
        </w:trPr>
        <w:tc>
          <w:tcPr>
            <w:tcW w:w="29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57"/>
        </w:trPr>
        <w:tc>
          <w:tcPr>
            <w:tcW w:w="2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19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38"/>
        </w:trPr>
        <w:tc>
          <w:tcPr>
            <w:tcW w:w="2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lease cost</w:t>
            </w:r>
          </w:p>
        </w:tc>
        <w:tc>
          <w:tcPr>
            <w:tcW w:w="2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1,345</w:t>
            </w: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313"/>
        </w:trPr>
        <w:tc>
          <w:tcPr>
            <w:tcW w:w="2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1460"/>
              <w:spacing w:after="0"/>
              <w:rPr>
                <w:sz w:val="20"/>
                <w:szCs w:val="20"/>
                <w:color w:val="auto"/>
              </w:rPr>
            </w:pPr>
            <w:r>
              <w:rPr>
                <w:rFonts w:ascii="Times New Roman" w:cs="Times New Roman" w:eastAsia="Times New Roman" w:hAnsi="Times New Roman"/>
                <w:sz w:val="16"/>
                <w:szCs w:val="16"/>
                <w:color w:val="auto"/>
              </w:rPr>
              <w:t>F-45</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166" w:name="page167"/>
    <w:bookmarkEnd w:id="16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10 — Leases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8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 net</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1,479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assets</w:t>
            </w:r>
          </w:p>
        </w:tc>
        <w:tc>
          <w:tcPr>
            <w:tcW w:w="80" w:type="dxa"/>
            <w:vAlign w:val="bottom"/>
            <w:shd w:val="clear" w:color="auto" w:fill="CCEEFF"/>
          </w:tcPr>
          <w:p>
            <w:pPr>
              <w:spacing w:after="0"/>
              <w:rPr>
                <w:sz w:val="22"/>
                <w:szCs w:val="22"/>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2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lease assets</w:t>
            </w:r>
          </w:p>
        </w:tc>
        <w:tc>
          <w:tcPr>
            <w:tcW w:w="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1,859</w:t>
            </w:r>
          </w:p>
        </w:tc>
        <w:tc>
          <w:tcPr>
            <w:tcW w:w="0" w:type="dxa"/>
            <w:vAlign w:val="bottom"/>
          </w:tcPr>
          <w:p>
            <w:pPr>
              <w:spacing w:after="0"/>
              <w:rPr>
                <w:sz w:val="1"/>
                <w:szCs w:val="1"/>
                <w:color w:val="auto"/>
              </w:rPr>
            </w:pPr>
          </w:p>
        </w:tc>
      </w:tr>
      <w:tr>
        <w:trPr>
          <w:trHeight w:val="241"/>
        </w:trPr>
        <w:tc>
          <w:tcPr>
            <w:tcW w:w="20" w:type="dxa"/>
            <w:vAlign w:val="bottom"/>
            <w:vMerge w:val="restart"/>
          </w:tcPr>
          <w:p>
            <w:pPr>
              <w:spacing w:after="0"/>
              <w:rPr>
                <w:sz w:val="20"/>
                <w:szCs w:val="20"/>
                <w:color w:val="auto"/>
              </w:rPr>
            </w:pPr>
          </w:p>
        </w:tc>
        <w:tc>
          <w:tcPr>
            <w:tcW w:w="22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4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w:t>
            </w:r>
          </w:p>
        </w:tc>
        <w:tc>
          <w:tcPr>
            <w:tcW w:w="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Accrued expenses and other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Non-current:</w:t>
            </w: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w:t>
            </w:r>
          </w:p>
        </w:tc>
        <w:tc>
          <w:tcPr>
            <w:tcW w:w="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Financing</w:t>
            </w:r>
          </w:p>
        </w:tc>
        <w:tc>
          <w:tcPr>
            <w:tcW w:w="80" w:type="dxa"/>
            <w:vAlign w:val="bottom"/>
            <w:tcBorders>
              <w:bottom w:val="single" w:sz="8" w:color="CCEEFF"/>
            </w:tcBorders>
          </w:tcPr>
          <w:p>
            <w:pPr>
              <w:spacing w:after="0"/>
              <w:rPr>
                <w:sz w:val="22"/>
                <w:szCs w:val="22"/>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liabilities</w:t>
            </w:r>
          </w:p>
        </w:tc>
        <w:tc>
          <w:tcPr>
            <w:tcW w:w="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2,619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vMerge w:val="restart"/>
          </w:tcPr>
          <w:p>
            <w:pPr>
              <w:spacing w:after="0"/>
              <w:rPr>
                <w:sz w:val="20"/>
                <w:szCs w:val="20"/>
                <w:color w:val="auto"/>
              </w:rPr>
            </w:pPr>
          </w:p>
        </w:tc>
        <w:tc>
          <w:tcPr>
            <w:tcW w:w="2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9"/>
              </w:rPr>
              <w:t>Weighted-average remaining lease</w:t>
            </w:r>
          </w:p>
        </w:tc>
        <w:tc>
          <w:tcPr>
            <w:tcW w:w="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 operating leases</w:t>
            </w:r>
          </w:p>
        </w:tc>
        <w:tc>
          <w:tcPr>
            <w:tcW w:w="8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3.59 years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3.11 years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w w:val="99"/>
              </w:rPr>
              <w:t>Weighted-average remaining lease</w:t>
            </w: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term – finance leases</w:t>
            </w: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2.30 years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2.36 years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2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Weighted-average discount</w:t>
            </w:r>
          </w:p>
        </w:tc>
        <w:tc>
          <w:tcPr>
            <w:tcW w:w="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rate – operating leases</w:t>
            </w:r>
          </w:p>
        </w:tc>
        <w:tc>
          <w:tcPr>
            <w:tcW w:w="8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4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Weighted-average discount</w:t>
            </w:r>
          </w:p>
        </w:tc>
        <w:tc>
          <w:tcPr>
            <w:tcW w:w="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rate – finance leases</w:t>
            </w:r>
          </w:p>
        </w:tc>
        <w:tc>
          <w:tcPr>
            <w:tcW w:w="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Maturities of operating and finance lease liabilities as of December 31, 2022 were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20" w:type="dxa"/>
            <w:vAlign w:val="bottom"/>
            <w:tcBorders>
              <w:left w:val="single" w:sz="8" w:color="CCEEFF"/>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lef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Total lease liabilities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11 — Convertible Promissory Notes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11, 2021, the Company’s Board of Directors and shareholders approved the amendment to the conversion formula of the Convertible Promissory Notes (the “Convertible Notes”) issued by the Company on dates between August 2020 and November 2020. Pursuant to the amendment, immediately prior to the consummation of a public transaction, the outstanding principal amount of the Convertible Notes, together with all accrued and unpaid interest, shall convert into a number of fully paid and non-assessable shares of Common Stock, at a conversion price of $1,544.00 per share.</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While the original conversion feature was bifurcated from the host instrument, the Company determined that the amended conversion feature would not require bifurcation. Since the accounting for the conversion feature changed because of the amendment, the Company applied extinguishment accounting pursuant to its accounting policy.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7" w:name="page168"/>
    <w:bookmarkEnd w:id="16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11 — Convertible Promissory Notes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Accordingly, the Company recognized a gain on extinguishment of $2.7 million in connection with the derecognition of the net carrying amount of the extinguished debt of $19.7 million (inclusive of $13.1 million of principal and $7.1 million of derivative liabilities, less $587 thousand of debt discount) and the recognition of the $17.0 million fair value of the new convertible notes (including the same principal amount of $13.1 million plus the $3.9 million fair value of the beneficial conversion feature).</w:t>
      </w:r>
    </w:p>
    <w:p>
      <w:pPr>
        <w:spacing w:after="0" w:line="97"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February 1, 2021, in conjunction with the closing of the Company’s IPO, the Convertible Notes in the aggregate principal amount of $13.1 million were converted into 8,485 shares of Common Stock at the election of the Company at a conversion price of $1,544.00 per share.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12 — Stockholders’ Equity</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Amendment of Conversion Formulas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On January 11, 2021, the Company’s Board of Directors approved the amendment to the conversion formula of the Series A Preferred Stock and Convertible Notes. After the amendment:</w:t>
      </w:r>
    </w:p>
    <w:p>
      <w:pPr>
        <w:spacing w:after="0" w:line="83" w:lineRule="exact"/>
        <w:rPr>
          <w:sz w:val="20"/>
          <w:szCs w:val="20"/>
          <w:color w:val="auto"/>
        </w:rPr>
      </w:pPr>
    </w:p>
    <w:p>
      <w:pPr>
        <w:jc w:val="both"/>
        <w:ind w:left="1680" w:right="920" w:hanging="389"/>
        <w:spacing w:after="0" w:line="284" w:lineRule="auto"/>
        <w:tabs>
          <w:tab w:leader="none" w:pos="168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Series A Preferred Stock is convertible, at any time after the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$1,544.00 per share (after the reverse split taking effect); and</w:t>
      </w:r>
    </w:p>
    <w:p>
      <w:pPr>
        <w:spacing w:after="0" w:line="67" w:lineRule="exact"/>
        <w:rPr>
          <w:rFonts w:ascii="Times New Roman" w:cs="Times New Roman" w:eastAsia="Times New Roman" w:hAnsi="Times New Roman"/>
          <w:sz w:val="14"/>
          <w:szCs w:val="14"/>
          <w:color w:val="auto"/>
        </w:rPr>
      </w:pPr>
    </w:p>
    <w:p>
      <w:pPr>
        <w:jc w:val="both"/>
        <w:ind w:left="1680" w:right="900" w:hanging="389"/>
        <w:spacing w:after="0" w:line="239" w:lineRule="auto"/>
        <w:tabs>
          <w:tab w:leader="none" w:pos="16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immediately prior to the consummation of a public transaction, the outstanding principal amount of the Convertible Notes together with all accrued and unpaid interest shall convert into a number of fully paid and non-assessable shares of Common Stock equal to the quotient of (i) the outstanding principal amount of the Convertible Notes together with all accrued and unpaid interest thereunder immediately prior to such public transaction divided by (ii) a conversion price of $1,544.00 per share (after the reverse split taking effect).</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Initial Public Offering</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February 1, 2021, the Company completed an IPO for the sale of 27,000 shares of Common Stock at a price of $2,000.00 per share. The Company also granted the underwriters a 45 -day option to purchase up to 4,050 additional shares of Common Stock on the same terms and conditions for the purpose of covering any over-allotments in connection with the IPO, and warrants to purchase 810 shares of Common Stock (equal to 3% of the aggregate number of shares of Common Stock issued in the IPO) at an exercise price of $2,500.00 per share (which is equal to 125% of the IPO price). Subsequently, the underwriters exercised the over-allotment option, and on February 4, 2021, the Company closed on the sale of an additional 4,050 shares of Common Stock for a price of $2,000.00 per share and granted to the underwriters warrants to purchase 121 additional shares of Common Stock (equal to 3% of the amount of shares issued as part of the exercised of the over-allotment option) at an exercise price of $2,500.00 per share. The exercise of the over-allotment option brought the total number of shares of Common Stock sold by the Company in connection with the IPO to 31,050 shares and the total net proceeds received in connection with the IPO to approximately $57 million, after deducting underwriting discounts and estimated offering expenses.</w:t>
      </w:r>
    </w:p>
    <w:p>
      <w:pPr>
        <w:spacing w:after="0" w:line="99"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Immediately prior to the closing of the Company’s IPO, all outstanding shares of Series A Preferred Stock and Convertible Notes were converted into 6,865 shares of Common Stock and 8,485 shares of Common Stock, respectively, at a conversion price of $1,544.00 per share.</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8" w:name="page169"/>
    <w:bookmarkEnd w:id="16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12 — Stockholders’ Equity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Subsequent Public Offering</w:t>
      </w:r>
    </w:p>
    <w:p>
      <w:pPr>
        <w:spacing w:after="0" w:line="118" w:lineRule="exact"/>
        <w:rPr>
          <w:sz w:val="20"/>
          <w:szCs w:val="20"/>
          <w:color w:val="auto"/>
        </w:rPr>
      </w:pPr>
    </w:p>
    <w:p>
      <w:pPr>
        <w:jc w:val="both"/>
        <w:ind w:left="900" w:right="900" w:firstLine="384"/>
        <w:spacing w:after="0" w:line="273" w:lineRule="auto"/>
        <w:rPr>
          <w:sz w:val="20"/>
          <w:szCs w:val="20"/>
          <w:color w:val="auto"/>
        </w:rPr>
      </w:pPr>
      <w:r>
        <w:rPr>
          <w:rFonts w:ascii="Times New Roman" w:cs="Times New Roman" w:eastAsia="Times New Roman" w:hAnsi="Times New Roman"/>
          <w:sz w:val="14"/>
          <w:szCs w:val="14"/>
          <w:color w:val="auto"/>
        </w:rPr>
        <w:t>On February 19, 2021, the Company consummated the February Offering for the sale of 27,778 shares of Common Stock for a price of $2,700.00 per share. The Company also granted the underwriters a 45-day option to purchase up to 4,167 additional shares of Common Stock on the same terms and conditions for the purpose of covering any over-allotments in connection with the February Offering, and warrants to purchase 833 shares of Common Stock (equal to 3% of the aggregate number of shares of Common Stock issued in the February Offering) at an exercise price of $3,375.00 per share (which is equal to 125% of the February Offering). Subsequently, the underwriters exercised the over-allotment option, and on March 22, 2021, the Company closed on the sale of an additional 4,167 shares of Common Stock for a price of $2,700.00 per share and granted to the underwriters warrants to purchase 125 additional shares of Common Stock (equal to 3% of the amount of shares issued as part of the exercised of the over-allotment option) at an exercise price of $ 3,375.00 per share. The exercise of the over-allotment option brought the total number of shares of Common Stock sold by the Company in connection with the February Offering to 31,944 shares and the total net proceeds received in connection with the February Offering to approximately $80 million, after deducting underwriting discounts and estimated offering expenses.</w:t>
      </w:r>
    </w:p>
    <w:p>
      <w:pPr>
        <w:spacing w:after="0" w:line="3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Underwriter Termination</w:t>
      </w:r>
    </w:p>
    <w:p>
      <w:pPr>
        <w:spacing w:after="0" w:line="118" w:lineRule="exact"/>
        <w:rPr>
          <w:sz w:val="20"/>
          <w:szCs w:val="20"/>
          <w:color w:val="auto"/>
        </w:rPr>
      </w:pPr>
    </w:p>
    <w:p>
      <w:pPr>
        <w:jc w:val="both"/>
        <w:ind w:left="900" w:right="880" w:firstLine="384"/>
        <w:spacing w:after="0" w:line="239" w:lineRule="auto"/>
        <w:rPr>
          <w:sz w:val="20"/>
          <w:szCs w:val="20"/>
          <w:color w:val="auto"/>
        </w:rPr>
      </w:pPr>
      <w:r>
        <w:rPr>
          <w:rFonts w:ascii="Times New Roman" w:cs="Times New Roman" w:eastAsia="Times New Roman" w:hAnsi="Times New Roman"/>
          <w:sz w:val="16"/>
          <w:szCs w:val="16"/>
          <w:color w:val="auto"/>
        </w:rPr>
        <w:t>On September 14, 2021, the Company entered into a letter agreement and waiver (the “Letter Agreement”), to amend the terms of its underwriting agreement with the representative of the underwriters in the IPO. Pursuant to the Letter Agreement, the representative agreed to waive the right of first refusal included in the underwriting agreement in consideration of a cash payment to the representative of $ 2.4 million and the right to participate as a co-manager with 10% of the economics with respect to the Company’s next public offering of securities, payable in cash upon the closing of such offering.</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 -Funded Warrants, the “SA Warrants”), in a private placement offering. The combined purchase price for one share of Common Stock (or one Pre-Funded Warrant) and the accompanying fraction of a Common Warrant was $1,360.00 per share.</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69" w:name="page170"/>
    <w:bookmarkEnd w:id="16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12 — Stockholders’ Equity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Issuance of Common Stock in Connection with Acquisitions</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 Refer to Note 8 — Business Combinations, included elsewhere in the notes to the consolidated financial statements.</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 Additional information regarding the PurePressure Holdback Buyer Shares may be found in Note 8 — Business Combinations, included elsewhere in the notes to the consolidated financial statements.</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 Refer to Note 8 — Business Combinations, included elsewhere in the notes to the consolidated financial statements.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At The Marketing Offering</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$468 thousand and legal fees totaling $75 thousand.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Confidentially Marketed Public Offering</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December 16, 2022, the Company issued 594,232 shares of its Common Stock, Pre- Funded 2022 Warrants to purchase 75,000 shares of its Common Stock, and accompanying December 2022 Warrants to purchase 1,338,462 shares of the Company’s Common Stock. The Company received net proceeds from the Offering of approximately $8.2 million, after deducting underwriting discounts and commissions, and estimated expenses. The Company used the net proceeds from the Offering, together with its existing cash resources, for working capital and general corporate purposes, which may include capital expenditures and repayment of debt.</w:t>
      </w:r>
    </w:p>
    <w:p>
      <w:pPr>
        <w:spacing w:after="0" w:line="101"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0" w:name="page171"/>
    <w:bookmarkEnd w:id="17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12 — Stockholders’ Equity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 -classified as there is a volatility floor and these warrants are not indexed to the Company’s own stock.</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2022, the Company valued the December 2022 Warrants using the Black-Scholes option-pricing model and determined the fair value at $5.9 million. The key inputs to the valuation model included the annualized volatility of 98.0% and the expected term of about 5 years.</w:t>
      </w:r>
    </w:p>
    <w:p>
      <w:pPr>
        <w:spacing w:after="0" w:line="9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Raymond Chang, Chairman and CEO, participated in the Offering and purchased 115,385 shares of Common Stock and 230,769 December 2022 Warrants for an aggregate purchase price of approximately $1.5 million.</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Additional information regarding the Company’s December 2022 Warrants may be found in Note 1</w:t>
      </w:r>
    </w:p>
    <w:p>
      <w:pPr>
        <w:spacing w:after="0" w:line="14" w:lineRule="exact"/>
        <w:rPr>
          <w:sz w:val="20"/>
          <w:szCs w:val="20"/>
          <w:color w:val="auto"/>
        </w:rPr>
      </w:pPr>
    </w:p>
    <w:p>
      <w:pPr>
        <w:ind w:left="900" w:right="960"/>
        <w:spacing w:after="0" w:line="238" w:lineRule="auto"/>
        <w:rPr>
          <w:sz w:val="20"/>
          <w:szCs w:val="20"/>
          <w:color w:val="auto"/>
        </w:rPr>
      </w:pPr>
      <w:r>
        <w:rPr>
          <w:rFonts w:ascii="Times New Roman" w:cs="Times New Roman" w:eastAsia="Times New Roman" w:hAnsi="Times New Roman"/>
          <w:sz w:val="16"/>
          <w:szCs w:val="16"/>
          <w:color w:val="auto"/>
        </w:rPr>
        <w:t>— Overview, Basis of Presentation, and Significant Accounting Policies and Note 4 — Fair Value Measures, included elsewhere in the notes to the consolidated financial statements.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13 — Stock-Based Compensation and Employee Benefit Plans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2022 Omnibus Equity Incentive Plan</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December 31, 2022, there were 4,104 shares of Common Stock available to be granted under the Company’s 2022 Plan.</w:t>
      </w:r>
    </w:p>
    <w:p>
      <w:pPr>
        <w:spacing w:after="0" w:line="99"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Company’s stock option compensation expense was $4.3 million and $5.6 million for the years ended December 31, 2022 and 2021, respectively.</w:t>
      </w:r>
    </w:p>
    <w:p>
      <w:pPr>
        <w:spacing w:after="0" w:line="1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year ended December 31, 2022.</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1" w:name="page172"/>
    <w:bookmarkEnd w:id="17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13 — Stock-Based Compensation and Employee Benefit Plans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of options granted during the year ended December 31, 2021:</w:t>
      </w:r>
    </w:p>
    <w:p>
      <w:pPr>
        <w:spacing w:after="0" w:line="132"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Volatility</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 1.63%</w:t>
            </w:r>
          </w:p>
        </w:tc>
      </w:tr>
      <w:tr>
        <w:trPr>
          <w:trHeight w:val="26"/>
        </w:trPr>
        <w:tc>
          <w:tcPr>
            <w:tcW w:w="38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Expected life (Years)</w:t>
            </w:r>
          </w:p>
        </w:tc>
        <w:tc>
          <w:tcPr>
            <w:tcW w:w="34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r>
      <w:tr>
        <w:trPr>
          <w:trHeight w:val="26"/>
        </w:trPr>
        <w:tc>
          <w:tcPr>
            <w:tcW w:w="380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38"/>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rate</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26"/>
        </w:trPr>
        <w:tc>
          <w:tcPr>
            <w:tcW w:w="38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arriving at stock- 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presents option activity under the Company’s stock option plans for the years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 and 2021:</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December 31, 2020</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702.00</w:t>
            </w: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7,600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(3,288)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(2,151)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Canceled</w:t>
            </w:r>
          </w:p>
        </w:tc>
        <w:tc>
          <w:tcPr>
            <w:tcW w:w="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Options outstanding at December 31, 2021</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1,436.00</w:t>
            </w:r>
          </w:p>
        </w:tc>
        <w:tc>
          <w:tcPr>
            <w:tcW w:w="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Forfeited</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(2,363)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1,018.82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Canceled</w:t>
            </w:r>
          </w:p>
        </w:tc>
        <w:tc>
          <w:tcPr>
            <w:tcW w:w="8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1,394.70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December 31, 2022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Options vested and exercisable as of December 31, 2022</w:t>
            </w: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20" w:type="dxa"/>
            <w:vAlign w:val="bottom"/>
            <w:vMerge w:val="continue"/>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1,327.13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Total recognized compensation expense related to the Company’s stock option plans for the years ended December 31, 2022 and 2021 was $3.5 million and $5.6 million, respectively. As of December 31, 2022, total unrecognized compensation expense related to unvested options under the Company’s option plans was $2.9 million, which is expected to be recognized over a weighted average period of 7.84 years.</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2" w:name="page173"/>
    <w:bookmarkEnd w:id="17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13 — Stock-Based Compensation and Employee Benefit Plans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information about options vested and exercisable at December 31, 2022:</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1460" w:type="dxa"/>
            <w:vAlign w:val="bottom"/>
          </w:tcPr>
          <w:p>
            <w:pPr>
              <w:spacing w:after="0"/>
              <w:rPr>
                <w:sz w:val="16"/>
                <w:szCs w:val="16"/>
                <w:color w:val="auto"/>
              </w:rPr>
            </w:pPr>
          </w:p>
        </w:tc>
      </w:tr>
      <w:tr>
        <w:trPr>
          <w:trHeight w:val="28"/>
        </w:trPr>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6"/>
        </w:trPr>
        <w:tc>
          <w:tcPr>
            <w:tcW w:w="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68"/>
        </w:trPr>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260" w:type="dxa"/>
            <w:vAlign w:val="bottom"/>
          </w:tcPr>
          <w:p>
            <w:pPr>
              <w:spacing w:after="0"/>
              <w:rPr>
                <w:sz w:val="16"/>
                <w:szCs w:val="16"/>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8"/>
        </w:trPr>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3,668</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r>
      <w:tr>
        <w:trPr>
          <w:trHeight w:val="238"/>
        </w:trPr>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4,039</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r>
      <w:tr>
        <w:trPr>
          <w:trHeight w:val="26"/>
        </w:trPr>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26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1,536.00 – 1,840.00</w:t>
            </w: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1,708.79</w:t>
            </w:r>
          </w:p>
        </w:tc>
      </w:tr>
      <w:tr>
        <w:trPr>
          <w:trHeight w:val="238"/>
        </w:trPr>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2,768.00 – 3,722.00</w:t>
            </w:r>
          </w:p>
        </w:tc>
        <w:tc>
          <w:tcPr>
            <w:tcW w:w="12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3,173</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2,770.05</w:t>
            </w:r>
          </w:p>
        </w:tc>
      </w:tr>
    </w:tbl>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presents restricted stock unit activity under the 2022 Plan for the year ended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365.66</w:t>
            </w: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Forfeitures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302.41</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Cancelled</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10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Total recognized compensation expense related to the Company’s restricted stock units for the years ended December 31, 2022 and 2021 was $818,000 and $0, respectively. As of December 31, 2022, total unrecognized compensation expense related to unvested restricted stock units was $1.4 million, which is expected to be recognized over a weighted average period of 2.59 years.</w:t>
      </w:r>
    </w:p>
    <w:p>
      <w:pPr>
        <w:spacing w:after="0" w:line="16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2022 Employee Stock Purchase Plan</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April 29, 2022, the Company’s Board of Directors, and on June 8, 2022, the Company’s stockholders, adopted and approved the 2022 Employee Stock Purchase Plan (“ESPP”). The Company has initially reserved 2,500 shares of Common Stock for issuance under the ESPP. On December 31, 2022, 2,500 shares were available for future issuance.</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$ 25 thousand worth of Common Stock annually. No Common Stock was granted under the 2022 ESPP during the year ended December 31, 2022.</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3" w:name="page174"/>
    <w:bookmarkEnd w:id="17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13 — Stock-Based Compensation and Employee Benefit Plans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Employee Benefit Plan</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maintains an employee’s savings and retirement plan under Section 401(k) of the Internal Revenue Code (the “401(k) Plan”). All full -time U.S. employees become eligible to participate in the 401(k) Plan. The Company’s contribution to the 401(k) Plan is discretionary. During the years ended December 31, 2022 and 2021, the Company did not contribute to the 401(k) Plan.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14 — Stock Warrants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presents all warrant activity of the Company for the years ended December 31, 2022 and</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2021:</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December 31, 2020</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4,141</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(4,672)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Warrants outstanding at December 31, 2021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Granted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1,541,937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Canceled</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Warrants outstanding at December 31, 2022</w:t>
            </w: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1,530,001</w:t>
            </w: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Company received proceeds from the exercise of warrants of $2 thousand and $8 thousand for the years ended December 31, 2022 and 2021, respectively.</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15 — Income Taxes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March 27, 2020, the CARES Act was enacted and signed into law.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 year net operating loss carryback, suspension of the annual deduction limitation of 80% of taxable income from net operating losses generated in a tax year beginning after December 31, 2017, changes to the deductibility of interest, acceleration of alternative minimum tax credit refunds, payroll tax relief, and a technical correction to allow accelerated deductions for qualified improvement property. The CARES Act also provides other non -tax benefits to assist those impacted by the COVID-19 pandemic. The Company evaluated the impact of the CARES Act and determined that its adoption did not have a material impact to the income tax provision for the years ended December 31, 2022 or December 31, 2021, respectively.</w:t>
      </w:r>
    </w:p>
    <w:p>
      <w:pPr>
        <w:spacing w:after="0" w:line="10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For the period ended December 31, 2022, the Company recorded a tax provision of approximately $23 thousand, comprised of its change in deferred tax liability during the year related to its indefinite-lived intangible asset balance. The indefinite-lived intangibles are not all available as a source of income and thus are not fully available to offset the Company’s deferred tax assets. As of December 31, 2022, the Company has federal and state net operating loss carryforwards of approximately $96.7 million and $71.6 million, respectively. The net operating loss carryforwards for United States income taxes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its net operating loss carryforward deferred tax assets to reduce the assets to zero. Management will review this valuation allowance periodically and adjust as necessary.</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4" w:name="page175"/>
    <w:bookmarkEnd w:id="17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Income Taxes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following table summarizes the significant differences between the U.S. Federal statutory tax rate and the Company’s effective tax rate for financial statement purposes for the years ended December 31, 2022 and 2021:</w:t>
      </w:r>
    </w:p>
    <w:p>
      <w:pPr>
        <w:spacing w:after="0" w:line="1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3677920</wp:posOffset>
            </wp:positionH>
            <wp:positionV relativeFrom="paragraph">
              <wp:posOffset>24765</wp:posOffset>
            </wp:positionV>
            <wp:extent cx="147129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471295" cy="7620"/>
                    </a:xfrm>
                    <a:prstGeom prst="rect">
                      <a:avLst/>
                    </a:prstGeom>
                    <a:noFill/>
                  </pic:spPr>
                </pic:pic>
              </a:graphicData>
            </a:graphic>
          </wp:anchor>
        </w:drawing>
      </w:r>
    </w:p>
    <w:p>
      <w:pPr>
        <w:spacing w:after="0" w:line="77"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8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6"/>
                <w:szCs w:val="16"/>
                <w:color w:val="auto"/>
              </w:rPr>
            </w:pPr>
          </w:p>
        </w:tc>
      </w:tr>
      <w:tr>
        <w:trPr>
          <w:trHeight w:val="28"/>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2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21.0%</w:t>
            </w:r>
          </w:p>
        </w:tc>
        <w:tc>
          <w:tcPr>
            <w:tcW w:w="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State taxes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r>
      <w:tr>
        <w:trPr>
          <w:trHeight w:val="26"/>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Permanent differences and other</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Debt extinguishment</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r>
      <w:tr>
        <w:trPr>
          <w:trHeight w:val="26"/>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liabilities</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6"/>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 Impairment</w:t>
            </w: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Debt discount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r>
      <w:tr>
        <w:trPr>
          <w:trHeight w:val="26"/>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Prior period adjustments to opening deferred tax</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r>
      <w:tr>
        <w:trPr>
          <w:trHeight w:val="257"/>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1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0"/>
        </w:trPr>
        <w:tc>
          <w:tcPr>
            <w:tcW w:w="49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38"/>
        </w:trPr>
        <w:tc>
          <w:tcPr>
            <w:tcW w:w="49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tax effects of temporary differences that give rise to deferred tax assets and liabilities as of</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 and 2021 were as follows: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operating loss carryforward</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Accruals, reserves, and other</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2,529</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Capitalized Sec. 174 R&amp;E</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tax credit carryforward</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assets</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53,331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16,489</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(52,730)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(13,852)</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2,637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Fixed assets</w:t>
            </w:r>
          </w:p>
        </w:tc>
        <w:tc>
          <w:tcPr>
            <w:tcW w:w="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Debt discount</w:t>
            </w:r>
          </w:p>
        </w:tc>
        <w:tc>
          <w:tcPr>
            <w:tcW w:w="8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(323)</w:t>
            </w: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Deferred commissions</w:t>
            </w:r>
          </w:p>
        </w:tc>
        <w:tc>
          <w:tcPr>
            <w:tcW w:w="8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0"/>
        </w:trPr>
        <w:tc>
          <w:tcPr>
            <w:tcW w:w="50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deferred tax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recognizes federal and state deferred tax assets or liabilities based on the Company’s estimate of future tax effects attributable to temporary differences and carryovers. The Company records a valuation allowance to reduce any deferred tax assets by the amount of any tax benefits that, based on available evidence and judgment, are not expected to be realized. In assessing the realizability of deferred tax assets, the Company considers whether it is more likely than not that some portion or all the deferred tax assets will be realized. The ultimate realization of deferred tax assets is dependent upon the generation of future taxable income during periods in which those temporary differences become deductible. The Company considers projected future taxable income and planning strategies in making this assessment. As of December 31, 2021, because of a three-year cumulative loss and recent events, the Company concluded that a full valuation allowance was necessary to offset its deferred tax assets.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5" w:name="page176"/>
    <w:bookmarkEnd w:id="17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Income Taxes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880"/>
        <w:spacing w:after="0" w:line="236" w:lineRule="auto"/>
        <w:rPr>
          <w:sz w:val="20"/>
          <w:szCs w:val="20"/>
          <w:color w:val="auto"/>
        </w:rPr>
      </w:pPr>
      <w:r>
        <w:rPr>
          <w:rFonts w:ascii="Times New Roman" w:cs="Times New Roman" w:eastAsia="Times New Roman" w:hAnsi="Times New Roman"/>
          <w:sz w:val="16"/>
          <w:szCs w:val="16"/>
          <w:color w:val="auto"/>
        </w:rPr>
        <w:t>The Company also has indefinite-lived intangibles and goodwill which generate a deferred tax liability that is not available to fully offset its deferred tax assets due to uncertainty as to when the deferred tax liability will reverse as a source of taxable income. As a result, the Company is in a net deferred tax liability position as of December 31, 2022. The Company intends to maintain a valuation allowance until sufficient positive evidence exists to support its reversal. The Company will continue to evaluate its deferred tax balances to determine any assets that are more likely than not to be realized. As of December 31, 2022, the Company had federal and state income tax net operating loss carryovers $ 96.7 million and $71.6 million, respectively. Of the federal balance, approximately $675 thousand will expire if not utilized by 2037 and $96.0 million carry forward indefinitely but are only available to offset 80% of taxable income per year. As of December 31, 2022, the Company also had federal research credits of approximately $1.1 million that will expire if not utilized by 2041. The utilization of the Company’s net operating loss carryforwards and research tax credit carryovers could be subject to annual limitations under Section 382 and 383 of the Internal Revenue Code of 1986, and similar state tax provisions due to ownership change limitations that may have occurred previously or that could occur in the future. These ownership changes limit the amount of net operating loss carryforwards and other deferred tax assets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 points over a three-year period. The Company has not conducted an analysis of an ownership change under section 382. To the extent that a study is completed, and an ownership change is deemed to occur, the Company’s net operating losses and tax credits could be limited.</w:t>
      </w:r>
    </w:p>
    <w:p>
      <w:pPr>
        <w:spacing w:after="0" w:line="104"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 does not have any uncertain tax positions or events leading to uncertainty in a tax position. The Company’s 2017 through 2021 corporate income tax returns are subject to Internal Revenue Service examination. In addition, to the extent that tax attributes are utilized in future years to offset taxable income or income taxes, the IRS and state taxing authorities can examine the years in which those attributes were generated and adjust the attributes.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16 — Net Loss Per Share</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components of basic and diluted net loss per share were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8"/>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30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(188,173)</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(32,465)</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dividend attributable to Preferred A Stockholders</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 available for Common Stockholders</w:t>
            </w:r>
          </w:p>
        </w:tc>
        <w:tc>
          <w:tcPr>
            <w:tcW w:w="8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(188,173)</w:t>
            </w: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(32,526)</w:t>
            </w:r>
          </w:p>
        </w:tc>
        <w:tc>
          <w:tcPr>
            <w:tcW w:w="0" w:type="dxa"/>
            <w:vAlign w:val="bottom"/>
          </w:tcPr>
          <w:p>
            <w:pPr>
              <w:spacing w:after="0"/>
              <w:rPr>
                <w:sz w:val="1"/>
                <w:szCs w:val="1"/>
                <w:color w:val="auto"/>
              </w:rPr>
            </w:pPr>
          </w:p>
        </w:tc>
      </w:tr>
      <w:tr>
        <w:trPr>
          <w:trHeight w:val="221"/>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2"/>
        </w:trPr>
        <w:tc>
          <w:tcPr>
            <w:tcW w:w="48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Weighted-average common shares outstanding – basic and diluted</w:t>
            </w:r>
            <w:r>
              <w:rPr>
                <w:rFonts w:ascii="Times New Roman" w:cs="Times New Roman" w:eastAsia="Times New Roman" w:hAnsi="Times New Roman"/>
                <w:sz w:val="19"/>
                <w:szCs w:val="19"/>
                <w:color w:val="auto"/>
                <w:vertAlign w:val="superscript"/>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208,573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880" w:type="dxa"/>
            <w:vAlign w:val="bottom"/>
            <w:tcBorders>
              <w:top w:val="single" w:sz="8" w:color="CCEEFF"/>
            </w:tcBorders>
            <w:shd w:val="clear" w:color="auto" w:fill="CCEEFF"/>
          </w:tcPr>
          <w:p>
            <w:pPr>
              <w:ind w:left="160"/>
              <w:spacing w:after="0" w:line="131" w:lineRule="exact"/>
              <w:rPr>
                <w:sz w:val="20"/>
                <w:szCs w:val="20"/>
                <w:color w:val="auto"/>
              </w:rPr>
            </w:pPr>
            <w:r>
              <w:rPr>
                <w:rFonts w:ascii="Times New Roman" w:cs="Times New Roman" w:eastAsia="Times New Roman" w:hAnsi="Times New Roman"/>
                <w:sz w:val="14"/>
                <w:szCs w:val="14"/>
                <w:color w:val="auto"/>
              </w:rPr>
              <w:t>Net loss per share attributable to Common Stockholders – basic and</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880" w:type="dxa"/>
            <w:vAlign w:val="bottom"/>
            <w:shd w:val="clear" w:color="auto" w:fill="CCEEFF"/>
          </w:tcPr>
          <w:p>
            <w:pPr>
              <w:ind w:left="320"/>
              <w:spacing w:after="0" w:line="217" w:lineRule="exact"/>
              <w:rPr>
                <w:sz w:val="20"/>
                <w:szCs w:val="20"/>
                <w:color w:val="auto"/>
              </w:rPr>
            </w:pPr>
            <w:r>
              <w:rPr>
                <w:rFonts w:ascii="Times New Roman" w:cs="Times New Roman" w:eastAsia="Times New Roman" w:hAnsi="Times New Roman"/>
                <w:sz w:val="16"/>
                <w:szCs w:val="16"/>
                <w:color w:val="auto"/>
              </w:rPr>
              <w:t>diluted</w:t>
            </w:r>
            <w:r>
              <w:rPr>
                <w:rFonts w:ascii="Times New Roman" w:cs="Times New Roman" w:eastAsia="Times New Roman" w:hAnsi="Times New Roman"/>
                <w:sz w:val="19"/>
                <w:szCs w:val="19"/>
                <w:color w:val="auto"/>
                <w:vertAlign w:val="superscript"/>
              </w:rPr>
              <w:t>(1)</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(902.19)</w:t>
            </w: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(340.75)</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bottom w:val="single" w:sz="8" w:color="CCEEFF"/>
            </w:tcBorders>
            <w:vMerge w:val="restart"/>
          </w:tcPr>
          <w:p>
            <w:pPr>
              <w:ind w:left="3460"/>
              <w:spacing w:after="0"/>
              <w:rPr>
                <w:sz w:val="20"/>
                <w:szCs w:val="20"/>
                <w:color w:val="auto"/>
              </w:rPr>
            </w:pPr>
            <w:r>
              <w:rPr>
                <w:rFonts w:ascii="Times New Roman" w:cs="Times New Roman" w:eastAsia="Times New Roman" w:hAnsi="Times New Roman"/>
                <w:sz w:val="16"/>
                <w:szCs w:val="16"/>
                <w:color w:val="auto"/>
              </w:rPr>
              <w:t>F-55</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8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76" w:name="page177"/>
    <w:bookmarkEnd w:id="17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16 — Net Loss Per Share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000" w:type="dxa"/>
            <w:vAlign w:val="bottom"/>
          </w:tcPr>
          <w:p>
            <w:pPr>
              <w:spacing w:after="0"/>
              <w:rPr>
                <w:sz w:val="16"/>
                <w:szCs w:val="16"/>
                <w:color w:val="auto"/>
              </w:rPr>
            </w:pPr>
          </w:p>
        </w:tc>
        <w:tc>
          <w:tcPr>
            <w:tcW w:w="10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1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outstanding 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17,821</w:t>
            </w:r>
          </w:p>
        </w:tc>
        <w:tc>
          <w:tcPr>
            <w:tcW w:w="20" w:type="dxa"/>
            <w:vAlign w:val="bottom"/>
          </w:tcPr>
          <w:p>
            <w:pPr>
              <w:spacing w:after="0"/>
              <w:rPr>
                <w:sz w:val="19"/>
                <w:szCs w:val="19"/>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Shares subject to unvested restricted stock units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7,691</w:t>
            </w:r>
          </w:p>
        </w:tc>
        <w:tc>
          <w:tcPr>
            <w:tcW w:w="112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w w:val="87"/>
              </w:rPr>
              <w:t>—</w:t>
            </w:r>
          </w:p>
        </w:tc>
      </w:tr>
      <w:tr>
        <w:trPr>
          <w:trHeight w:val="26"/>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outstanding warrants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1,530,001</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0" w:type="dxa"/>
            <w:vAlign w:val="bottom"/>
          </w:tcPr>
          <w:p>
            <w:pPr>
              <w:spacing w:after="0"/>
              <w:rPr>
                <w:sz w:val="22"/>
                <w:szCs w:val="22"/>
                <w:color w:val="auto"/>
              </w:rPr>
            </w:pPr>
          </w:p>
        </w:tc>
      </w:tr>
      <w:tr>
        <w:trPr>
          <w:trHeight w:val="238"/>
        </w:trPr>
        <w:tc>
          <w:tcPr>
            <w:tcW w:w="50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1,551,131</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19,181</w:t>
            </w:r>
          </w:p>
        </w:tc>
        <w:tc>
          <w:tcPr>
            <w:tcW w:w="20" w:type="dxa"/>
            <w:vAlign w:val="bottom"/>
          </w:tcPr>
          <w:p>
            <w:pPr>
              <w:spacing w:after="0"/>
              <w:rPr>
                <w:sz w:val="20"/>
                <w:szCs w:val="20"/>
                <w:color w:val="auto"/>
              </w:rPr>
            </w:pPr>
          </w:p>
        </w:tc>
      </w:tr>
      <w:tr>
        <w:trPr>
          <w:trHeight w:val="20"/>
        </w:trPr>
        <w:tc>
          <w:tcPr>
            <w:tcW w:w="5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17 — Commitments and Contingencies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Bud &amp; Mary’s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and Agrify will be permitted to make responsive filings, which may include an answer and counterclaim.</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Bowdoin Construction Corp.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6"/>
          <w:szCs w:val="16"/>
          <w:i w:val="1"/>
          <w:iCs w:val="1"/>
          <w:color w:val="auto"/>
        </w:rPr>
        <w:t>Bowdoin Construction Corp. v. Agrify Corporation, Bud &amp; Mary’s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Cultivation, Inc. and BMLC2, LLC </w:t>
      </w:r>
      <w:r>
        <w:rPr>
          <w:rFonts w:ascii="Times New Roman" w:cs="Times New Roman" w:eastAsia="Times New Roman" w:hAnsi="Times New Roman"/>
          <w:sz w:val="16"/>
          <w:szCs w:val="16"/>
          <w:color w:val="auto"/>
        </w:rPr>
        <w:t>, case no. 2382CV00173. The Bowdoin Complaint relates to a construction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Certain of Bowdoin’s subcontractors have filed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7" w:name="page178"/>
    <w:bookmarkEnd w:id="17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Commitments and Contingencies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7" w:lineRule="auto"/>
        <w:rPr>
          <w:sz w:val="20"/>
          <w:szCs w:val="20"/>
          <w:color w:val="auto"/>
        </w:rPr>
      </w:pPr>
      <w:r>
        <w:rPr>
          <w:rFonts w:ascii="Times New Roman" w:cs="Times New Roman" w:eastAsia="Times New Roman" w:hAnsi="Times New Roman"/>
          <w:sz w:val="16"/>
          <w:szCs w:val="16"/>
          <w:color w:val="auto"/>
        </w:rPr>
        <w:t>ancillary civil actions, some seeking direct recovery of sums (which sums are understood to be subsumed in/covered by Bowdoin’s claims) against the Company. The Company is entitled to indemnification by Bud &amp; Mary’s and intends to vigorously defend this and ancillary claim(s).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Mack Molding Co.</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9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March 2, 2023, Mack filed an arbitration action seeking the amounts owed to Mack for purchased inventory. On October 27, 2023, and effective as of October 18, 2023, Mack and the Company entered into a Modification and Settlement Agreement with respect to the dispute. See Note 19 — Subsequent Events.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TRC Electronics Litigation</w:t>
      </w:r>
    </w:p>
    <w:p>
      <w:pPr>
        <w:spacing w:after="0" w:line="120"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 -judgment interest. The Company has filed an answer denying liability on TRC’s claims and is proceeding with discovery.</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Sinclair Scientific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The Company and Precision filed an answer to the counterclaims denying all liability on the claims and discovery in the Delaware Action has recently commenced.</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8" w:name="page179"/>
    <w:bookmarkEnd w:id="17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Commitments and Contingencies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Commitments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Supply Agreement with Mack Molding Co.</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December 2020, the Company entered into a five-year supply agreement with Mack Molding Co. (“Mack”) pursuant to which Mack would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99"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 On October 27, 2023, and effective as of October 18, 2023, Mack and the Company entered into a Modification and Settlement Agreement with respect to the dispute. See Note 19 — Subsequent Events.</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Distribution Agreements with Related Party — Bluezone Products, Inc.</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Committed Purchase Agreement with Related Party — 4D Bios, Inc.</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$864 thousand paid to 4D. 4D is a related party to the Company. The Company settled all outstanding commitments, leaving no open committed purchases as of December 31, 2021.</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79" w:name="page180"/>
    <w:bookmarkEnd w:id="17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Commitments and Contingencies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i w:val="1"/>
          <w:iCs w:val="1"/>
          <w:color w:val="auto"/>
        </w:rPr>
        <w:t>Committed Purchase Agreement with Related Party — Ora Pharm</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9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Refer to Note 9 — Debt, included elsewhere in the notes to the consolidated financial statements for details of the Company’s future minimum debt payments. Refer to Note 10 — Leases, included elsewhere in the notes to the consolidated financial statements for details of the Company’s future minimum lease payments under operating and financing lease liabilities. Refer to Note 15 — Income Taxes, included elsewhere in the notes to the consolidated financial statements for information regarding income tax contingencies.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18 — Related Parties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Some of the officers and directors of the Company are involved in other business activities and may, in the future, become involved in other business opportunities that become available.</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describes the net purchasing (sales) activity with entities identified as related parties to the Company:</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4"/>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8"/>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8"/>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8"/>
        </w:trPr>
        <w:tc>
          <w:tcPr>
            <w:tcW w:w="2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Bluezone</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309</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4D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1,312</w:t>
            </w: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Enozo</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40</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Cannae Policy Group</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50</w:t>
            </w: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Topline Performance Group</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Cannaquip</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209</w:t>
            </w: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NEIA</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(22,010)</w:t>
            </w:r>
          </w:p>
        </w:tc>
      </w:tr>
      <w:tr>
        <w:trPr>
          <w:trHeight w:val="167"/>
        </w:trPr>
        <w:tc>
          <w:tcPr>
            <w:tcW w:w="20" w:type="dxa"/>
            <w:vAlign w:val="bottom"/>
          </w:tcPr>
          <w:p>
            <w:pPr>
              <w:spacing w:after="0"/>
              <w:rPr>
                <w:sz w:val="14"/>
                <w:szCs w:val="14"/>
                <w:color w:val="auto"/>
              </w:rPr>
            </w:pPr>
          </w:p>
        </w:tc>
        <w:tc>
          <w:tcPr>
            <w:tcW w:w="490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Greenstone, which is a related party because one of the Company’s former</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900" w:type="dxa"/>
            <w:vAlign w:val="bottom"/>
          </w:tcPr>
          <w:p>
            <w:pPr>
              <w:ind w:left="140"/>
              <w:spacing w:after="0" w:line="180" w:lineRule="exact"/>
              <w:rPr>
                <w:sz w:val="20"/>
                <w:szCs w:val="20"/>
                <w:color w:val="auto"/>
              </w:rPr>
            </w:pPr>
            <w:r>
              <w:rPr>
                <w:rFonts w:ascii="Times New Roman" w:cs="Times New Roman" w:eastAsia="Times New Roman" w:hAnsi="Times New Roman"/>
                <w:sz w:val="16"/>
                <w:szCs w:val="16"/>
                <w:color w:val="auto"/>
              </w:rPr>
              <w:t>Agrify Brands employees and its VP of Engineering had a minority</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ownership</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(9,429)</w:t>
            </w:r>
          </w:p>
        </w:tc>
      </w:tr>
      <w:tr>
        <w:trPr>
          <w:trHeight w:val="26"/>
        </w:trPr>
        <w:tc>
          <w:tcPr>
            <w:tcW w:w="49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Valiant-America, LLC</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10,520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6,048</w:t>
            </w:r>
          </w:p>
        </w:tc>
      </w:t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Living Greens Farm</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w:t>
            </w:r>
          </w:p>
        </w:tc>
      </w:tr>
      <w:tr>
        <w:trPr>
          <w:trHeight w:val="250"/>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64" w:lineRule="exact"/>
        <w:rPr>
          <w:sz w:val="20"/>
          <w:szCs w:val="20"/>
          <w:color w:val="auto"/>
        </w:rPr>
      </w:pPr>
    </w:p>
    <w:p>
      <w:pPr>
        <w:ind w:left="1300" w:right="920" w:hanging="394"/>
        <w:spacing w:after="0" w:line="291" w:lineRule="auto"/>
        <w:tabs>
          <w:tab w:leader="none" w:pos="13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27, 2022, the Company provided notice to Valiant -America, LLC of its intention to begin winding up of Agrify-Valiant.</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0" w:name="page181"/>
    <w:bookmarkEnd w:id="18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18 — Related Parties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net related party receivable (payable) as of December 31, 2022 and 2021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Cannae Policy Group</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38"/>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Cannaquip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478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Greenstone (net of allowance for doubtful accounts of $9,360 and $0 at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2022 and 2021, respectively)</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11,177</w:t>
            </w:r>
          </w:p>
        </w:tc>
        <w:tc>
          <w:tcPr>
            <w:tcW w:w="0" w:type="dxa"/>
            <w:vAlign w:val="bottom"/>
          </w:tcPr>
          <w:p>
            <w:pPr>
              <w:spacing w:after="0"/>
              <w:rPr>
                <w:sz w:val="1"/>
                <w:szCs w:val="1"/>
                <w:color w:val="auto"/>
              </w:rPr>
            </w:pPr>
          </w:p>
        </w:tc>
      </w:tr>
      <w:tr>
        <w:trPr>
          <w:trHeight w:val="264"/>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Living Greens Farm</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NEIA</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3,500</w:t>
            </w:r>
          </w:p>
        </w:tc>
        <w:tc>
          <w:tcPr>
            <w:tcW w:w="0" w:type="dxa"/>
            <w:vAlign w:val="bottom"/>
          </w:tcPr>
          <w:p>
            <w:pPr>
              <w:spacing w:after="0"/>
              <w:rPr>
                <w:sz w:val="1"/>
                <w:szCs w:val="1"/>
                <w:color w:val="auto"/>
              </w:rPr>
            </w:pPr>
          </w:p>
        </w:tc>
      </w:tr>
      <w:tr>
        <w:trPr>
          <w:trHeight w:val="264"/>
        </w:trPr>
        <w:tc>
          <w:tcPr>
            <w:tcW w:w="4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Valiant-America, LLC</w:t>
            </w:r>
            <w:r>
              <w:rPr>
                <w:rFonts w:ascii="Times New Roman" w:cs="Times New Roman" w:eastAsia="Times New Roman" w:hAnsi="Times New Roman"/>
                <w:sz w:val="19"/>
                <w:szCs w:val="19"/>
                <w:color w:val="auto"/>
                <w:vertAlign w:val="superscript"/>
              </w:rPr>
              <w:t>(3)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Topline Performance Group</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4"/>
        </w:trPr>
        <w:tc>
          <w:tcPr>
            <w:tcW w:w="4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1300" w:right="920" w:hanging="394"/>
        <w:spacing w:after="0" w:line="260" w:lineRule="auto"/>
        <w:tabs>
          <w:tab w:leader="none" w:pos="13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Greenstone is a related party because one of the Company’s former Agrify Brands employees and its VP of Engineering had a minority ownership. The Greenstone allowance for doubtful accounts balance consisted of capital advances, accrued interest and VFUs sales. Additional information regarding recent developments with Greenstone may be found in Note 5 — Loans Receivable, included elsewhere in the notes to the consolidated financial statements.</w:t>
      </w:r>
    </w:p>
    <w:p>
      <w:pPr>
        <w:spacing w:after="0" w:line="158" w:lineRule="exact"/>
        <w:rPr>
          <w:rFonts w:ascii="Times New Roman" w:cs="Times New Roman" w:eastAsia="Times New Roman" w:hAnsi="Times New Roman"/>
          <w:sz w:val="14"/>
          <w:szCs w:val="14"/>
          <w:color w:val="auto"/>
        </w:rPr>
      </w:pPr>
    </w:p>
    <w:p>
      <w:pPr>
        <w:ind w:left="1300" w:hanging="394"/>
        <w:spacing w:after="0"/>
        <w:tabs>
          <w:tab w:leader="none" w:pos="13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was fully reserved at December 31, 2022, due to an ongoing dispute with the customer.</w:t>
      </w:r>
    </w:p>
    <w:p>
      <w:pPr>
        <w:spacing w:after="0" w:line="7" w:lineRule="exact"/>
        <w:rPr>
          <w:rFonts w:ascii="Times New Roman" w:cs="Times New Roman" w:eastAsia="Times New Roman" w:hAnsi="Times New Roman"/>
          <w:sz w:val="14"/>
          <w:szCs w:val="14"/>
          <w:color w:val="auto"/>
        </w:rPr>
      </w:pPr>
    </w:p>
    <w:p>
      <w:pPr>
        <w:ind w:left="1300" w:right="920" w:hanging="394"/>
        <w:spacing w:after="0" w:line="267" w:lineRule="auto"/>
        <w:tabs>
          <w:tab w:leader="none" w:pos="13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27, 2022, the Company provided notice to Valiant -America, LLC of its intention to begin winding up of Agrify-Valiant.</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19 — Subsequent Events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evaluated subsequent events and transactions that occurred after the balance sheet date up to the date that the financial statements were issued.</w:t>
      </w:r>
    </w:p>
    <w:p>
      <w:pPr>
        <w:spacing w:after="0" w:line="153" w:lineRule="exact"/>
        <w:rPr>
          <w:sz w:val="20"/>
          <w:szCs w:val="20"/>
          <w:color w:val="auto"/>
        </w:rPr>
      </w:pPr>
    </w:p>
    <w:p>
      <w:pPr>
        <w:jc w:val="both"/>
        <w:ind w:left="900" w:right="920"/>
        <w:spacing w:after="0" w:line="262" w:lineRule="auto"/>
        <w:rPr>
          <w:sz w:val="20"/>
          <w:szCs w:val="20"/>
          <w:color w:val="auto"/>
        </w:rPr>
      </w:pPr>
      <w:r>
        <w:rPr>
          <w:rFonts w:ascii="Times New Roman" w:cs="Times New Roman" w:eastAsia="Times New Roman" w:hAnsi="Times New Roman"/>
          <w:sz w:val="16"/>
          <w:szCs w:val="16"/>
          <w:b w:val="1"/>
          <w:bCs w:val="1"/>
          <w:color w:val="auto"/>
        </w:rPr>
        <w:t>Chief Financial Officer Resignation and Appointment of Raymond Chang as principal financial and accounting officer</w:t>
      </w:r>
    </w:p>
    <w:p>
      <w:pPr>
        <w:spacing w:after="0" w:line="8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2, 2023, Timothy R. Oakes, the Chief Financial Officer (“CFO”) of the Company, notified the Company that he would resign as CFO effective as of February 28, 2023 (the “Effective Date”) to pursue other opportunities. Mr. Oakes’ resignation did not result from any disagreement regarding the Company’s operations, policies or practices. Mr. Oakes assisted with the resulting transition ahead of the Effective Date. In connection with Mr. Oakes’ resignation, the Company is continuing its process to identify a replacement Chief Financial Officer. Further, Raymond Chang, the Company’s Chief Executive Officer, will serve as the Company’s principal financial and accounting officer.</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Nasdaq Deficiency Notices</w:t>
      </w:r>
    </w:p>
    <w:p>
      <w:pPr>
        <w:spacing w:after="0" w:line="118" w:lineRule="exact"/>
        <w:rPr>
          <w:sz w:val="20"/>
          <w:szCs w:val="20"/>
          <w:color w:val="auto"/>
        </w:rPr>
      </w:pPr>
    </w:p>
    <w:p>
      <w:pPr>
        <w:jc w:val="both"/>
        <w:ind w:left="900" w:right="900" w:firstLine="384"/>
        <w:spacing w:after="0" w:line="271" w:lineRule="auto"/>
        <w:rPr>
          <w:sz w:val="20"/>
          <w:szCs w:val="20"/>
          <w:color w:val="auto"/>
        </w:rPr>
      </w:pPr>
      <w:r>
        <w:rPr>
          <w:rFonts w:ascii="Times New Roman" w:cs="Times New Roman" w:eastAsia="Times New Roman" w:hAnsi="Times New Roman"/>
          <w:sz w:val="14"/>
          <w:szCs w:val="14"/>
          <w:color w:val="auto"/>
        </w:rPr>
        <w:t>On January 19, 2023, the Company received a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had to be at least $1.00 per share for a minimum of 10 consecutive trading days during this 180- day compliance period, unless the Staff exercised its discretion to extend the minimum trading day period pursuant to Nasdaq Listing Rule 5810(c)(3)</w:t>
      </w:r>
    </w:p>
    <w:p>
      <w:pPr>
        <w:spacing w:after="0" w:line="4"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16"/>
          <w:szCs w:val="16"/>
          <w:color w:val="auto"/>
        </w:rPr>
        <w:t>(G). On July 19, 2023, the Company received a notice from Nasdaq confirming its recompliance with the minimum bid price rule.</w:t>
      </w:r>
    </w:p>
    <w:p>
      <w:pPr>
        <w:spacing w:after="0" w:line="97" w:lineRule="exact"/>
        <w:rPr>
          <w:sz w:val="20"/>
          <w:szCs w:val="20"/>
          <w:color w:val="auto"/>
        </w:rPr>
      </w:pPr>
    </w:p>
    <w:p>
      <w:pPr>
        <w:jc w:val="both"/>
        <w:ind w:left="900" w:right="900" w:firstLine="384"/>
        <w:spacing w:after="0" w:line="299" w:lineRule="auto"/>
        <w:rPr>
          <w:sz w:val="20"/>
          <w:szCs w:val="20"/>
          <w:color w:val="auto"/>
        </w:rPr>
      </w:pPr>
      <w:r>
        <w:rPr>
          <w:rFonts w:ascii="Times New Roman" w:cs="Times New Roman" w:eastAsia="Times New Roman" w:hAnsi="Times New Roman"/>
          <w:sz w:val="14"/>
          <w:szCs w:val="14"/>
          <w:color w:val="auto"/>
        </w:rPr>
        <w:t>As disclosed in a Current Report on Form 8- K filed on April 17, 2023, the Company’s audit committee concluded that, as a result of inadvertent errors in the accounting for warrants previously issued by the Company, it was appropriate to restate the Company’s previously issued unaudited condensed consolidated interim consolidated</w:t>
      </w:r>
    </w:p>
    <w:p>
      <w:pPr>
        <w:spacing w:after="0" w:line="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1" w:name="page182"/>
    <w:bookmarkEnd w:id="18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19 — Subsequent Events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89" w:lineRule="auto"/>
        <w:rPr>
          <w:sz w:val="20"/>
          <w:szCs w:val="20"/>
          <w:color w:val="auto"/>
        </w:rPr>
      </w:pPr>
      <w:r>
        <w:rPr>
          <w:rFonts w:ascii="Times New Roman" w:cs="Times New Roman" w:eastAsia="Times New Roman" w:hAnsi="Times New Roman"/>
          <w:sz w:val="14"/>
          <w:szCs w:val="14"/>
          <w:color w:val="auto"/>
        </w:rPr>
        <w:t>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Form 10-K, the First Quarter 2023 Form 10-Q, and the Second Quarter 2023 Form 10-Q without unreasonable effort or expense.</w:t>
      </w:r>
    </w:p>
    <w:p>
      <w:pPr>
        <w:spacing w:after="0" w:line="65"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On April 18, 2023, the Company received a notice from Nasdaq (the “April Nasdaq Notice”) that it was noncompliant with Nasdaq Listing Rule 5250(c)(1) as a result of its failure to file its Annual Report on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95"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97"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Nasdaq granted the Company an exception until October 16, 2023, to file its 2022 Form 10-K and First and Second Quarter 2023 Forms 10-Q (the “Delayed Reports”). The Nasdaq Notice had no immediate effect on the listing of the Company’s common stock on The Nasdaq Stock Market LLC.</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the Company received the Staff Determination from the Listing Qualifications Department of Nasdaq notifying the Company that it was not in compliance with Nasdaq’s continued listing requirements under the Listing Rule as a result of its failure to file the Delinquent Reports in a timely manner. The Company timely requested a hearing before the Nasdaq Hearings Panel (the “Panel”), and the Panel scheduled a hearing for January 11, 2024.</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Bowdoin Litigation</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February 22, 2023, Bowdoin Construction Corp. (“Bowdoin”) filed a complaint in the Superior Court of Massachusetts in Norfolk County naming the Company, Bud &amp; Mary’s and certain related parties as defendants. The Bowdoin Complaint relates to a construction contract between Bowdoin and Agrify relating to the property that is the subject of the Bud &amp; Mary’s Complaint and alleges breach of contract by Bud &amp; Mary’s and by Agrify due to nonpayment of approximately $7.0 million due under the contract and related indemnification claims and mechanics’ liens. Certain of Bowdoin’s subcontractors have filed ancillary civil actions, some seeking direct recovery of sums (which sums are understood to be subsumed in/covered by Bowdoin’s claims) against the Company. While the Company believes the claim is without merit and will continue to vigorously defend itself against Bowdoin’s allegations, litigation is inherently unpredictable and there can be no assurance that the Company will prevail in this matter.</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Amendments to Articles of Incorporation</w:t>
      </w:r>
    </w:p>
    <w:p>
      <w:pPr>
        <w:spacing w:after="0" w:line="118"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On March 1, 2023, the Company filed Articles of Amendment (the “Charter Amendment”) to its Articles of Incorporation with the Secretary of State for the State of Nevada. The Charter Amendment increased the number of authorized shares of the Company’s Common Stock from 5,000,000 to 10,000,000, and correspondingly increased the total authorized shares of stock from 8,000,000 to 13,000,000. The Charter Amendment was approved by the Company’s stockholders at the Special Meeting on February 28, 2023 and became effective upon filing.</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2" w:name="page183"/>
    <w:bookmarkEnd w:id="18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19 — Subsequent Events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Securities Exchange Agreement</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March 8, 2023, the Company entered into a new Securities Exchange Agreement (the “March 2023 Exchange Agreement”) with an accredited lender. Pursuant to the March 2023 Exchange Agreement, at closing the Company prepaid approximately $ 10.3 million in principal amount under the Exchange Note and exchanged $10.0 million in principal amount of the remaining balance of the Exchange Note for a new senior secured convertible note (the “Convertible Note”) with an original principal amount of $10.0 million. The Convertible Note is a senior secured obligation of the Company and ranks senior to all indebtedness of the Company. The Convertible Note will mature on August 19, 2025 and contains a 9.0% annualized interest rate, with interest to be paid monthly, in cash, beginning April 1, 2023.</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closing under the March 2023 Exchange Agreement, the Company and the lender entered into an Amendment to the Exchange Note (the “Note Amendment”). Pursuant to the Note Amendment, the Exchange Note was amended to, among other changes, remove covenants that require the Company not to exceed maximum levels of allowable cash spend while the Exchange Note is outstanding and require the Company to maintain minimum amounts of cash on hand.</w:t>
      </w:r>
    </w:p>
    <w:p>
      <w:pPr>
        <w:spacing w:after="0" w:line="97"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On April 26, 2023, the Company entered into a letter agreement with the above referenced accredited lender (the “Letter Agreement”), pursuant to which the Company and the lender agreed to exchange $2.0 million of the remaining outstanding principal amount under the Exchange Note for 445,197 shares of common stock of the Company, subject to a Beneficial Ownership Limitation of 4.99% of the Company’s Common Stock.</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Discontinuance of the ATM Program</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As of April 1, 2023, after which time the ATM Program was discontinued, the Company sold 629,710 shares of Common Stock, under the ATM Program at an average price of $27.29 per share, resulting in gross proceeds to the Company of $17.2 million, and net proceeds of $16.7 million after commissions and fees to the Agent totaling $516 thousand. $ 3.0 million of the proceeds under the ATM Program were used to repay amounts due to the Investor under the Exchange Note.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Repricing of Common Stock Warrants</w:t>
      </w:r>
    </w:p>
    <w:p>
      <w:pPr>
        <w:spacing w:after="0" w:line="118" w:lineRule="exact"/>
        <w:rPr>
          <w:sz w:val="20"/>
          <w:szCs w:val="20"/>
          <w:color w:val="auto"/>
        </w:rPr>
      </w:pPr>
    </w:p>
    <w:p>
      <w:pPr>
        <w:jc w:val="both"/>
        <w:ind w:left="900" w:right="920" w:firstLine="384"/>
        <w:spacing w:after="0" w:line="299" w:lineRule="auto"/>
        <w:rPr>
          <w:sz w:val="20"/>
          <w:szCs w:val="20"/>
          <w:color w:val="auto"/>
        </w:rPr>
      </w:pPr>
      <w:r>
        <w:rPr>
          <w:rFonts w:ascii="Times New Roman" w:cs="Times New Roman" w:eastAsia="Times New Roman" w:hAnsi="Times New Roman"/>
          <w:sz w:val="14"/>
          <w:szCs w:val="14"/>
          <w:color w:val="auto"/>
        </w:rPr>
        <w:t>The Company issued 1,338,462 common stock warrants in conjunction with the Company’s public offering from December, 2022. On April 18, 2023, the Company undertook a warrant exercise inducement program, which it later cancelled. As a result, the warrant exercise price was reduced from $13.00 per share to $3.45 per share.</w:t>
      </w:r>
    </w:p>
    <w:p>
      <w:pPr>
        <w:spacing w:after="0" w:line="1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of March 31, 2023, the Company extended its lease by three years until March 31, 2026, for the premises located at 2468 Industrial Row Dr., Troy, Michigan 48084.</w:t>
      </w:r>
    </w:p>
    <w:p>
      <w:pPr>
        <w:spacing w:after="0" w:line="83"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As of May 23, 2023, the Company extended its lease by three years until July 31, 2026, for the premises located at 2625 S. Santa Fe Dr., Bldg. 1, Units 1H and 1IJ.</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Mack Molding Modification Agreement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under the Supply Agreement between the parties dated December 7, 2020 (the “Supply Agreement”). The Modification Agreement requires the Company to make payments of $500,000 and $250,000 to Mack on or before November 1, 2023 and February 15, 2024,</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3" w:name="page184"/>
    <w:bookmarkEnd w:id="18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19 — Subsequent Events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84" w:lineRule="auto"/>
        <w:rPr>
          <w:sz w:val="20"/>
          <w:szCs w:val="20"/>
          <w:color w:val="auto"/>
        </w:rPr>
      </w:pPr>
      <w:r>
        <w:rPr>
          <w:rFonts w:ascii="Times New Roman" w:cs="Times New Roman" w:eastAsia="Times New Roman" w:hAnsi="Times New Roman"/>
          <w:sz w:val="14"/>
          <w:szCs w:val="14"/>
          <w:color w:val="auto"/>
        </w:rPr>
        <w:t>respectively. Following the November 1, 2023 payment, the Company will be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6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Additionally, as part of the Modification Agreement, the Company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Issuance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27, 2023, the Company entered into a letter agreement with the holder of the Exchange Note and the Convertible Note. Pursuant to the agreement, the Company agreed to exchange $3.0 million in principal and approximately $1.1 million in accrued but unpaid interest outstanding under the Exchange Note to purchase 2,809,669 shares of common stock (the “Exchange Warrant”). Additionally, the Company agreed to exchange the 375,629 shares of common stock held in abeyance for the lender under the terms of the Letter Agreement for a warrant to purchase 375,629 shares of common stock (the “Abeyance Warrant”).</w:t>
      </w:r>
    </w:p>
    <w:p>
      <w:pPr>
        <w:spacing w:after="0" w:line="101"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10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Purchase</w:t>
      </w:r>
    </w:p>
    <w:p>
      <w:pPr>
        <w:spacing w:after="0" w:line="118"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27, 2023, CP Acquisitions LLC (the “New Lender”), an entity affiliated with and controlled by Raymond Chang, the Company’s Chief Executive Officer, purchased the Exchange Note and the Convertible Note from their holder.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Amendment and Secured Promissory Note</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July 12, 2023, the Company issued an unsecured promissory note (the “Note”) in favor of GIC Acquisition, LLC (“GIC”), an entity that is managed by Raymond Chang, the Company’s Chairman and Chief Executive Officer, with an original principal amount of up to $500,000. On October 27, 2023, GIC and the Company amended and</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4" w:name="page185"/>
    <w:bookmarkEnd w:id="18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 AND SUBSIDIARIES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19 — Subsequent Events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7" w:lineRule="auto"/>
        <w:rPr>
          <w:sz w:val="20"/>
          <w:szCs w:val="20"/>
          <w:color w:val="auto"/>
        </w:rPr>
      </w:pPr>
      <w:r>
        <w:rPr>
          <w:rFonts w:ascii="Times New Roman" w:cs="Times New Roman" w:eastAsia="Times New Roman" w:hAnsi="Times New Roman"/>
          <w:sz w:val="16"/>
          <w:szCs w:val="16"/>
          <w:color w:val="auto"/>
        </w:rPr>
        <w:t>restated the Note (the “Restated Note”). Pursuant to the terms of the Restated Note, the Maturity Date was extended until December 31, 2023 and the Company granted a security interest in the Company’s assets that ranks junior to the Exchange Note and the Convertible Note.</w:t>
      </w:r>
    </w:p>
    <w:p>
      <w:pPr>
        <w:spacing w:after="0" w:line="92"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Concurrently with the Restated Note, the Company issued a junior secured promissory note (the “Junior Secured Note”) to the New Lender. Pursuant to the Junior Secured Note, the New Lender will lend up to $3,000,000 to the Company. The Junior Secured Note bears interest at a rate of 10% per annum, will mature in full on December 31, 2023, and may be prepaid without any fee or penalty. The Junior Secured Note is a secured obligation of the Company that ranks junior to the Exchange Note and the Convertible Note.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5" w:name="page186"/>
    <w:bookmarkEnd w:id="18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94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$2,535 and $4,605 at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September 30, 2023 and December 31, 2022, respectively</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Inventory, net of reserves of $29,845 and $32,759 at September 30, 2023 and</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December 31, 2022, respectively</w:t>
            </w: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17,724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21,396</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Loan receivable, net of allowance for credit losses of $19,215 and $33,050 at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September 30, 2023 and December 31, 2022, respectively</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43,065</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69,687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22,160</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16,380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debt, current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28,833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Related party debt, current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net of current</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18,998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64,306</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78,728</w:t>
            </w: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6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(deficit) equity:</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Common Stock, $0.001 par value per share, 10,000,000 and 5,000,000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authorized at September 30, 2023 and December 31, 2022, respectively,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1,651,281 and 1,038,298 shares issued and outstanding at September 30, 2023</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and December 31, 2022, respectively</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4"/>
                <w:szCs w:val="14"/>
                <w:color w:val="auto"/>
              </w:rPr>
              <w:t>Preferred Stock, $0.001 par value per share, 2,895,000 shares authorized, no shares</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issued or outstanding</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ind w:left="140"/>
              <w:spacing w:after="0" w:line="156" w:lineRule="exact"/>
              <w:rPr>
                <w:sz w:val="20"/>
                <w:szCs w:val="20"/>
                <w:color w:val="auto"/>
              </w:rPr>
            </w:pPr>
            <w:r>
              <w:rPr>
                <w:rFonts w:ascii="Times New Roman" w:cs="Times New Roman" w:eastAsia="Times New Roman" w:hAnsi="Times New Roman"/>
                <w:sz w:val="14"/>
                <w:szCs w:val="14"/>
                <w:color w:val="auto"/>
              </w:rPr>
              <w:t>Preferred A Stock, $0.001 par value per share, 105,000 shares authorized, no shares</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issued or outstanding</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237,875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(266,374)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(247,148)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stockholders’ deficit attributable to Agrify</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(21,474)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(9,272)</w:t>
            </w:r>
          </w:p>
        </w:tc>
        <w:tc>
          <w:tcPr>
            <w:tcW w:w="0" w:type="dxa"/>
            <w:vAlign w:val="bottom"/>
          </w:tcPr>
          <w:p>
            <w:pPr>
              <w:spacing w:after="0"/>
              <w:rPr>
                <w:sz w:val="1"/>
                <w:szCs w:val="1"/>
                <w:color w:val="auto"/>
              </w:rPr>
            </w:pPr>
          </w:p>
        </w:tc>
      </w:tr>
      <w:tr>
        <w:trPr>
          <w:trHeight w:val="236"/>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both"/>
        <w:ind w:left="1300" w:right="920" w:hanging="394"/>
        <w:spacing w:after="0" w:line="270" w:lineRule="auto"/>
        <w:tabs>
          <w:tab w:leader="none" w:pos="13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presented have been adjusted to reflect the 1 -for-20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686" w:gutter="0" w:footer="0" w:header="0"/>
        </w:sectPr>
      </w:pPr>
    </w:p>
    <w:bookmarkStart w:id="186" w:name="page187"/>
    <w:bookmarkEnd w:id="18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6"/>
                <w:szCs w:val="16"/>
                <w:color w:val="auto"/>
              </w:rPr>
              <w:t>Revenue (including $0, $0, $46, and $1,763 from</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parties, respectively)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3,139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7,019</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0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 (loss)</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(4,116)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2,562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1,666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and marketing</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6,582</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6,269</w:t>
            </w:r>
          </w:p>
        </w:tc>
        <w:tc>
          <w:tcPr>
            <w:tcW w:w="0" w:type="dxa"/>
            <w:vAlign w:val="bottom"/>
          </w:tcPr>
          <w:p>
            <w:pPr>
              <w:spacing w:after="0"/>
              <w:rPr>
                <w:sz w:val="1"/>
                <w:szCs w:val="1"/>
                <w:color w:val="auto"/>
              </w:rPr>
            </w:pP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contingent consideration</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disposal</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CCEEFF"/>
            </w:tcBorders>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right w:val="single" w:sz="8" w:color="CCEEFF"/>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5,552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27,431</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(31,547)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(17,506)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(4,654)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(7,404)</w:t>
            </w:r>
          </w:p>
        </w:tc>
        <w:tc>
          <w:tcPr>
            <w:tcW w:w="0" w:type="dxa"/>
            <w:vAlign w:val="bottom"/>
          </w:tcPr>
          <w:p>
            <w:pPr>
              <w:spacing w:after="0"/>
              <w:rPr>
                <w:sz w:val="1"/>
                <w:szCs w:val="1"/>
                <w:color w:val="auto"/>
              </w:rPr>
            </w:pPr>
          </w:p>
        </w:tc>
      </w:tr>
      <w:tr>
        <w:trPr>
          <w:trHeight w:val="238"/>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3,599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extinguishment of notes payable</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(38,985)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(38,985)</w:t>
            </w:r>
          </w:p>
        </w:tc>
        <w:tc>
          <w:tcPr>
            <w:tcW w:w="0" w:type="dxa"/>
            <w:vAlign w:val="bottom"/>
          </w:tcPr>
          <w:p>
            <w:pPr>
              <w:spacing w:after="0"/>
              <w:rPr>
                <w:sz w:val="1"/>
                <w:szCs w:val="1"/>
                <w:color w:val="auto"/>
              </w:rPr>
            </w:pPr>
          </w:p>
        </w:tc>
      </w:tr>
      <w:tr>
        <w:trPr>
          <w:trHeight w:val="257"/>
        </w:trPr>
        <w:tc>
          <w:tcPr>
            <w:tcW w:w="3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(25,865)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before income taxes</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(57,412)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(130,492)</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(57,412)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(130,230)</w:t>
            </w:r>
          </w:p>
        </w:tc>
        <w:tc>
          <w:tcPr>
            <w:tcW w:w="0" w:type="dxa"/>
            <w:vAlign w:val="bottom"/>
          </w:tcPr>
          <w:p>
            <w:pPr>
              <w:spacing w:after="0"/>
              <w:rPr>
                <w:sz w:val="1"/>
                <w:szCs w:val="1"/>
                <w:color w:val="auto"/>
              </w:rPr>
            </w:pPr>
          </w:p>
        </w:tc>
      </w:tr>
      <w:tr>
        <w:trPr>
          <w:trHeight w:val="26"/>
        </w:trPr>
        <w:tc>
          <w:tcPr>
            <w:tcW w:w="3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attributable to non-controlling interest</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(2,092)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(57,413)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(19,224)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(130,235)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00" w:type="dxa"/>
            <w:vAlign w:val="bottom"/>
            <w:tcBorders>
              <w:top w:val="single" w:sz="8" w:color="CCEEFF"/>
              <w:right w:val="single" w:sz="8" w:color="CCEEFF"/>
            </w:tcBorders>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Net loss per share attributable to Common</w:t>
            </w: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(429.98)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(13.48)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spacing w:after="0" w:line="172" w:lineRule="exact"/>
              <w:rPr>
                <w:sz w:val="20"/>
                <w:szCs w:val="20"/>
                <w:color w:val="auto"/>
              </w:rPr>
            </w:pPr>
            <w:r>
              <w:rPr>
                <w:rFonts w:ascii="Times New Roman" w:cs="Times New Roman" w:eastAsia="Times New Roman" w:hAnsi="Times New Roman"/>
                <w:sz w:val="16"/>
                <w:szCs w:val="16"/>
                <w:color w:val="auto"/>
                <w:w w:val="99"/>
              </w:rPr>
              <w:t>Weighted average common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Pr>
          <w:p>
            <w:pPr>
              <w:ind w:left="140"/>
              <w:spacing w:after="0" w:line="217" w:lineRule="exact"/>
              <w:rPr>
                <w:sz w:val="20"/>
                <w:szCs w:val="20"/>
                <w:color w:val="auto"/>
              </w:rPr>
            </w:pPr>
            <w:r>
              <w:rPr>
                <w:rFonts w:ascii="Times New Roman" w:cs="Times New Roman" w:eastAsia="Times New Roman" w:hAnsi="Times New Roman"/>
                <w:sz w:val="16"/>
                <w:szCs w:val="16"/>
                <w:color w:val="auto"/>
              </w:rPr>
              <w:t>and diluted</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1,649,741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133,526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1,426,016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129,832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20" w:hanging="394"/>
        <w:spacing w:after="0" w:line="270" w:lineRule="auto"/>
        <w:tabs>
          <w:tab w:leader="none" w:pos="13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presented have been adjusted to reflect the 1 -for-20 reverse stock split on July 5, 2023. Additional information regarding reverse stock splits may be found in Note 1 — Overview, Basis of Presentation, and Significant Accounting Policies, included elsewhere in the notes to the consolidated financial statements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7" w:name="page188"/>
    <w:bookmarkEnd w:id="18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 (DEFICIT)</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4"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6"/>
          </w:tcPr>
          <w:p>
            <w:pPr>
              <w:ind w:left="100"/>
              <w:spacing w:after="0"/>
              <w:rPr>
                <w:sz w:val="20"/>
                <w:szCs w:val="20"/>
                <w:color w:val="auto"/>
              </w:rPr>
            </w:pPr>
            <w:r>
              <w:rPr>
                <w:rFonts w:ascii="Times New Roman" w:cs="Times New Roman" w:eastAsia="Times New Roman" w:hAnsi="Times New Roman"/>
                <w:sz w:val="13"/>
                <w:szCs w:val="13"/>
                <w:b w:val="1"/>
                <w:bCs w:val="1"/>
                <w:color w:val="auto"/>
              </w:rPr>
              <w:t>Preferred A</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gridSpan w:val="6"/>
            <w:vMerge w:val="restart"/>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Paid-in-  Accumulated</w:t>
            </w: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right"/>
              <w:ind w:right="60"/>
              <w:spacing w:after="0" w:line="143" w:lineRule="exact"/>
              <w:rPr>
                <w:sz w:val="20"/>
                <w:szCs w:val="20"/>
                <w:color w:val="auto"/>
              </w:rPr>
            </w:pPr>
            <w:r>
              <w:rPr>
                <w:rFonts w:ascii="Times New Roman" w:cs="Times New Roman" w:eastAsia="Times New Roman" w:hAnsi="Times New Roman"/>
                <w:sz w:val="13"/>
                <w:szCs w:val="13"/>
                <w:b w:val="1"/>
                <w:bCs w:val="1"/>
                <w:color w:val="auto"/>
                <w:w w:val="99"/>
              </w:rPr>
              <w:t>attributable</w:t>
            </w:r>
          </w:p>
        </w:tc>
        <w:tc>
          <w:tcPr>
            <w:tcW w:w="740" w:type="dxa"/>
            <w:vAlign w:val="bottom"/>
            <w:gridSpan w:val="4"/>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40" w:type="dxa"/>
            <w:vAlign w:val="bottom"/>
            <w:vMerge w:val="restart"/>
          </w:tcPr>
          <w:p>
            <w:pPr>
              <w:spacing w:after="0"/>
              <w:rPr>
                <w:sz w:val="6"/>
                <w:szCs w:val="6"/>
                <w:color w:val="auto"/>
              </w:rPr>
            </w:pPr>
          </w:p>
        </w:tc>
        <w:tc>
          <w:tcPr>
            <w:tcW w:w="800" w:type="dxa"/>
            <w:vAlign w:val="bottom"/>
            <w:gridSpan w:val="3"/>
            <w:vMerge w:val="restart"/>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Amount Shares</w:t>
            </w:r>
          </w:p>
        </w:tc>
        <w:tc>
          <w:tcPr>
            <w:tcW w:w="6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to Agrify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January 1, 2022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111,035</w:t>
            </w: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196,034</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(58,975)</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137,059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137,424</w:t>
            </w: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and warrants</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 private</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12,252</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14,800</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14,800</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Acquisition of Lab</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Society</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options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warrants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0"/>
                <w:szCs w:val="20"/>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(72,824)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(72,824)</w:t>
            </w: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(72,820)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at June 30,</w:t>
            </w: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132,957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5"/>
                <w:szCs w:val="15"/>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214,652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(131,799)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82,853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83,222</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8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in</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connection with</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Reclass of warrant</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liability</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Exercise of warrants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0"/>
                <w:szCs w:val="20"/>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restricted</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4"/>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1"/>
                <w:szCs w:val="21"/>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(57,413)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(57,413)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8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2022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134,550</w:t>
            </w:r>
          </w:p>
        </w:tc>
        <w:tc>
          <w:tcPr>
            <w:tcW w:w="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shd w:val="clear" w:color="auto" w:fill="CCEEFF"/>
          </w:tcPr>
          <w:p>
            <w:pPr>
              <w:spacing w:after="0"/>
              <w:rPr>
                <w:sz w:val="16"/>
                <w:szCs w:val="16"/>
                <w:color w:val="auto"/>
              </w:rPr>
            </w:pPr>
          </w:p>
        </w:tc>
        <w:tc>
          <w:tcPr>
            <w:tcW w:w="6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 $</w:t>
            </w:r>
          </w:p>
        </w:tc>
        <w:tc>
          <w:tcPr>
            <w:tcW w:w="3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218,523</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(189,212)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29,311</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370</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29,681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8" w:name="page189"/>
    <w:bookmarkEnd w:id="18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EQUITY (DEFICIT) — (Continued)</w:t>
      </w:r>
    </w:p>
    <w:p>
      <w:pPr>
        <w:jc w:val="center"/>
        <w:ind w:right="20"/>
        <w:spacing w:after="0" w:line="235"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54" w:lineRule="exact"/>
        <w:rPr>
          <w:sz w:val="20"/>
          <w:szCs w:val="20"/>
          <w:color w:val="auto"/>
        </w:rPr>
      </w:pPr>
    </w:p>
    <w:tbl>
      <w:tblPr>
        <w:tblLayout w:type="fixed"/>
        <w:tblInd w:w="9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6"/>
          </w:tcPr>
          <w:p>
            <w:pPr>
              <w:ind w:left="80"/>
              <w:spacing w:after="0"/>
              <w:rPr>
                <w:sz w:val="20"/>
                <w:szCs w:val="20"/>
                <w:color w:val="auto"/>
              </w:rPr>
            </w:pPr>
            <w:r>
              <w:rPr>
                <w:rFonts w:ascii="Times New Roman" w:cs="Times New Roman" w:eastAsia="Times New Roman" w:hAnsi="Times New Roman"/>
                <w:sz w:val="13"/>
                <w:szCs w:val="13"/>
                <w:b w:val="1"/>
                <w:bCs w:val="1"/>
                <w:color w:val="auto"/>
              </w:rPr>
              <w:t>Preferred A</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60" w:type="dxa"/>
            <w:vAlign w:val="bottom"/>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0" w:type="dxa"/>
            <w:vAlign w:val="bottom"/>
          </w:tcPr>
          <w:p>
            <w:pPr>
              <w:spacing w:after="0"/>
              <w:rPr>
                <w:sz w:val="13"/>
                <w:szCs w:val="13"/>
                <w:color w:val="auto"/>
              </w:rPr>
            </w:pPr>
          </w:p>
        </w:tc>
        <w:tc>
          <w:tcPr>
            <w:tcW w:w="68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gridSpan w:val="5"/>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b w:val="1"/>
                <w:bCs w:val="1"/>
                <w:color w:val="auto"/>
              </w:rPr>
              <w:t>Paid-in-  Accumulated</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2"/>
            <w:vMerge w:val="restart"/>
          </w:tcPr>
          <w:p>
            <w:pPr>
              <w:jc w:val="center"/>
              <w:ind w:right="60"/>
              <w:spacing w:after="0" w:line="143" w:lineRule="exact"/>
              <w:rPr>
                <w:sz w:val="20"/>
                <w:szCs w:val="20"/>
                <w:color w:val="auto"/>
              </w:rPr>
            </w:pPr>
            <w:r>
              <w:rPr>
                <w:rFonts w:ascii="Times New Roman" w:cs="Times New Roman" w:eastAsia="Times New Roman" w:hAnsi="Times New Roman"/>
                <w:sz w:val="13"/>
                <w:szCs w:val="13"/>
                <w:b w:val="1"/>
                <w:bCs w:val="1"/>
                <w:color w:val="auto"/>
              </w:rPr>
              <w:t>attributable</w:t>
            </w:r>
          </w:p>
        </w:tc>
        <w:tc>
          <w:tcPr>
            <w:tcW w:w="740" w:type="dxa"/>
            <w:vAlign w:val="bottom"/>
            <w:gridSpan w:val="4"/>
            <w:vMerge w:val="restart"/>
          </w:tcPr>
          <w:p>
            <w:pPr>
              <w:ind w:left="60"/>
              <w:spacing w:after="0" w:line="143" w:lineRule="exact"/>
              <w:rPr>
                <w:sz w:val="20"/>
                <w:szCs w:val="20"/>
                <w:color w:val="auto"/>
              </w:rPr>
            </w:pPr>
            <w:r>
              <w:rPr>
                <w:rFonts w:ascii="Times New Roman" w:cs="Times New Roman" w:eastAsia="Times New Roman" w:hAnsi="Times New Roman"/>
                <w:sz w:val="13"/>
                <w:szCs w:val="13"/>
                <w:b w:val="1"/>
                <w:bCs w:val="1"/>
                <w:color w:val="auto"/>
              </w:rPr>
              <w:t>Controlling</w:t>
            </w:r>
          </w:p>
        </w:tc>
        <w:tc>
          <w:tcPr>
            <w:tcW w:w="20" w:type="dxa"/>
            <w:vAlign w:val="bottom"/>
            <w:vMerge w:val="restart"/>
          </w:tcPr>
          <w:p>
            <w:pPr>
              <w:spacing w:after="0"/>
              <w:rPr>
                <w:sz w:val="6"/>
                <w:szCs w:val="6"/>
                <w:color w:val="auto"/>
              </w:rPr>
            </w:pPr>
          </w:p>
        </w:tc>
        <w:tc>
          <w:tcPr>
            <w:tcW w:w="800" w:type="dxa"/>
            <w:vAlign w:val="bottom"/>
            <w:gridSpan w:val="3"/>
            <w:vMerge w:val="restart"/>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Amount Shares</w:t>
            </w:r>
          </w:p>
        </w:tc>
        <w:tc>
          <w:tcPr>
            <w:tcW w:w="64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5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to Agrify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January 1, 2023</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1,038,298</w:t>
            </w: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 $</w:t>
            </w: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237,875</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(247,148)</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(9,272)</w:t>
            </w:r>
          </w:p>
        </w:tc>
        <w:tc>
          <w:tcPr>
            <w:tcW w:w="1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(9,041)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Stock-based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through an</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“at the market”</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offering, net of</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323,082</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Issuance of held-back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to Lab</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Society</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Issuance of Common</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 to Pure</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Pressure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Vesting of restricted</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Exercise of</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prefunded</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warrants in private</w:t>
            </w: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35,000</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Exchange Note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69,567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4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Conversion of</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Convertible Note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153,617</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1,171</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Proceeds from</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Employee 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Plan</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(17,134)</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(17,134)</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(17,132)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 June 30,</w:t>
            </w: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1,622,946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60" w:type="dxa"/>
            <w:vAlign w:val="bottom"/>
          </w:tcPr>
          <w:p>
            <w:pPr>
              <w:spacing w:after="0"/>
              <w:rPr>
                <w:sz w:val="16"/>
                <w:szCs w:val="16"/>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244,373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(264,282)</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(19,907)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233</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(19,674)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Stock-based</w:t>
            </w: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compensation</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Reverse stock split</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fractional share</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settlement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28,335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2"/>
        </w:trPr>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(2,092)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(2,092)</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Balance</w:t>
            </w:r>
          </w:p>
        </w:tc>
        <w:tc>
          <w:tcPr>
            <w:tcW w:w="5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1,651,281</w:t>
            </w:r>
          </w:p>
        </w:tc>
        <w:tc>
          <w:tcPr>
            <w:tcW w:w="2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60" w:type="dxa"/>
            <w:vAlign w:val="bottom"/>
          </w:tcPr>
          <w:p>
            <w:pPr>
              <w:spacing w:after="0"/>
              <w:rPr>
                <w:sz w:val="16"/>
                <w:szCs w:val="16"/>
                <w:color w:val="auto"/>
              </w:rPr>
            </w:pP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3"/>
                <w:szCs w:val="13"/>
                <w:b w:val="1"/>
                <w:bCs w:val="1"/>
                <w:color w:val="auto"/>
              </w:rPr>
              <w:t>— $</w:t>
            </w:r>
          </w:p>
        </w:tc>
        <w:tc>
          <w:tcPr>
            <w:tcW w:w="3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244,898</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(266,374)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(21,474)</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233</w:t>
            </w:r>
          </w:p>
        </w:tc>
        <w:tc>
          <w:tcPr>
            <w:tcW w:w="40" w:type="dxa"/>
            <w:vAlign w:val="bottom"/>
          </w:tcPr>
          <w:p>
            <w:pPr>
              <w:spacing w:after="0"/>
              <w:rPr>
                <w:sz w:val="16"/>
                <w:szCs w:val="16"/>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(21,241)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89" w:name="page190"/>
    <w:bookmarkEnd w:id="18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3"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25"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24765</wp:posOffset>
            </wp:positionV>
            <wp:extent cx="140271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02715" cy="7620"/>
                    </a:xfrm>
                    <a:prstGeom prst="rect">
                      <a:avLst/>
                    </a:prstGeom>
                    <a:noFill/>
                  </pic:spPr>
                </pic:pic>
              </a:graphicData>
            </a:graphic>
          </wp:anchor>
        </w:drawing>
      </w:r>
    </w:p>
    <w:p>
      <w:pPr>
        <w:spacing w:after="0" w:line="77"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(19,224)</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(130,235)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4980" w:type="dxa"/>
            <w:vAlign w:val="bottom"/>
            <w:tcBorders>
              <w:right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w w:val="97"/>
              </w:rPr>
              <w:t>Adjustments to reconcile net loss attributable to Agrify Corporation to net cash</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used in operating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premium on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(premium) discount</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4,195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investment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and refundable taxes</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3,538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interest income</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(47,234)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extinguishment of notes payable, net</w:t>
            </w: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goodwill and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69,904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(Recovery of) provision for slow-moving inventory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disposal of fixed assets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(1,509)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loss attributable to non-controlling interests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(20,129)</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Right of use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(8,165)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and cash equivalents used in operating activities</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(25,940)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(58,020)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(8,002)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securities</w:t>
            </w: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(283,271)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317,593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loans receivable</w:t>
            </w: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(26,942)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80" w:type="dxa"/>
            <w:vAlign w:val="bottom"/>
            <w:tcBorders>
              <w:bottom w:val="single" w:sz="8" w:color="CCEEFF"/>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repayment of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business combination, net of cash acquired</w:t>
            </w: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and cash equivalents provided by (used in) investing activities</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(4,135)</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4980" w:type="dxa"/>
            <w:vAlign w:val="bottom"/>
            <w:tcBorders>
              <w:bottom w:val="single" w:sz="8" w:color="auto"/>
            </w:tcBorders>
          </w:tcPr>
          <w:p>
            <w:pPr>
              <w:ind w:left="3440"/>
              <w:spacing w:after="0"/>
              <w:rPr>
                <w:sz w:val="20"/>
                <w:szCs w:val="20"/>
                <w:color w:val="auto"/>
              </w:rPr>
            </w:pPr>
            <w:r>
              <w:rPr>
                <w:rFonts w:ascii="Times New Roman" w:cs="Times New Roman" w:eastAsia="Times New Roman" w:hAnsi="Times New Roman"/>
                <w:sz w:val="16"/>
                <w:szCs w:val="16"/>
                <w:color w:val="auto"/>
              </w:rPr>
              <w:t>F-69</w:t>
            </w:r>
          </w:p>
        </w:tc>
        <w:tc>
          <w:tcPr>
            <w:tcW w:w="2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190" w:name="page191"/>
    <w:bookmarkEnd w:id="19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 (Continued)</w:t>
      </w:r>
    </w:p>
    <w:p>
      <w:pPr>
        <w:jc w:val="center"/>
        <w:ind w:right="20"/>
        <w:spacing w:after="0" w:line="234" w:lineRule="auto"/>
        <w:rPr>
          <w:sz w:val="20"/>
          <w:szCs w:val="20"/>
          <w:color w:val="auto"/>
        </w:rPr>
      </w:pPr>
      <w:r>
        <w:rPr>
          <w:rFonts w:ascii="Times New Roman" w:cs="Times New Roman" w:eastAsia="Times New Roman" w:hAnsi="Times New Roman"/>
          <w:sz w:val="16"/>
          <w:szCs w:val="16"/>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3"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spacing w:after="0" w:line="25" w:lineRule="exact"/>
        <w:rPr>
          <w:sz w:val="20"/>
          <w:szCs w:val="20"/>
          <w:color w:val="auto"/>
        </w:rPr>
      </w:pPr>
    </w:p>
    <w:p>
      <w:pPr>
        <w:jc w:val="center"/>
        <w:ind w:left="50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24765</wp:posOffset>
            </wp:positionV>
            <wp:extent cx="140271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02715" cy="7620"/>
                    </a:xfrm>
                    <a:prstGeom prst="rect">
                      <a:avLst/>
                    </a:prstGeom>
                    <a:noFill/>
                  </pic:spPr>
                </pic:pic>
              </a:graphicData>
            </a:graphic>
          </wp:anchor>
        </w:drawing>
      </w:r>
    </w:p>
    <w:p>
      <w:pPr>
        <w:spacing w:after="0" w:line="77"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debt and warrants in private placement, 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900" w:type="dxa"/>
            <w:vAlign w:val="bottom"/>
            <w:shd w:val="clear" w:color="auto" w:fill="CCEEFF"/>
          </w:tcPr>
          <w:p>
            <w:pPr>
              <w:ind w:left="160"/>
              <w:spacing w:after="0" w:line="167" w:lineRule="exact"/>
              <w:rPr>
                <w:sz w:val="20"/>
                <w:szCs w:val="20"/>
                <w:color w:val="auto"/>
              </w:rPr>
            </w:pPr>
            <w:r>
              <w:rPr>
                <w:rFonts w:ascii="Times New Roman" w:cs="Times New Roman" w:eastAsia="Times New Roman" w:hAnsi="Times New Roman"/>
                <w:sz w:val="16"/>
                <w:szCs w:val="16"/>
                <w:color w:val="auto"/>
              </w:rPr>
              <w:t>Proceeds from issuance of Common Stock and warrants in private</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placement, net of fees</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“at the market” Program, 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Employee Stock Purchase Plan Shares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exercise of warrants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related party note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debt in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(10,307)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(33,170)</w:t>
            </w: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of notes payable, other</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on other financing loans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on insurance financing loans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(1,714)</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of financing leases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57"/>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Impact of reverse stock split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8"/>
              </w:rPr>
              <w:t>Net cash and cash equivalents (used in) provided by financing activities</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52,292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(9,863)</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 at the beginning of period</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12,014</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2,151</w:t>
            </w:r>
          </w:p>
        </w:tc>
        <w:tc>
          <w:tcPr>
            <w:tcW w:w="0" w:type="dxa"/>
            <w:vAlign w:val="bottom"/>
          </w:tcPr>
          <w:p>
            <w:pPr>
              <w:spacing w:after="0"/>
              <w:rPr>
                <w:sz w:val="1"/>
                <w:szCs w:val="1"/>
                <w:color w:val="auto"/>
              </w:rPr>
            </w:pPr>
          </w:p>
        </w:tc>
      </w:tr>
      <w:tr>
        <w:trPr>
          <w:trHeight w:val="221"/>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2,151</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Total cash, cash equivalents, and restricted cash at the end of period</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900" w:type="dxa"/>
            <w:vAlign w:val="bottom"/>
            <w:vMerge w:val="continue"/>
          </w:tcPr>
          <w:p>
            <w:pPr>
              <w:spacing w:after="0"/>
              <w:rPr>
                <w:sz w:val="23"/>
                <w:szCs w:val="23"/>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flow information</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Initial fair value of warrants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Financing of prepaid insurance</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1,694</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1,928</w:t>
            </w:r>
          </w:p>
        </w:tc>
        <w:tc>
          <w:tcPr>
            <w:tcW w:w="0" w:type="dxa"/>
            <w:vAlign w:val="bottom"/>
          </w:tcPr>
          <w:p>
            <w:pPr>
              <w:spacing w:after="0"/>
              <w:rPr>
                <w:sz w:val="1"/>
                <w:szCs w:val="1"/>
                <w:color w:val="auto"/>
              </w:rPr>
            </w:pPr>
          </w:p>
        </w:tc>
      </w:tr>
      <w:tr>
        <w:trPr>
          <w:trHeight w:val="238"/>
        </w:trPr>
        <w:tc>
          <w:tcPr>
            <w:tcW w:w="4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Transfer of property and equipment to inventory</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Conversion of convertible notes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3,306</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1" w:name="page192"/>
    <w:bookmarkEnd w:id="19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right="2940"/>
        <w:spacing w:after="0" w:line="416" w:lineRule="auto"/>
        <w:rPr>
          <w:sz w:val="20"/>
          <w:szCs w:val="20"/>
          <w:color w:val="auto"/>
        </w:rPr>
      </w:pPr>
      <w:r>
        <w:rPr>
          <w:rFonts w:ascii="Times New Roman" w:cs="Times New Roman" w:eastAsia="Times New Roman" w:hAnsi="Times New Roman"/>
          <w:sz w:val="16"/>
          <w:szCs w:val="16"/>
          <w:b w:val="1"/>
          <w:bCs w:val="1"/>
          <w:color w:val="auto"/>
        </w:rPr>
        <w:t>Note 1 — Overview, Basis of Presentation and Significant Accounting Policies Description of Business</w:t>
      </w: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9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has nine wholly-owned subsidiaries, which are collectively referred to as the “Subsidiaries” and the Company also has ownership interests in certain companies.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Reverse Stock Splits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October 18, 2022, the Company effected a 1-for -10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Confidentially Marketed Public Offering</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2" w:name="page193"/>
    <w:bookmarkEnd w:id="19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40"/>
        <w:spacing w:after="0" w:line="247" w:lineRule="auto"/>
        <w:rPr>
          <w:sz w:val="20"/>
          <w:szCs w:val="20"/>
          <w:color w:val="auto"/>
        </w:rPr>
      </w:pPr>
      <w:r>
        <w:rPr>
          <w:rFonts w:ascii="Times New Roman" w:cs="Times New Roman" w:eastAsia="Times New Roman" w:hAnsi="Times New Roman"/>
          <w:sz w:val="16"/>
          <w:szCs w:val="16"/>
          <w:color w:val="auto"/>
        </w:rPr>
        <w:t>Warrants will be issued separately but can only be purchased together in this Offering. Additional information regarding the Company’s December 2022 Warrants may be found in Note 4 — Fair Value Measures and Note 10 — Stockholders’ Equity, included elsewhere in the notes to the consolidated financial statements.</w:t>
      </w:r>
    </w:p>
    <w:p>
      <w:pPr>
        <w:spacing w:after="0" w:line="92"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13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Nasdaq Deficiency Notice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00" w:lineRule="exact"/>
        <w:rPr>
          <w:sz w:val="20"/>
          <w:szCs w:val="20"/>
          <w:color w:val="auto"/>
        </w:rPr>
      </w:pPr>
    </w:p>
    <w:p>
      <w:pPr>
        <w:jc w:val="both"/>
        <w:ind w:left="900" w:right="900" w:firstLine="384"/>
        <w:spacing w:after="0" w:line="271" w:lineRule="auto"/>
        <w:rPr>
          <w:sz w:val="20"/>
          <w:szCs w:val="20"/>
          <w:color w:val="auto"/>
        </w:rPr>
      </w:pPr>
      <w:r>
        <w:rPr>
          <w:rFonts w:ascii="Times New Roman" w:cs="Times New Roman" w:eastAsia="Times New Roman" w:hAnsi="Times New Roman"/>
          <w:sz w:val="14"/>
          <w:szCs w:val="14"/>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 day compliance period, unless the Staff exercises its discretion to extend the minimum trading day period pursuant to Nasdaq Listing Rule 5810(c)(3)</w:t>
      </w:r>
    </w:p>
    <w:p>
      <w:pPr>
        <w:spacing w:after="0" w:line="4" w:lineRule="exact"/>
        <w:rPr>
          <w:sz w:val="20"/>
          <w:szCs w:val="20"/>
          <w:color w:val="auto"/>
        </w:rPr>
      </w:pPr>
    </w:p>
    <w:p>
      <w:pPr>
        <w:jc w:val="both"/>
        <w:ind w:left="900" w:right="900"/>
        <w:spacing w:after="0" w:line="238" w:lineRule="auto"/>
        <w:rPr>
          <w:sz w:val="20"/>
          <w:szCs w:val="20"/>
          <w:color w:val="auto"/>
        </w:rPr>
      </w:pPr>
      <w:r>
        <w:rPr>
          <w:rFonts w:ascii="Times New Roman" w:cs="Times New Roman" w:eastAsia="Times New Roman" w:hAnsi="Times New Roman"/>
          <w:sz w:val="16"/>
          <w:szCs w:val="16"/>
          <w:color w:val="auto"/>
        </w:rPr>
        <w:t>(G). On July 19, 2023, the Company received a notice from Nasdaq confirming its recompliance with the minimum bid price rule.</w:t>
      </w:r>
    </w:p>
    <w:p>
      <w:pPr>
        <w:spacing w:after="0" w:line="97"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10 -K, the First Quarter 2023 Form 10-Q and the Second Quarter 2023 Form 10-Q without unreasonable effort or expense.</w:t>
      </w:r>
    </w:p>
    <w:p>
      <w:pPr>
        <w:spacing w:after="0" w:line="75"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92"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3" w:name="page194"/>
    <w:bookmarkEnd w:id="19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97"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Nasdaq granted the Company an exception until October 16, 2023, to file its 2022 Form 10-K and First and Second Quarter 2023 Forms 10-Q. The Nasdaq Notice had no immediate effect on the listing of the Company’s Common Stock on The Nasdaq Stock Market LLC.</w:t>
      </w:r>
    </w:p>
    <w:p>
      <w:pPr>
        <w:spacing w:after="0" w:line="9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97"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 (the “November Nasdaq Notice” and, together with the April Nasdaq Notice, the May Nasdaq Notice, and the August Nasdaq Notice, the “Nasdaq Notices”).</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timely requested a hearing before the Nasdaq Hearings Panel (the “Panel”), and the Panel scheduled a hearing for January 11, 2024. In connection with the hearing request, the Company requested that the stay be extended through the hearing and the expiration of any additional extension period granted by the Panel following the hearing. In that regard, pursuant to the Nasdaq Listing Rules, the Panel granted the additional extension period. However, there can be no assurance that the Company will be able to regain compliance by the end of any additional extension period.</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The Paycheck Protection Program</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$0.8 million from the PPP Loan. On February 18, 2022, the Company applied for forgiveness of the outstanding balance of the PPP Loan and the application was denied by the SBA on March 18,2022.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Basis of Presentation and Principles of Consolidation</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Wholly-Owned Subsidiaries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accounting principles generally accepted in the United States (“GAAP”) and include the accounts of Agrify Corporation and its wholly- 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4" w:name="page195"/>
    <w:bookmarkEnd w:id="19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Accounting for Less Than Wholly-Owned Subsidiaries</w:t>
      </w:r>
    </w:p>
    <w:p>
      <w:pPr>
        <w:spacing w:after="0" w:line="120" w:lineRule="exact"/>
        <w:rPr>
          <w:sz w:val="20"/>
          <w:szCs w:val="20"/>
          <w:color w:val="auto"/>
        </w:rPr>
      </w:pPr>
    </w:p>
    <w:p>
      <w:pPr>
        <w:jc w:val="both"/>
        <w:ind w:left="900" w:right="900" w:firstLine="384"/>
        <w:spacing w:after="0"/>
        <w:rPr>
          <w:sz w:val="20"/>
          <w:szCs w:val="20"/>
          <w:color w:val="auto"/>
        </w:rPr>
      </w:pPr>
      <w:r>
        <w:rPr>
          <w:rFonts w:ascii="Times New Roman" w:cs="Times New Roman" w:eastAsia="Times New Roman" w:hAnsi="Times New Roman"/>
          <w:sz w:val="16"/>
          <w:szCs w:val="16"/>
          <w:color w:val="auto"/>
        </w:rPr>
        <w:t>For the Company’s less than wholly-owned subsidiaries, which include, Agrify -Valiant LLC (“Agrify-Valiant”),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w:t>
      </w:r>
    </w:p>
    <w:p>
      <w:pPr>
        <w:ind w:left="1120" w:hanging="214"/>
        <w:spacing w:after="0" w:line="237" w:lineRule="auto"/>
        <w:tabs>
          <w:tab w:leader="none" w:pos="112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insufficient equity to permit it to finance its activities without additional subordinated financial support or</w:t>
      </w:r>
    </w:p>
    <w:p>
      <w:pPr>
        <w:jc w:val="both"/>
        <w:ind w:left="900" w:right="900" w:firstLine="6"/>
        <w:spacing w:after="0" w:line="235" w:lineRule="auto"/>
        <w:tabs>
          <w:tab w:leader="none" w:pos="1136"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 -Valiant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 - controlling interests are not redeemable by the equity holders and are presented as part of permanent equity. Income and losses are allocated to the non-controlling interest holders based on its economic ownership percentage.</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Going Concern</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has incurred operating losses since its inception and has negative cash flows from operations and a working capital deficiency. The Company also has an accumulated deficit of $266 million as of September 30, 2023.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01"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As of September 30, 2023, the Company had $0.2 million of cash, cash equivalents, and marketable securities. The Company had no restricted cash as of September 30, 2023. As of December 31, 2022 the Company’s restricted cash balance of $10.0 million was associated with its new senior secured note (the “Exchange Note”). Current liabilities were $41.4 million as of September 30, 2023. Additional information regarding the Company’s Exchange Note may be found in Note 8 — Debt, included elsewhere in the notes to the consolidated financial statements.</w:t>
      </w:r>
    </w:p>
    <w:p>
      <w:pPr>
        <w:spacing w:after="0" w:line="101"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Canaccord Genuity LLC (the “Agent”) pursuant to which it may issue and sell, from time to time, shares of its Common Stock having an aggregate offering price of up to $ 50 million, depending on market demand, with the Agent acting as an agent for sales. The ATM Program allowed the Company to sell shares of Common Stock pursuant to specific parameters defined by the Company as well</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5" w:name="page196"/>
    <w:bookmarkEnd w:id="19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37" w:lineRule="auto"/>
        <w:rPr>
          <w:sz w:val="20"/>
          <w:szCs w:val="20"/>
          <w:color w:val="auto"/>
        </w:rPr>
      </w:pPr>
      <w:r>
        <w:rPr>
          <w:rFonts w:ascii="Times New Roman" w:cs="Times New Roman" w:eastAsia="Times New Roman" w:hAnsi="Times New Roman"/>
          <w:sz w:val="16"/>
          <w:szCs w:val="16"/>
          <w:color w:val="auto"/>
        </w:rPr>
        <w:t>as those defined by the SEC and the ATM Program agreement. In 2022, the Company sold 306,628 shares of Common Stock under the ATM at an average price of $50.85, resulting in gross proceeds of $15.6 million and net proceeds $15.1 million after commissions and fees to the Agent totaling $0.5 million and legal fees totaling $0.1 million. As of April 1, 2023, after which time the ATM program was discontinued, the Company sold an additional 323,082 shares of Common Stock under the ATM at an average price of $4.93, resulting in gross proceeds of $ 1.6 million and net proceeds of $1.6 million after commissions and fees to the Agent totaling $48 thousand. $3.0 million of the proceeds under the ATM Program were used to repay amounts due to High Trail Special Situations LLC (the “Investor”) under the Exchange Note. The Company used the net proceeds generated from the ATM Program for working capital and general corporate purposes, including repayment of indebtedness, funding its transformation initiatives and product category expansion efforts and capital expenditures. Due to the late filing of the Company’s Annual Report on Form 10 -K, the Company is no longer eligible to utilize the registration statement on Form S-3 relating to the ATM Program.</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 -based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Reclassifications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Certain amounts in the Company’s prior period financial statements have been reclassified to conform to the presentation of the current period financial statements. In this filing, the Company has reclassified selling, general and administrative expenses to two separate line items in the accompanying consolidated statements of operations as general and administrative expenses and selling and marketing expenses for the three months ended September 30, 2023 and 2022.</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addition, 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Consolidated Balance Sheet reflects the reverse stock split by reclassifying from “Common Stock” to “Additional paid-in capital” an amount equal to the par value of the decreased shares resulting from the reverse stock split.</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Cash and cash equivalents consist principally of cash and deposits with maturities of three months or less as of September 30, 2023 and December 31, 2022. All cash equivalents are carried at cost, which approximates fair value.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Marketable Securities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6" w:name="page197"/>
    <w:bookmarkEnd w:id="19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Concentration of Credit Risk and Significant Customer</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01"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tables below show customers who account for 10% or more of the Company’s total revenues and 10% or more of the Company’s accounts receivable for the periods presented:</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20"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For the three and nine months ended September 30, 2023 and 2022, the Company’s customers that accounted for 10% or more of the total revenue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jc w:val="center"/>
              <w:spacing w:after="0" w:line="159" w:lineRule="exact"/>
              <w:rPr>
                <w:sz w:val="20"/>
                <w:szCs w:val="20"/>
                <w:color w:val="auto"/>
              </w:rPr>
            </w:pPr>
            <w:r>
              <w:rPr>
                <w:rFonts w:ascii="Times New Roman" w:cs="Times New Roman" w:eastAsia="Times New Roman" w:hAnsi="Times New Roman"/>
                <w:sz w:val="16"/>
                <w:szCs w:val="16"/>
                <w:color w:val="auto"/>
                <w:w w:val="96"/>
              </w:rPr>
              <w:t>Company Customer</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Number – 136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1,930</w:t>
            </w:r>
          </w:p>
        </w:tc>
        <w:tc>
          <w:tcPr>
            <w:tcW w:w="7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7,054</w:t>
            </w: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w w:val="96"/>
              </w:rPr>
              <w:t>Company Customer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w w:val="97"/>
              </w:rPr>
              <w:t>Number – 125</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1,855</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13.2%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1340" w:type="dxa"/>
            <w:vAlign w:val="bottom"/>
            <w:gridSpan w:val="2"/>
            <w:shd w:val="clear" w:color="auto" w:fill="CCEEFF"/>
          </w:tcPr>
          <w:p>
            <w:pPr>
              <w:jc w:val="center"/>
              <w:ind w:right="100"/>
              <w:spacing w:after="0" w:line="167" w:lineRule="exact"/>
              <w:rPr>
                <w:sz w:val="20"/>
                <w:szCs w:val="20"/>
                <w:color w:val="auto"/>
              </w:rPr>
            </w:pPr>
            <w:r>
              <w:rPr>
                <w:rFonts w:ascii="Times New Roman" w:cs="Times New Roman" w:eastAsia="Times New Roman" w:hAnsi="Times New Roman"/>
                <w:sz w:val="16"/>
                <w:szCs w:val="16"/>
                <w:color w:val="auto"/>
                <w:w w:val="96"/>
              </w:rPr>
              <w:t>Company Customer</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7"/>
              </w:rPr>
              <w:t>Number – 139</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8,590</w:t>
            </w: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260" w:hanging="354"/>
        <w:spacing w:after="0"/>
        <w:tabs>
          <w:tab w:leader="none" w:pos="126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revenue, as a percentage of total revenue, was less than 10%</w:t>
      </w:r>
    </w:p>
    <w:p>
      <w:pPr>
        <w:spacing w:after="0" w:line="162" w:lineRule="exact"/>
        <w:rPr>
          <w:rFonts w:ascii="Times New Roman" w:cs="Times New Roman" w:eastAsia="Times New Roman" w:hAnsi="Times New Roman"/>
          <w:sz w:val="14"/>
          <w:szCs w:val="14"/>
          <w:color w:val="auto"/>
        </w:rPr>
      </w:pPr>
    </w:p>
    <w:p>
      <w:pPr>
        <w:ind w:left="43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7" w:name="page198"/>
    <w:bookmarkEnd w:id="19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 Net</w:t>
      </w:r>
    </w:p>
    <w:p>
      <w:pPr>
        <w:spacing w:after="0" w:line="120"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of September 30, 2023 and December 31, 2022, the Company’s customers that accounted for 10% or more of the total accounts receivable, net, were as follows: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80" w:type="dxa"/>
            <w:vAlign w:val="bottom"/>
          </w:tcPr>
          <w:p>
            <w:pPr>
              <w:spacing w:after="0"/>
              <w:rPr>
                <w:sz w:val="16"/>
                <w:szCs w:val="16"/>
                <w:color w:val="auto"/>
              </w:rPr>
            </w:pPr>
          </w:p>
        </w:tc>
        <w:tc>
          <w:tcPr>
            <w:tcW w:w="2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r>
      <w:tr>
        <w:trPr>
          <w:trHeight w:val="28"/>
        </w:trPr>
        <w:tc>
          <w:tcPr>
            <w:tcW w:w="3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46"/>
        </w:trPr>
        <w:tc>
          <w:tcPr>
            <w:tcW w:w="3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 of</w:t>
            </w:r>
          </w:p>
        </w:tc>
      </w:tr>
      <w:tr>
        <w:trPr>
          <w:trHeight w:val="168"/>
        </w:trPr>
        <w:tc>
          <w:tcPr>
            <w:tcW w:w="3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80" w:type="dxa"/>
            <w:vAlign w:val="bottom"/>
          </w:tcPr>
          <w:p>
            <w:pPr>
              <w:spacing w:after="0"/>
              <w:rPr>
                <w:sz w:val="16"/>
                <w:szCs w:val="16"/>
                <w:color w:val="auto"/>
              </w:rPr>
            </w:pPr>
          </w:p>
        </w:tc>
        <w:tc>
          <w:tcPr>
            <w:tcW w:w="10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r>
    </w:tbl>
    <w:p>
      <w:pPr>
        <w:spacing w:after="0" w:line="28" w:lineRule="exact"/>
        <w:rPr>
          <w:sz w:val="20"/>
          <w:szCs w:val="20"/>
          <w:color w:val="auto"/>
        </w:rPr>
      </w:pPr>
    </w:p>
    <w:tbl>
      <w:tblPr>
        <w:tblLayout w:type="fixed"/>
        <w:tblInd w:w="900" w:type="dxa"/>
        <w:tblCellMar>
          <w:top w:w="0" w:type="dxa"/>
          <w:left w:w="0" w:type="dxa"/>
          <w:bottom w:w="0" w:type="dxa"/>
          <w:right w:w="0" w:type="dxa"/>
        </w:tblCellMar>
      </w:tblPr>
      <w:tr>
        <w:trPr>
          <w:trHeight w:val="20"/>
        </w:trPr>
        <w:tc>
          <w:tcPr>
            <w:tcW w:w="2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24"/>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15095</w:t>
            </w:r>
          </w:p>
        </w:tc>
        <w:tc>
          <w:tcPr>
            <w:tcW w:w="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60.5%</w:t>
            </w:r>
          </w:p>
        </w:tc>
        <w:tc>
          <w:tcPr>
            <w:tcW w:w="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32.9%</w:t>
            </w:r>
          </w:p>
        </w:tc>
      </w:t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Company Customer Number – 15874</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2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4"/>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Customer Number – 16491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6"/>
                <w:szCs w:val="16"/>
                <w:color w:val="auto"/>
              </w:rPr>
              <w:t>Company Customer Number – 10888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23.5%</w:t>
            </w:r>
          </w:p>
        </w:tc>
      </w:tr>
      <w:tr>
        <w:trPr>
          <w:trHeight w:val="250"/>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r>
    </w:tbl>
    <w:p>
      <w:pPr>
        <w:spacing w:after="0" w:line="64" w:lineRule="exact"/>
        <w:rPr>
          <w:sz w:val="20"/>
          <w:szCs w:val="20"/>
          <w:color w:val="auto"/>
        </w:rPr>
      </w:pPr>
    </w:p>
    <w:p>
      <w:pPr>
        <w:ind w:left="1260" w:hanging="354"/>
        <w:spacing w:after="0"/>
        <w:tabs>
          <w:tab w:leader="none" w:pos="12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accounts receivable, as a percentage of total accounts receivable, was less than 10%</w:t>
      </w:r>
    </w:p>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Inventories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values all its inventories, which consist primarily of significant raw material hardware components, at the lower of cost or net realizable value, with cost principally determined by the weighted-average cost method on a first-in, first- out basis. Write-offs of potentially slow-moving or damaged inventory are recorded through specific identification of obsolete or damaged material.</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Property and Equipment</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600" w:type="dxa"/>
            <w:vAlign w:val="bottom"/>
          </w:tcPr>
          <w:p>
            <w:pPr>
              <w:spacing w:after="0"/>
              <w:rPr>
                <w:sz w:val="14"/>
                <w:szCs w:val="14"/>
                <w:color w:val="auto"/>
              </w:rPr>
            </w:pPr>
          </w:p>
        </w:tc>
        <w:tc>
          <w:tcPr>
            <w:tcW w:w="3600" w:type="dxa"/>
            <w:vAlign w:val="bottom"/>
          </w:tcPr>
          <w:p>
            <w:pPr>
              <w:ind w:left="11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8"/>
        </w:trPr>
        <w:tc>
          <w:tcPr>
            <w:tcW w:w="36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 to 3</w:t>
            </w: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of laboratory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 to 5</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Leased equipment</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5 to 13</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3 to 5</w:t>
            </w: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Lower of estimated useful life or remaining lease term</w:t>
            </w: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w:t>
      </w:r>
    </w:p>
    <w:p>
      <w:pPr>
        <w:spacing w:after="0" w:line="97"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Costs for capital assets not yet placed into service are capitalized as construction-in-progress and depreciated once placed into service. During construction, costs are accumulated in a construction-in- progress account, with no depreciation. Upon completion, costs are transferred to the appropriate asset account, and depreciation begins when the asset is placed into service.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8" w:name="page199"/>
    <w:bookmarkEnd w:id="19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Goodwill</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97"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in 2022. Additional information regarding the Company’s interim testing on goodwill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Intangible Assets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initially records intangible assets at their estimated fair values and reviews these assets periodically for impairment. Identifiable intangible assets, which consist principally of customer- related acquired assets, acquired and/or developed technology, non -compete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98" w:lineRule="exact"/>
        <w:rPr>
          <w:sz w:val="20"/>
          <w:szCs w:val="20"/>
          <w:color w:val="auto"/>
        </w:rPr>
      </w:pPr>
    </w:p>
    <w:tbl>
      <w:tblPr>
        <w:tblLayout w:type="fixed"/>
        <w:tblInd w:w="900" w:type="dxa"/>
        <w:tblCellMar>
          <w:top w:w="0" w:type="dxa"/>
          <w:left w:w="0" w:type="dxa"/>
          <w:bottom w:w="0" w:type="dxa"/>
          <w:right w:w="0" w:type="dxa"/>
        </w:tblCellMar>
      </w:tblPr>
      <w:tr>
        <w:trPr>
          <w:trHeight w:val="203"/>
        </w:trPr>
        <w:tc>
          <w:tcPr>
            <w:tcW w:w="43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The useful lives are as follows:</w:t>
            </w:r>
          </w:p>
        </w:tc>
        <w:tc>
          <w:tcPr>
            <w:tcW w:w="2700" w:type="dxa"/>
            <w:vAlign w:val="bottom"/>
          </w:tcPr>
          <w:p>
            <w:pPr>
              <w:spacing w:after="0"/>
              <w:rPr>
                <w:sz w:val="17"/>
                <w:szCs w:val="17"/>
                <w:color w:val="auto"/>
              </w:rPr>
            </w:pPr>
          </w:p>
        </w:tc>
      </w:tr>
      <w:tr>
        <w:trPr>
          <w:trHeight w:val="33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Trade names</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5 to 7 years</w:t>
            </w: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Acquired developed technology</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5 to 8 years</w:t>
            </w: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Non-compete agreements</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5 years</w:t>
            </w: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5 to 8 years</w:t>
            </w:r>
          </w:p>
        </w:tc>
      </w:tr>
      <w:tr>
        <w:trPr>
          <w:trHeight w:val="264"/>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Capitalized website costs</w:t>
            </w:r>
          </w:p>
        </w:tc>
        <w:tc>
          <w:tcPr>
            <w:tcW w:w="2700" w:type="dxa"/>
            <w:vAlign w:val="bottom"/>
          </w:tcPr>
          <w:p>
            <w:pPr>
              <w:jc w:val="center"/>
              <w:ind w:left="1902"/>
              <w:spacing w:after="0"/>
              <w:rPr>
                <w:sz w:val="20"/>
                <w:szCs w:val="20"/>
                <w:color w:val="auto"/>
              </w:rPr>
            </w:pPr>
            <w:r>
              <w:rPr>
                <w:rFonts w:ascii="Times New Roman" w:cs="Times New Roman" w:eastAsia="Times New Roman" w:hAnsi="Times New Roman"/>
                <w:sz w:val="16"/>
                <w:szCs w:val="16"/>
                <w:color w:val="auto"/>
                <w:w w:val="96"/>
              </w:rPr>
              <w:t>3 to 5 years</w:t>
            </w:r>
          </w:p>
        </w:tc>
      </w:tr>
    </w:tbl>
    <w:p>
      <w:pPr>
        <w:spacing w:after="0" w:line="21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199" w:name="page200"/>
    <w:bookmarkEnd w:id="19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in 2022. Additional information regarding the Company’s interim testing on intangible assets may be found in Note 7 — Goodwill and Intangible Assets, Net, included elsewhere in the notes to the consolidated financial statements.</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Convertible Notes Payable</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ECOs, certain variable-share settlement features, and any related freestanding instruments at their fair values as of the inception date of the agreement and at fair value as of each subsequent balance sheet date. Any change in fair value is recorded as non- 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Liabilities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0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97" w:lineRule="exact"/>
        <w:rPr>
          <w:sz w:val="20"/>
          <w:szCs w:val="20"/>
          <w:color w:val="auto"/>
        </w:rPr>
      </w:pPr>
    </w:p>
    <w:p>
      <w:pPr>
        <w:jc w:val="both"/>
        <w:ind w:left="900" w:right="920" w:firstLine="384"/>
        <w:spacing w:after="0" w:line="271" w:lineRule="auto"/>
        <w:rPr>
          <w:sz w:val="20"/>
          <w:szCs w:val="20"/>
          <w:color w:val="auto"/>
        </w:rPr>
      </w:pPr>
      <w:r>
        <w:rPr>
          <w:rFonts w:ascii="Times New Roman" w:cs="Times New Roman" w:eastAsia="Times New Roman" w:hAnsi="Times New Roman"/>
          <w:sz w:val="14"/>
          <w:szCs w:val="14"/>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w:t>
      </w:r>
    </w:p>
    <w:p>
      <w:pPr>
        <w:spacing w:after="0" w:line="4" w:lineRule="exact"/>
        <w:rPr>
          <w:sz w:val="20"/>
          <w:szCs w:val="20"/>
          <w:color w:val="auto"/>
        </w:rPr>
      </w:pPr>
    </w:p>
    <w:p>
      <w:pPr>
        <w:ind w:left="900" w:right="920"/>
        <w:spacing w:after="0" w:line="238" w:lineRule="auto"/>
        <w:rPr>
          <w:sz w:val="20"/>
          <w:szCs w:val="20"/>
          <w:color w:val="auto"/>
        </w:rPr>
      </w:pPr>
      <w:r>
        <w:rPr>
          <w:rFonts w:ascii="Times New Roman" w:cs="Times New Roman" w:eastAsia="Times New Roman" w:hAnsi="Times New Roman"/>
          <w:sz w:val="16"/>
          <w:szCs w:val="16"/>
          <w:color w:val="auto"/>
        </w:rPr>
        <w:t>— Fair Value Measures and Note 9 — Debt, included elsewhere in the notes to the consolidated financial statements.</w:t>
      </w:r>
    </w:p>
    <w:p>
      <w:pPr>
        <w:spacing w:after="0" w:line="97" w:lineRule="exact"/>
        <w:rPr>
          <w:sz w:val="20"/>
          <w:szCs w:val="20"/>
          <w:color w:val="auto"/>
        </w:rPr>
      </w:pPr>
    </w:p>
    <w:p>
      <w:pPr>
        <w:ind w:left="900" w:right="940" w:firstLine="384"/>
        <w:spacing w:after="0" w:line="259" w:lineRule="auto"/>
        <w:rPr>
          <w:sz w:val="20"/>
          <w:szCs w:val="20"/>
          <w:color w:val="auto"/>
        </w:rPr>
      </w:pPr>
      <w:r>
        <w:rPr>
          <w:rFonts w:ascii="Times New Roman" w:cs="Times New Roman" w:eastAsia="Times New Roman" w:hAnsi="Times New Roman"/>
          <w:sz w:val="16"/>
          <w:szCs w:val="16"/>
          <w:color w:val="auto"/>
        </w:rPr>
        <w:t>Additionally, on April 18, 2023, the Company modified the exercise price of certain warrants, to reduce this from $13.00 per share to $3.45 per share.</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0" w:name="page201"/>
    <w:bookmarkEnd w:id="20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Debt Issuance Costs and Debt Discount</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Original Issue Discount</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Leases</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9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Deferred Revenue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1" w:name="page202"/>
    <w:bookmarkEnd w:id="20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Stock-Based Compensation</w:t>
      </w:r>
    </w:p>
    <w:p>
      <w:pPr>
        <w:spacing w:after="0" w:line="118"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The Company measures all stock options and other stock-based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6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Company classifies stock-based compensation expense in its consolidated statements of operations in the same manner in which the award recipient’s payroll costs are classified.</w:t>
      </w:r>
    </w:p>
    <w:p>
      <w:pPr>
        <w:spacing w:after="0" w:line="83" w:lineRule="exact"/>
        <w:rPr>
          <w:sz w:val="20"/>
          <w:szCs w:val="20"/>
          <w:color w:val="auto"/>
        </w:rPr>
      </w:pPr>
    </w:p>
    <w:p>
      <w:pPr>
        <w:jc w:val="both"/>
        <w:ind w:left="900" w:right="860" w:firstLine="384"/>
        <w:spacing w:after="0" w:line="237" w:lineRule="auto"/>
        <w:rPr>
          <w:sz w:val="20"/>
          <w:szCs w:val="20"/>
          <w:color w:val="auto"/>
        </w:rPr>
      </w:pPr>
      <w:r>
        <w:rPr>
          <w:rFonts w:ascii="Times New Roman" w:cs="Times New Roman" w:eastAsia="Times New Roman" w:hAnsi="Times New Roman"/>
          <w:sz w:val="16"/>
          <w:szCs w:val="16"/>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Business Combinations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97"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7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Revenue Recognition</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Company generates revenue from the following sources: (1) equipment sales, (2) providing services and</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(3) construction contracts.</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2" w:name="page203"/>
    <w:bookmarkEnd w:id="20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accordance with ASC 606 “Revenue Recognition”, the Company recognizes revenue from contracts with customers using a five-step model, which is described below:</w:t>
      </w:r>
    </w:p>
    <w:p>
      <w:pPr>
        <w:spacing w:after="0" w:line="83" w:lineRule="exact"/>
        <w:rPr>
          <w:sz w:val="20"/>
          <w:szCs w:val="20"/>
          <w:color w:val="auto"/>
        </w:rPr>
      </w:pPr>
    </w:p>
    <w:p>
      <w:pPr>
        <w:ind w:left="1680" w:hanging="389"/>
        <w:spacing w:after="0"/>
        <w:tabs>
          <w:tab w:leader="none" w:pos="16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customer contract;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performance obligations that are distinct;</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distinct performance obligations; and</w:t>
      </w:r>
    </w:p>
    <w:p>
      <w:pPr>
        <w:spacing w:after="0" w:line="116" w:lineRule="exact"/>
        <w:rPr>
          <w:rFonts w:ascii="Times New Roman" w:cs="Times New Roman" w:eastAsia="Times New Roman" w:hAnsi="Times New Roman"/>
          <w:sz w:val="16"/>
          <w:szCs w:val="16"/>
          <w:color w:val="auto"/>
        </w:rPr>
      </w:pPr>
    </w:p>
    <w:p>
      <w:pPr>
        <w:ind w:left="1680" w:hanging="389"/>
        <w:spacing w:after="0"/>
        <w:tabs>
          <w:tab w:leader="none" w:pos="168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as the performance obligations are satisfied.</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Identify the customer contract</w:t>
      </w:r>
    </w:p>
    <w:p>
      <w:pPr>
        <w:spacing w:after="0" w:line="120" w:lineRule="exact"/>
        <w:rPr>
          <w:sz w:val="20"/>
          <w:szCs w:val="20"/>
          <w:color w:val="auto"/>
        </w:rPr>
      </w:pPr>
    </w:p>
    <w:p>
      <w:pPr>
        <w:jc w:val="both"/>
        <w:ind w:left="900" w:right="920" w:firstLine="384"/>
        <w:spacing w:after="0" w:line="289" w:lineRule="auto"/>
        <w:rPr>
          <w:sz w:val="20"/>
          <w:szCs w:val="20"/>
          <w:color w:val="auto"/>
        </w:rPr>
      </w:pPr>
      <w:r>
        <w:rPr>
          <w:rFonts w:ascii="Times New Roman" w:cs="Times New Roman" w:eastAsia="Times New Roman" w:hAnsi="Times New Roman"/>
          <w:sz w:val="14"/>
          <w:szCs w:val="14"/>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1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Identify performance obligations that are distinct</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Determine the transaction price</w:t>
      </w:r>
    </w:p>
    <w:p>
      <w:pPr>
        <w:spacing w:after="0" w:line="120" w:lineRule="exact"/>
        <w:rPr>
          <w:sz w:val="20"/>
          <w:szCs w:val="20"/>
          <w:color w:val="auto"/>
        </w:rPr>
      </w:pPr>
    </w:p>
    <w:p>
      <w:pPr>
        <w:jc w:val="both"/>
        <w:ind w:left="900" w:right="880" w:firstLine="384"/>
        <w:spacing w:after="0" w:line="247" w:lineRule="auto"/>
        <w:rPr>
          <w:sz w:val="20"/>
          <w:szCs w:val="20"/>
          <w:color w:val="auto"/>
        </w:rPr>
      </w:pPr>
      <w:r>
        <w:rPr>
          <w:rFonts w:ascii="Times New Roman" w:cs="Times New Roman" w:eastAsia="Times New Roman" w:hAnsi="Times New Roman"/>
          <w:sz w:val="16"/>
          <w:szCs w:val="16"/>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Allocate the transaction price to distinct performance obligations</w:t>
      </w:r>
    </w:p>
    <w:p>
      <w:pPr>
        <w:spacing w:after="0" w:line="120" w:lineRule="exact"/>
        <w:rPr>
          <w:sz w:val="20"/>
          <w:szCs w:val="20"/>
          <w:color w:val="auto"/>
        </w:rPr>
      </w:pPr>
    </w:p>
    <w:p>
      <w:pPr>
        <w:jc w:val="both"/>
        <w:ind w:left="900" w:right="920" w:firstLine="384"/>
        <w:spacing w:after="0" w:line="284" w:lineRule="auto"/>
        <w:rPr>
          <w:sz w:val="20"/>
          <w:szCs w:val="20"/>
          <w:color w:val="auto"/>
        </w:rPr>
      </w:pPr>
      <w:r>
        <w:rPr>
          <w:rFonts w:ascii="Times New Roman" w:cs="Times New Roman" w:eastAsia="Times New Roman" w:hAnsi="Times New Roman"/>
          <w:sz w:val="14"/>
          <w:szCs w:val="14"/>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Recognize revenue as the performance obligations are satisfied</w:t>
      </w:r>
    </w:p>
    <w:p>
      <w:pPr>
        <w:spacing w:after="0" w:line="120"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Revenue is recognized when, or as, performance obligations are satisfied by transferring control of a promised product or service to a customer.</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Significant Judgments</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3" w:name="page204"/>
    <w:bookmarkEnd w:id="20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0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utilizes the cost- 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92"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determines the SSP for services in time and materials contracts by observable prices in standalone services arrangements.</w:t>
      </w:r>
    </w:p>
    <w:p>
      <w:pPr>
        <w:spacing w:after="0" w:line="83"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95"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nine months ended September 30, 2023 and 2022, the Company did not have any such financial income.</w:t>
      </w:r>
    </w:p>
    <w:p>
      <w:pPr>
        <w:spacing w:after="0" w:line="104"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4" w:name="page205"/>
    <w:bookmarkEnd w:id="20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99" w:lineRule="auto"/>
        <w:rPr>
          <w:sz w:val="20"/>
          <w:szCs w:val="20"/>
          <w:color w:val="auto"/>
        </w:rPr>
      </w:pPr>
      <w:r>
        <w:rPr>
          <w:rFonts w:ascii="Times New Roman" w:cs="Times New Roman" w:eastAsia="Times New Roman" w:hAnsi="Times New Roman"/>
          <w:sz w:val="14"/>
          <w:szCs w:val="14"/>
          <w:color w:val="auto"/>
        </w:rPr>
        <w:t>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5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In accordance with ASC 606-10- 50- 13,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606- 10-50-14A, including (i) performance obligation is part of a contract that has an original expected duration of one year or less and (ii) the right to invoice practical expedient.</w:t>
      </w:r>
    </w:p>
    <w:p>
      <w:pPr>
        <w:spacing w:after="0" w:line="101"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 -year period. In accordance with ASC 450-20-25, the Company accrues for product warranties when the loss is probable and can be reasonably estimated. The Company maintains a reserve for warranty returns of $0.6 million and $0.6 million for September 30, 2023 and December 31, 2022,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Research and Development Costs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Capitalization of Internal Software Development Costs</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Company capitalizes certain software engineering efforts related to the continued development of Agrify Insights™ under ASC Topic 350 -40 The costs incurred in the preliminary stages of development are expensed as incurred as research costs. Once the application has reached the development stage, internal and external costs incurred to develop internal-use software are capitalized and amortized on a straight-line basis over the estimated useful life of the software.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and amortized on a straight-line basis over the estimated useful life of the software. The types of costs capitalized during the application development phase include employee compensation, as well as consulting fees for third-party software developers working on these projects. The estimated useful life of capitalized internal-use software ranges from two to five years.</w:t>
      </w:r>
    </w:p>
    <w:p>
      <w:pPr>
        <w:spacing w:after="0" w:line="1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Income Taxes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5" w:name="page206"/>
    <w:bookmarkEnd w:id="20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75" w:lineRule="auto"/>
        <w:rPr>
          <w:sz w:val="20"/>
          <w:szCs w:val="20"/>
          <w:color w:val="auto"/>
        </w:rPr>
      </w:pPr>
      <w:r>
        <w:rPr>
          <w:rFonts w:ascii="Times New Roman" w:cs="Times New Roman" w:eastAsia="Times New Roman" w:hAnsi="Times New Roman"/>
          <w:sz w:val="14"/>
          <w:szCs w:val="14"/>
          <w:color w:val="auto"/>
        </w:rPr>
        <w:t>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 -likely-than- 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26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Company recognizes the benefit of a tax position when it is effectively settled. ASC 740-10-25-10,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quarterly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01"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provision for income taxes represents Federal and state and local income taxes. The effective rate differs from statutory rates due to the effect of certain nondeductible expenses. Our effective tax rate will change from quarter to quarter based on recurring and non- 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01"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Net Loss Per Share</w:t>
      </w:r>
    </w:p>
    <w:p>
      <w:pPr>
        <w:spacing w:after="0" w:line="118" w:lineRule="exact"/>
        <w:rPr>
          <w:sz w:val="20"/>
          <w:szCs w:val="20"/>
          <w:color w:val="auto"/>
        </w:rPr>
      </w:pPr>
    </w:p>
    <w:p>
      <w:pPr>
        <w:jc w:val="both"/>
        <w:ind w:left="900" w:right="900" w:firstLine="384"/>
        <w:spacing w:after="0" w:line="276" w:lineRule="auto"/>
        <w:rPr>
          <w:sz w:val="20"/>
          <w:szCs w:val="20"/>
          <w:color w:val="auto"/>
        </w:rPr>
      </w:pPr>
      <w:r>
        <w:rPr>
          <w:rFonts w:ascii="Times New Roman" w:cs="Times New Roman" w:eastAsia="Times New Roman" w:hAnsi="Times New Roman"/>
          <w:sz w:val="14"/>
          <w:szCs w:val="14"/>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6" w:name="page207"/>
    <w:bookmarkEnd w:id="20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 — Overview, Basis of Presentation and Significant Accounting Policies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Net loss per share calculations for all periods have been adjusted to reflect the reverse stock splits effected on October 18, 2022 and July 5, 2023. Net loss per share was calculated based on the weighted-average number of Common Stock outstanding.</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Recently Adopted Accounting Pronouncements</w:t>
      </w:r>
    </w:p>
    <w:p>
      <w:pPr>
        <w:spacing w:after="0" w:line="11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August 2020, the FASB issued ASU No. 2020-06, Debt — Debt with Conversion and Other Options (Subtopic 470-20), and Derivatives and Hedging —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2020 -06 is effective for fiscal years beginning after December 15, 2021, including interim periods within those fiscal years. The Company adopted this standard as of January 1, 2022. The adoption of this new accounting guidance had no impact on the Company’s consolidated financial position.</w:t>
      </w:r>
    </w:p>
    <w:p>
      <w:pPr>
        <w:spacing w:after="0" w:line="98" w:lineRule="exact"/>
        <w:rPr>
          <w:sz w:val="20"/>
          <w:szCs w:val="20"/>
          <w:color w:val="auto"/>
        </w:rPr>
      </w:pPr>
    </w:p>
    <w:p>
      <w:pPr>
        <w:jc w:val="both"/>
        <w:ind w:left="900" w:right="880" w:firstLine="384"/>
        <w:spacing w:after="0" w:line="238" w:lineRule="auto"/>
        <w:rPr>
          <w:sz w:val="20"/>
          <w:szCs w:val="20"/>
          <w:color w:val="auto"/>
        </w:rPr>
      </w:pPr>
      <w:r>
        <w:rPr>
          <w:rFonts w:ascii="Times New Roman" w:cs="Times New Roman" w:eastAsia="Times New Roman" w:hAnsi="Times New Roman"/>
          <w:sz w:val="16"/>
          <w:szCs w:val="16"/>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for fiscal years beginning after December 15, 2022. The Company adopted ASU 2016-13 on January 1, 2023. The adoption of this standard did not have a material impact on these condensed consolidated financial statements.</w:t>
      </w:r>
    </w:p>
    <w:p>
      <w:pPr>
        <w:spacing w:after="0" w:line="101"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adopted ASU 2021-08 on January 1, 2023. The adoption of this standard did not have a material impact on these condensed consolidated financial statements.</w:t>
      </w:r>
    </w:p>
    <w:p>
      <w:pPr>
        <w:spacing w:after="0" w:line="104"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Other recent accounting pronouncements did not or are not believed by management to have a material impact on the Company’s present or future consolidated financial statements.</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2 — Revenue and Deferred Revenue</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20"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97"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07" w:name="page208"/>
    <w:bookmarkEnd w:id="20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2 — Revenue and Deferred Revenue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provides the Company’s revenue disaggregated by the timing of revenue recognition:</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4"/>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8"/>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Transferred at a point in time</w:t>
            </w:r>
          </w:p>
        </w:tc>
        <w:tc>
          <w:tcPr>
            <w:tcW w:w="740" w:type="dxa"/>
            <w:vAlign w:val="bottom"/>
            <w:tcBorders>
              <w:bottom w:val="single" w:sz="8" w:color="CCEEFF"/>
            </w:tcBorders>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4"/>
              </w:rPr>
              <w:t>2,831</w:t>
            </w:r>
          </w:p>
        </w:tc>
        <w:tc>
          <w:tcPr>
            <w:tcW w:w="66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5,657</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28,675</w:t>
            </w:r>
          </w:p>
        </w:tc>
      </w:tr>
      <w:tr>
        <w:trPr>
          <w:trHeight w:val="257"/>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Transferred over time</w:t>
            </w:r>
          </w:p>
        </w:tc>
        <w:tc>
          <w:tcPr>
            <w:tcW w:w="8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1,362</w:t>
            </w:r>
          </w:p>
        </w:tc>
        <w:tc>
          <w:tcPr>
            <w:tcW w:w="4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23,694</w:t>
            </w:r>
          </w:p>
        </w:tc>
      </w:tr>
      <w:tr>
        <w:trPr>
          <w:trHeight w:val="238"/>
        </w:trPr>
        <w:tc>
          <w:tcPr>
            <w:tcW w:w="2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w:t>
            </w:r>
          </w:p>
        </w:tc>
        <w:tc>
          <w:tcPr>
            <w:tcW w:w="74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4"/>
              </w:rPr>
              <w:t>3,139</w:t>
            </w:r>
          </w:p>
        </w:tc>
        <w:tc>
          <w:tcPr>
            <w:tcW w:w="66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4"/>
              </w:rPr>
              <w:t>7,019</w:t>
            </w: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52,369</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rPr>
          <w:sz w:val="20"/>
          <w:szCs w:val="20"/>
          <w:color w:val="auto"/>
        </w:rPr>
      </w:pPr>
      <w:r>
        <w:rPr>
          <w:rFonts w:ascii="Times New Roman" w:cs="Times New Roman" w:eastAsia="Times New Roman" w:hAnsi="Times New Roman"/>
          <w:sz w:val="16"/>
          <w:szCs w:val="16"/>
          <w:color w:val="auto"/>
        </w:rPr>
        <w:t>In accordance with ASC 606-10- 50- 13,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w:t>
      </w:r>
    </w:p>
    <w:p>
      <w:pPr>
        <w:spacing w:after="0" w:line="2" w:lineRule="exact"/>
        <w:rPr>
          <w:sz w:val="20"/>
          <w:szCs w:val="20"/>
          <w:color w:val="auto"/>
        </w:rPr>
      </w:pPr>
    </w:p>
    <w:p>
      <w:pPr>
        <w:ind w:left="900" w:right="920" w:firstLine="6"/>
        <w:spacing w:after="0" w:line="238" w:lineRule="auto"/>
        <w:tabs>
          <w:tab w:leader="none" w:pos="1087"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obligation is part of a contract that has an original expected duration of one year or less and (ii) the right to invoice practical expedient.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Deferred Revenue</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Changes in the Company’s current deferred revenue balance for the three months ended September 30, 2023 and the year ended December 31, 2022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 beginning of period</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3,772</w:t>
            </w:r>
          </w:p>
        </w:tc>
        <w:tc>
          <w:tcPr>
            <w:tcW w:w="0" w:type="dxa"/>
            <w:vAlign w:val="bottom"/>
          </w:tcPr>
          <w:p>
            <w:pPr>
              <w:spacing w:after="0"/>
              <w:rPr>
                <w:sz w:val="1"/>
                <w:szCs w:val="1"/>
                <w:color w:val="auto"/>
              </w:rPr>
            </w:pPr>
          </w:p>
        </w:tc>
      </w:tr>
      <w:tr>
        <w:trPr>
          <w:trHeight w:val="23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Recognized</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(3,718)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(13,052)</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revenue – end of period</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4,112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Deferred revenue balances primarily consist of customer deposits on the Company’s cultivation and extraction solutions equipment. As of September 30, 2023 and December 31, 2022, all of the Company’s deferred revenue balances were reported as current liabilities in the accompanying consolidated balance sheets.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3 — Supplemental Consolidated Balance Sheet Information</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Accounts Receivable</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Accounts receivable consisted of the following as of September 30, 2023 and December 31, 2022:</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8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8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gross</w:t>
            </w:r>
          </w:p>
        </w:tc>
        <w:tc>
          <w:tcPr>
            <w:tcW w:w="242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4"/>
              </w:rPr>
              <w:t>3,722</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5,675</w:t>
            </w:r>
          </w:p>
        </w:tc>
        <w:tc>
          <w:tcPr>
            <w:tcW w:w="0" w:type="dxa"/>
            <w:vAlign w:val="bottom"/>
          </w:tcPr>
          <w:p>
            <w:pPr>
              <w:spacing w:after="0"/>
              <w:rPr>
                <w:sz w:val="1"/>
                <w:szCs w:val="1"/>
                <w:color w:val="auto"/>
              </w:rPr>
            </w:pPr>
          </w:p>
        </w:tc>
      </w:tr>
      <w:tr>
        <w:trPr>
          <w:trHeight w:val="257"/>
        </w:trPr>
        <w:tc>
          <w:tcPr>
            <w:tcW w:w="2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center"/>
              <w:ind w:left="143"/>
              <w:spacing w:after="0"/>
              <w:rPr>
                <w:sz w:val="20"/>
                <w:szCs w:val="20"/>
                <w:color w:val="auto"/>
              </w:rPr>
            </w:pPr>
            <w:r>
              <w:rPr>
                <w:rFonts w:ascii="Times New Roman" w:cs="Times New Roman" w:eastAsia="Times New Roman" w:hAnsi="Times New Roman"/>
                <w:sz w:val="16"/>
                <w:szCs w:val="16"/>
                <w:color w:val="auto"/>
                <w:w w:val="98"/>
              </w:rPr>
              <w:t>(2,535)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(4,605)</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800" w:type="dxa"/>
            <w:vAlign w:val="bottom"/>
            <w:vMerge w:val="continue"/>
            <w:shd w:val="clear" w:color="auto" w:fill="CCEEFF"/>
          </w:tcPr>
          <w:p>
            <w:pPr>
              <w:spacing w:after="0"/>
              <w:rPr>
                <w:sz w:val="20"/>
                <w:szCs w:val="20"/>
                <w:color w:val="auto"/>
              </w:rPr>
            </w:pPr>
          </w:p>
        </w:tc>
        <w:tc>
          <w:tcPr>
            <w:tcW w:w="242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center"/>
              <w:ind w:left="143"/>
              <w:spacing w:after="0"/>
              <w:rPr>
                <w:sz w:val="20"/>
                <w:szCs w:val="20"/>
                <w:color w:val="auto"/>
              </w:rPr>
            </w:pPr>
            <w:r>
              <w:rPr>
                <w:rFonts w:ascii="Times New Roman" w:cs="Times New Roman" w:eastAsia="Times New Roman" w:hAnsi="Times New Roman"/>
                <w:sz w:val="16"/>
                <w:szCs w:val="16"/>
                <w:color w:val="auto"/>
                <w:w w:val="94"/>
              </w:rPr>
              <w:t>1,187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8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1388"/>
              <w:spacing w:after="0"/>
              <w:rPr>
                <w:sz w:val="20"/>
                <w:szCs w:val="20"/>
                <w:color w:val="auto"/>
              </w:rPr>
            </w:pPr>
            <w:r>
              <w:rPr>
                <w:rFonts w:ascii="Times New Roman" w:cs="Times New Roman" w:eastAsia="Times New Roman" w:hAnsi="Times New Roman"/>
                <w:sz w:val="16"/>
                <w:szCs w:val="16"/>
                <w:color w:val="auto"/>
              </w:rPr>
              <w:t>F-87</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08" w:name="page209"/>
    <w:bookmarkEnd w:id="20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3 — Supplemental Consolidated Balance Sheet Information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changes in the allowance for credit losses accounts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 – beginning of period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4,605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1,415</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(Recovery of) allowance for credit 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4,928</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Write-offs of uncollectible accounts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Other adjustments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losses – end of period</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920" w:type="dxa"/>
            <w:vAlign w:val="bottom"/>
            <w:vMerge w:val="continue"/>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2,535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4,605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recognized a net recovery of bad debt income of $0.4 million, relative to a bad debt expense of $0.4 million, for the three months ended September 30, 2023 and 2022, respectively, and a net recovery of bad debt of $1.0 million, relative to a bad debt expense of $1.9 million, for the nine months ended September 30, 2023 and 2022, respectively.</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Prepaid expenses and other current assets consisted of the following as of September 30, 2023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8"/>
        </w:trPr>
        <w:tc>
          <w:tcPr>
            <w:tcW w:w="4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settlement receivables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0" w:type="dxa"/>
            <w:vAlign w:val="bottom"/>
          </w:tcPr>
          <w:p>
            <w:pPr>
              <w:spacing w:after="0"/>
              <w:rPr>
                <w:sz w:val="20"/>
                <w:szCs w:val="20"/>
                <w:color w:val="auto"/>
              </w:rPr>
            </w:pP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other</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0" w:type="dxa"/>
            <w:vAlign w:val="bottom"/>
          </w:tcPr>
          <w:p>
            <w:pPr>
              <w:spacing w:after="0"/>
              <w:rPr>
                <w:sz w:val="21"/>
                <w:szCs w:val="21"/>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Prepaid software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Pr>
          <w:p>
            <w:pPr>
              <w:spacing w:after="0"/>
              <w:rPr>
                <w:sz w:val="20"/>
                <w:szCs w:val="20"/>
                <w:color w:val="auto"/>
              </w:rPr>
            </w:pP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materials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 w:type="dxa"/>
            <w:vAlign w:val="bottom"/>
          </w:tcPr>
          <w:p>
            <w:pPr>
              <w:spacing w:after="0"/>
              <w:rPr>
                <w:sz w:val="21"/>
                <w:szCs w:val="21"/>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Deferred issuance costs, net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20" w:type="dxa"/>
            <w:vAlign w:val="bottom"/>
          </w:tcPr>
          <w:p>
            <w:pPr>
              <w:spacing w:after="0"/>
              <w:rPr>
                <w:sz w:val="20"/>
                <w:szCs w:val="20"/>
                <w:color w:val="auto"/>
              </w:rPr>
            </w:pP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receivables, other</w:t>
            </w: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20" w:type="dxa"/>
            <w:vAlign w:val="bottom"/>
          </w:tcPr>
          <w:p>
            <w:pPr>
              <w:spacing w:after="0"/>
              <w:rPr>
                <w:sz w:val="22"/>
                <w:szCs w:val="22"/>
                <w:color w:val="auto"/>
              </w:rPr>
            </w:pPr>
          </w:p>
        </w:tc>
      </w:tr>
      <w:tr>
        <w:trPr>
          <w:trHeight w:val="231"/>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1,510</w:t>
            </w:r>
          </w:p>
        </w:tc>
      </w:tr>
      <w:tr>
        <w:trPr>
          <w:trHeight w:val="20"/>
        </w:trPr>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Property and equipment, net consisted of the following as of September 30, 2023 and December 31, 2022:</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2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Leased equipment</w:t>
            </w:r>
          </w:p>
        </w:tc>
        <w:tc>
          <w:tcPr>
            <w:tcW w:w="196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4,465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1,111</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1,049</w:t>
            </w: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office equipment</w:t>
            </w: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laboratory equipment</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Trade show assets</w:t>
            </w: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1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Total property and equipment, gross</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8,137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4,973</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1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(2,372)</w:t>
            </w:r>
          </w:p>
        </w:tc>
        <w:tc>
          <w:tcPr>
            <w:tcW w:w="0" w:type="dxa"/>
            <w:vAlign w:val="bottom"/>
          </w:tcPr>
          <w:p>
            <w:pPr>
              <w:spacing w:after="0"/>
              <w:rPr>
                <w:sz w:val="1"/>
                <w:szCs w:val="1"/>
                <w:color w:val="auto"/>
              </w:rPr>
            </w:pPr>
          </w:p>
        </w:tc>
      </w:tr>
      <w:tr>
        <w:trPr>
          <w:trHeight w:val="257"/>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7,443</w:t>
            </w:r>
          </w:p>
        </w:tc>
        <w:tc>
          <w:tcPr>
            <w:tcW w:w="0" w:type="dxa"/>
            <w:vAlign w:val="bottom"/>
          </w:tcPr>
          <w:p>
            <w:pPr>
              <w:spacing w:after="0"/>
              <w:rPr>
                <w:sz w:val="1"/>
                <w:szCs w:val="1"/>
                <w:color w:val="auto"/>
              </w:rPr>
            </w:pPr>
          </w:p>
        </w:tc>
      </w:tr>
      <w:tr>
        <w:trPr>
          <w:trHeight w:val="20"/>
        </w:trPr>
        <w:tc>
          <w:tcPr>
            <w:tcW w:w="3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174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260" w:type="dxa"/>
            <w:vAlign w:val="bottom"/>
            <w:vMerge w:val="continue"/>
            <w:shd w:val="clear" w:color="auto" w:fill="CCEEFF"/>
          </w:tcPr>
          <w:p>
            <w:pPr>
              <w:spacing w:after="0"/>
              <w:rPr>
                <w:sz w:val="20"/>
                <w:szCs w:val="20"/>
                <w:color w:val="auto"/>
              </w:rPr>
            </w:pPr>
          </w:p>
        </w:tc>
        <w:tc>
          <w:tcPr>
            <w:tcW w:w="19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8,385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1388"/>
              <w:spacing w:after="0"/>
              <w:rPr>
                <w:sz w:val="20"/>
                <w:szCs w:val="20"/>
                <w:color w:val="auto"/>
              </w:rPr>
            </w:pPr>
            <w:r>
              <w:rPr>
                <w:rFonts w:ascii="Times New Roman" w:cs="Times New Roman" w:eastAsia="Times New Roman" w:hAnsi="Times New Roman"/>
                <w:sz w:val="16"/>
                <w:szCs w:val="16"/>
                <w:color w:val="auto"/>
              </w:rPr>
              <w:t>F-88</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09" w:name="page210"/>
    <w:bookmarkEnd w:id="20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3 — Supplemental Consolidated Balance Sheet Information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Depreciation expense for the three months ended September 30, 2023 and 2022 was $0.5 million and $0.4 million, respectively, and $1.5 million and $1.2 million for the nine months ended September 30, 2023 and 2022, respectively. Depreciation expense is recorded within general and administrative expenses, research and development expenses, and selling and marketing expenses depending on the nature of the property and equipment depreciated.</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Other Non-Current Assets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Other non-current assets consisted of the following as of September 30, 2023 and December 31, 2022:</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Security deposits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57"/>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deferred commissions expense</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38"/>
        </w:trPr>
        <w:tc>
          <w:tcPr>
            <w:tcW w:w="4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Accrued Expenses and Other Current Liabilities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 as of September 30, 2023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tax payable</w:t>
            </w:r>
            <w:r>
              <w:rPr>
                <w:rFonts w:ascii="Times New Roman" w:cs="Times New Roman" w:eastAsia="Times New Roman" w:hAnsi="Times New Roman"/>
                <w:sz w:val="19"/>
                <w:szCs w:val="19"/>
                <w:color w:val="auto"/>
                <w:vertAlign w:val="superscript"/>
              </w:rPr>
              <w:t>(1)</w:t>
            </w: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5,950</w:t>
            </w:r>
          </w:p>
        </w:tc>
        <w:tc>
          <w:tcPr>
            <w:tcW w:w="20" w:type="dxa"/>
            <w:vAlign w:val="bottom"/>
          </w:tcPr>
          <w:p>
            <w:pPr>
              <w:spacing w:after="0"/>
              <w:rPr>
                <w:sz w:val="21"/>
                <w:szCs w:val="21"/>
                <w:color w:val="auto"/>
              </w:rPr>
            </w:pPr>
          </w:p>
        </w:tc>
      </w:tr>
      <w:tr>
        <w:trPr>
          <w:trHeight w:val="264"/>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acquisition liabilities</w:t>
            </w:r>
            <w:r>
              <w:rPr>
                <w:rFonts w:ascii="Times New Roman" w:cs="Times New Roman" w:eastAsia="Times New Roman" w:hAnsi="Times New Roman"/>
                <w:sz w:val="19"/>
                <w:szCs w:val="19"/>
                <w:color w:val="auto"/>
                <w:vertAlign w:val="superscript"/>
              </w:rPr>
              <w:t>(2)</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2,180</w:t>
            </w:r>
          </w:p>
        </w:tc>
        <w:tc>
          <w:tcPr>
            <w:tcW w:w="12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3,502</w:t>
            </w: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construction costs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interest expense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1,041</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related fees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warranty 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Accrued inventory purchases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consulting fees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21"/>
                <w:szCs w:val="21"/>
                <w:color w:val="auto"/>
              </w:rPr>
            </w:pPr>
          </w:p>
        </w:tc>
      </w:t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Pr>
          <w:p>
            <w:pPr>
              <w:spacing w:after="0"/>
              <w:rPr>
                <w:sz w:val="20"/>
                <w:szCs w:val="20"/>
                <w:color w:val="auto"/>
              </w:rPr>
            </w:pPr>
          </w:p>
        </w:tc>
      </w:tr>
      <w:tr>
        <w:trPr>
          <w:trHeight w:val="26"/>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22"/>
                <w:szCs w:val="22"/>
                <w:color w:val="auto"/>
              </w:rPr>
            </w:pPr>
          </w:p>
        </w:tc>
      </w:tr>
      <w:tr>
        <w:trPr>
          <w:trHeight w:val="231"/>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12,824</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2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jc w:val="both"/>
        <w:ind w:left="1300" w:right="900" w:hanging="394"/>
        <w:spacing w:after="0" w:line="258" w:lineRule="auto"/>
        <w:tabs>
          <w:tab w:leader="none" w:pos="13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jc w:val="both"/>
        <w:ind w:left="1300" w:right="900" w:hanging="394"/>
        <w:spacing w:after="0" w:line="265" w:lineRule="auto"/>
        <w:tabs>
          <w:tab w:leader="none" w:pos="13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Accrued acquisition liabilities includes both the contingent consideration and the value of held back Common Stock associated with the 2022 acquisition of Lab Society and the 2021 acquisitions of Precision, Cascade and PurePressure.</w:t>
      </w:r>
    </w:p>
    <w:p>
      <w:pPr>
        <w:spacing w:after="0" w:line="3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Accrued Warranty Costs</w:t>
      </w:r>
    </w:p>
    <w:p>
      <w:pPr>
        <w:spacing w:after="0" w:line="118"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activity related to the Company’s accrued liability for estimated future warranty costs: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Warranty accrual – beginning of period</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Liabilities accrued for warranties issued during the period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Warranty accruals paid during the during</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Warranty accrual – end of period</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ind w:left="3460"/>
              <w:spacing w:after="0"/>
              <w:rPr>
                <w:sz w:val="20"/>
                <w:szCs w:val="20"/>
                <w:color w:val="auto"/>
              </w:rPr>
            </w:pPr>
            <w:r>
              <w:rPr>
                <w:rFonts w:ascii="Times New Roman" w:cs="Times New Roman" w:eastAsia="Times New Roman" w:hAnsi="Times New Roman"/>
                <w:sz w:val="16"/>
                <w:szCs w:val="16"/>
                <w:color w:val="auto"/>
              </w:rPr>
              <w:t>F-89</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84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10" w:name="page211"/>
    <w:bookmarkEnd w:id="21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4 — Fair Value Measures</w:t>
      </w:r>
    </w:p>
    <w:p>
      <w:pPr>
        <w:spacing w:after="0" w:line="15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Fair Values of Assets and Liabilities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Level 1: Observable inputs such as quoted prices for identical assets or liabilities in active markets.</w:t>
      </w:r>
    </w:p>
    <w:p>
      <w:pPr>
        <w:spacing w:after="0" w:line="200" w:lineRule="exact"/>
        <w:rPr>
          <w:sz w:val="20"/>
          <w:szCs w:val="20"/>
          <w:color w:val="auto"/>
        </w:rPr>
      </w:pPr>
    </w:p>
    <w:p>
      <w:pPr>
        <w:ind w:left="1880" w:right="920" w:hanging="587"/>
        <w:spacing w:after="0" w:line="259" w:lineRule="auto"/>
        <w:rPr>
          <w:sz w:val="20"/>
          <w:szCs w:val="20"/>
          <w:color w:val="auto"/>
        </w:rPr>
      </w:pPr>
      <w:r>
        <w:rPr>
          <w:rFonts w:ascii="Times New Roman" w:cs="Times New Roman" w:eastAsia="Times New Roman" w:hAnsi="Times New Roman"/>
          <w:sz w:val="16"/>
          <w:szCs w:val="16"/>
          <w:color w:val="auto"/>
        </w:rPr>
        <w:t>Level 2: Other inputs that are observable directly or indirectly, such as quoted prices for similar instruments in active markets or for similar markets that are not active.</w:t>
      </w:r>
    </w:p>
    <w:p>
      <w:pPr>
        <w:spacing w:after="0" w:line="119" w:lineRule="exact"/>
        <w:rPr>
          <w:sz w:val="20"/>
          <w:szCs w:val="20"/>
          <w:color w:val="auto"/>
        </w:rPr>
      </w:pPr>
    </w:p>
    <w:p>
      <w:pPr>
        <w:ind w:left="1880" w:right="920" w:hanging="587"/>
        <w:spacing w:after="0" w:line="259" w:lineRule="auto"/>
        <w:rPr>
          <w:sz w:val="20"/>
          <w:szCs w:val="20"/>
          <w:color w:val="auto"/>
        </w:rPr>
      </w:pPr>
      <w:r>
        <w:rPr>
          <w:rFonts w:ascii="Times New Roman" w:cs="Times New Roman" w:eastAsia="Times New Roman" w:hAnsi="Times New Roman"/>
          <w:sz w:val="16"/>
          <w:szCs w:val="16"/>
          <w:color w:val="auto"/>
        </w:rPr>
        <w:t>Level 3: Unobservable inputs for which there is little or no market data which require the Company to develop its own assumptions about how market participants would price the asset or liability.</w:t>
      </w:r>
    </w:p>
    <w:p>
      <w:pPr>
        <w:spacing w:after="0" w:line="15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95"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At September 30, 2023 and December 31, 2022, the Company’s assets and liabilities measured at fair value on a recurring basis were as follows:</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8"/>
          </w:tcPr>
          <w:p>
            <w:pPr>
              <w:jc w:val="center"/>
              <w:ind w:left="83"/>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10"/>
          </w:tcPr>
          <w:p>
            <w:pPr>
              <w:jc w:val="right"/>
              <w:ind w:right="323"/>
              <w:spacing w:after="0" w:line="146"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5"/>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Using Input Types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Using Input Types</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9"/>
                <w:szCs w:val="19"/>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9"/>
                <w:szCs w:val="19"/>
                <w:color w:val="auto"/>
              </w:rPr>
            </w:pPr>
          </w:p>
        </w:tc>
        <w:tc>
          <w:tcPr>
            <w:tcW w:w="62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9"/>
                <w:szCs w:val="19"/>
                <w:color w:val="auto"/>
              </w:rPr>
            </w:pPr>
          </w:p>
        </w:tc>
        <w:tc>
          <w:tcPr>
            <w:tcW w:w="5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9"/>
                <w:szCs w:val="19"/>
                <w:color w:val="auto"/>
              </w:rPr>
            </w:pPr>
          </w:p>
        </w:tc>
        <w:tc>
          <w:tcPr>
            <w:tcW w:w="12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Level 2  Level 3</w:t>
            </w:r>
          </w:p>
        </w:tc>
        <w:tc>
          <w:tcPr>
            <w:tcW w:w="1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Mutual funds (included in cash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equivalents)</w:t>
            </w:r>
          </w:p>
        </w:tc>
        <w:tc>
          <w:tcPr>
            <w:tcW w:w="220" w:type="dxa"/>
            <w:vAlign w:val="bottom"/>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3"/>
          </w:tcPr>
          <w:p>
            <w:pPr>
              <w:jc w:val="right"/>
              <w:ind w:right="85"/>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ind w:right="24"/>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2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3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Warrant liabilities – January 2022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Warrant liabilities – March 2022</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warrants</w:t>
            </w:r>
          </w:p>
        </w:tc>
        <w:tc>
          <w:tcPr>
            <w:tcW w:w="2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vMerge w:val="continue"/>
          </w:tcPr>
          <w:p>
            <w:pPr>
              <w:spacing w:after="0"/>
              <w:rPr>
                <w:sz w:val="14"/>
                <w:szCs w:val="14"/>
                <w:color w:val="auto"/>
              </w:rPr>
            </w:pPr>
          </w:p>
        </w:tc>
        <w:tc>
          <w:tcPr>
            <w:tcW w:w="2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Warrant liabilities – August 2022</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00" w:type="dxa"/>
            <w:vAlign w:val="bottom"/>
            <w:gridSpan w:val="2"/>
          </w:tcPr>
          <w:p>
            <w:pPr>
              <w:spacing w:after="0" w:line="167" w:lineRule="exact"/>
              <w:rPr>
                <w:sz w:val="20"/>
                <w:szCs w:val="20"/>
                <w:color w:val="auto"/>
              </w:rPr>
            </w:pPr>
            <w:r>
              <w:rPr>
                <w:rFonts w:ascii="Times New Roman" w:cs="Times New Roman" w:eastAsia="Times New Roman" w:hAnsi="Times New Roman"/>
                <w:sz w:val="16"/>
                <w:szCs w:val="16"/>
                <w:color w:val="auto"/>
              </w:rPr>
              <w:t>Warrant liabilities – December</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2022 warrants</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2,330</w:t>
            </w:r>
          </w:p>
        </w:tc>
        <w:tc>
          <w:tcPr>
            <w:tcW w:w="1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5,854</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right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2,386</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Fair Value of Financial Instruments</w:t>
      </w:r>
    </w:p>
    <w:p>
      <w:pPr>
        <w:spacing w:after="0" w:line="11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92" w:lineRule="exact"/>
        <w:rPr>
          <w:sz w:val="20"/>
          <w:szCs w:val="20"/>
          <w:color w:val="auto"/>
        </w:rPr>
      </w:pPr>
    </w:p>
    <w:p>
      <w:pPr>
        <w:ind w:left="1680" w:right="920" w:hanging="389"/>
        <w:spacing w:after="0" w:line="331" w:lineRule="auto"/>
        <w:tabs>
          <w:tab w:leader="none" w:pos="16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accounts receivable, accounts payable, accrued expenses and deferred revenue liabilities approximate their fair values, based on the short-term nature of these instruments.</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1" w:name="page212"/>
    <w:bookmarkEnd w:id="21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680" w:right="900" w:hanging="389"/>
        <w:spacing w:after="0" w:line="259" w:lineRule="auto"/>
        <w:tabs>
          <w:tab w:leader="none" w:pos="16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Marketable securities classified as current held-to-maturity securities are recorded at amortized cost, which at September 30, 2023, approximated fair value.</w:t>
      </w:r>
    </w:p>
    <w:p>
      <w:pPr>
        <w:spacing w:after="0" w:line="83"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deferred consideration was recorded in connection with acquisitions during the six months ended September 30, 2023 and fiscal 2022 using an estimated fair value discount at the time of the transactions. As of September 30, 2023 and December 31, 2022, the carrying value of the deferred consideration approximated fair value.</w:t>
      </w:r>
    </w:p>
    <w:p>
      <w:pPr>
        <w:spacing w:after="0" w:line="95" w:lineRule="exact"/>
        <w:rPr>
          <w:rFonts w:ascii="Times New Roman" w:cs="Times New Roman" w:eastAsia="Times New Roman" w:hAnsi="Times New Roman"/>
          <w:sz w:val="16"/>
          <w:szCs w:val="16"/>
          <w:color w:val="auto"/>
        </w:rPr>
      </w:pPr>
    </w:p>
    <w:p>
      <w:pPr>
        <w:jc w:val="both"/>
        <w:ind w:left="1680" w:right="920" w:hanging="389"/>
        <w:spacing w:after="0" w:line="243" w:lineRule="auto"/>
        <w:tabs>
          <w:tab w:leader="none" w:pos="168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Marketable Securities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As of September 30, 2023,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composition of the Company’s marketable securities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4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marketable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Money market funds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4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bonds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57"/>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Mutual funds</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38"/>
        </w:trPr>
        <w:tc>
          <w:tcPr>
            <w:tcW w:w="46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w:t>
      </w:r>
    </w:p>
    <w:p>
      <w:pPr>
        <w:spacing w:after="0" w:line="120" w:lineRule="exact"/>
        <w:rPr>
          <w:sz w:val="20"/>
          <w:szCs w:val="20"/>
          <w:color w:val="auto"/>
        </w:rPr>
      </w:pPr>
    </w:p>
    <w:p>
      <w:pPr>
        <w:jc w:val="both"/>
        <w:ind w:left="900" w:right="900" w:firstLine="384"/>
        <w:spacing w:after="0" w:line="278" w:lineRule="auto"/>
        <w:rPr>
          <w:sz w:val="20"/>
          <w:szCs w:val="20"/>
          <w:color w:val="auto"/>
        </w:rPr>
      </w:pPr>
      <w:r>
        <w:rPr>
          <w:rFonts w:ascii="Times New Roman" w:cs="Times New Roman" w:eastAsia="Times New Roman" w:hAnsi="Times New Roman"/>
          <w:sz w:val="14"/>
          <w:szCs w:val="14"/>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The company recorded no change in contingent consideration for the nine months ended September 30, 2023. The contingent earn-out payments to the sellers for each acquisition are based on the achievement of certain revenue thresholds.</w:t>
      </w:r>
    </w:p>
    <w:p>
      <w:pPr>
        <w:spacing w:after="0" w:line="110"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6,137</w:t>
            </w: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Accrued contingent consideration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Accretion of contingent consideration</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Payments made on contingent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(5,550)</w:t>
            </w: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(2,156)</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Contingent consideration – end of period</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included contingent consideration within accrued expenses and other current liabilities on its consolidated balance sheets as of September 30, 2023 and December 31, 2022.</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2" w:name="page213"/>
    <w:bookmarkEnd w:id="21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See below for additional information related to each acquisition’s contingent consideration.</w:t>
      </w:r>
    </w:p>
    <w:p>
      <w:pPr>
        <w:spacing w:after="0" w:line="18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PurePressure</w:t>
      </w:r>
    </w:p>
    <w:p>
      <w:pPr>
        <w:spacing w:after="0" w:line="120" w:lineRule="exact"/>
        <w:rPr>
          <w:sz w:val="20"/>
          <w:szCs w:val="20"/>
          <w:color w:val="auto"/>
        </w:rPr>
      </w:pPr>
    </w:p>
    <w:p>
      <w:pPr>
        <w:jc w:val="both"/>
        <w:ind w:left="900" w:right="920" w:firstLine="384"/>
        <w:spacing w:after="0" w:line="238" w:lineRule="auto"/>
        <w:rPr>
          <w:sz w:val="20"/>
          <w:szCs w:val="20"/>
          <w:color w:val="auto"/>
        </w:rPr>
      </w:pPr>
      <w:r>
        <w:rPr>
          <w:rFonts w:ascii="Times New Roman" w:cs="Times New Roman" w:eastAsia="Times New Roman" w:hAnsi="Times New Roman"/>
          <w:sz w:val="16"/>
          <w:szCs w:val="16"/>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$0.6 million and their second earn-out by approximately $0.2 million. As required by ASC Topic 805 Business Combination (“ASC 805”), the change in contingent consideration was recorded as a reduction in operating expenses during the third and fourth quarters of 2022, respectively.</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Lab Society</w:t>
      </w:r>
    </w:p>
    <w:p>
      <w:pPr>
        <w:spacing w:after="0" w:line="120" w:lineRule="exact"/>
        <w:rPr>
          <w:sz w:val="20"/>
          <w:szCs w:val="20"/>
          <w:color w:val="auto"/>
        </w:rPr>
      </w:pPr>
    </w:p>
    <w:p>
      <w:pPr>
        <w:jc w:val="both"/>
        <w:ind w:left="900" w:right="900" w:firstLine="384"/>
        <w:spacing w:after="0" w:line="277" w:lineRule="auto"/>
        <w:rPr>
          <w:sz w:val="20"/>
          <w:szCs w:val="20"/>
          <w:color w:val="auto"/>
        </w:rPr>
      </w:pPr>
      <w:r>
        <w:rPr>
          <w:rFonts w:ascii="Times New Roman" w:cs="Times New Roman" w:eastAsia="Times New Roman" w:hAnsi="Times New Roman"/>
          <w:sz w:val="14"/>
          <w:szCs w:val="14"/>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and their second earn-out by approximately $0.5 million. As required by ASC 805, the change in contingent consideration was recorded as a reduction in operating expenses during the second and fourth quarters of 2022, respectively.</w:t>
      </w:r>
    </w:p>
    <w:p>
      <w:pPr>
        <w:spacing w:after="0" w:line="14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Contingent Consideration — Precision and Cascade</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$0.1 million, to reflect the final contingent consideration amount due. This amount was recorded as an increase in operating expenses during the second quarter of 2022. During the period ended December 31, 2022, the Company made the final payment on the contingent consideration of approximately $5.6 million to the members of Precision and Cascade.</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Liabilities</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estimated fair value of the warrant liabilities on September 30,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95"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However, inherent uncertainties are involved. If factors or assumptions change, the estimated fair values could be materially different.</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3" w:name="page214"/>
    <w:bookmarkEnd w:id="21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January 2022 Warrants</w:t>
      </w:r>
    </w:p>
    <w:p>
      <w:pPr>
        <w:spacing w:after="0" w:line="120"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as of September 30, 2023 and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4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34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1,496.00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1,496.00</w:t>
            </w:r>
          </w:p>
        </w:tc>
      </w:tr>
      <w:tr>
        <w:trPr>
          <w:trHeight w:val="26"/>
        </w:trPr>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4.58</w:t>
            </w:r>
          </w:p>
        </w:tc>
      </w:tr>
      <w:tr>
        <w:trPr>
          <w:trHeight w:val="238"/>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98.30%</w:t>
            </w:r>
          </w:p>
        </w:tc>
      </w:tr>
      <w:tr>
        <w:trPr>
          <w:trHeight w:val="26"/>
        </w:trPr>
        <w:tc>
          <w:tcPr>
            <w:tcW w:w="3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 treasury yield</w:t>
            </w: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r>
      <w:tr>
        <w:trPr>
          <w:trHeight w:val="26"/>
        </w:trPr>
        <w:tc>
          <w:tcPr>
            <w:tcW w:w="34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nine months ended September 30, 2023:</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8"/>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8"/>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5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6"/>
                <w:szCs w:val="16"/>
                <w:color w:val="auto"/>
              </w:rPr>
            </w:pPr>
          </w:p>
        </w:tc>
      </w:tr>
      <w:tr>
        <w:trPr>
          <w:trHeight w:val="28"/>
        </w:trPr>
        <w:tc>
          <w:tcPr>
            <w:tcW w:w="5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24"/>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57"/>
        </w:trPr>
        <w:tc>
          <w:tcPr>
            <w:tcW w:w="5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CEEFF"/>
            </w:tcBorders>
          </w:tcPr>
          <w:p>
            <w:pPr>
              <w:spacing w:after="0"/>
              <w:rPr>
                <w:sz w:val="22"/>
                <w:szCs w:val="22"/>
                <w:color w:val="auto"/>
              </w:rPr>
            </w:pPr>
          </w:p>
        </w:tc>
      </w:tr>
      <w:tr>
        <w:trPr>
          <w:trHeight w:val="231"/>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March 31, 2023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r>
      <w:tr>
        <w:trPr>
          <w:trHeight w:val="231"/>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June 30, 2023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r>
      <w:tr>
        <w:trPr>
          <w:trHeight w:val="238"/>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September 30, 2023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March 2022 Warrants</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as of September 30, 2023 and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2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6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266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2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430.00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430.00</w:t>
            </w:r>
          </w:p>
        </w:tc>
      </w:tr>
      <w:tr>
        <w:trPr>
          <w:trHeight w:val="26"/>
        </w:trPr>
        <w:tc>
          <w:tcPr>
            <w:tcW w:w="2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5.13</w:t>
            </w: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6"/>
        </w:trPr>
        <w:tc>
          <w:tcPr>
            <w:tcW w:w="26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4"/>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 treasury yield</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336"/>
        </w:trPr>
        <w:tc>
          <w:tcPr>
            <w:tcW w:w="26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1240"/>
              <w:spacing w:after="0"/>
              <w:rPr>
                <w:sz w:val="20"/>
                <w:szCs w:val="20"/>
                <w:color w:val="auto"/>
              </w:rPr>
            </w:pPr>
            <w:r>
              <w:rPr>
                <w:rFonts w:ascii="Times New Roman" w:cs="Times New Roman" w:eastAsia="Times New Roman" w:hAnsi="Times New Roman"/>
                <w:sz w:val="16"/>
                <w:szCs w:val="16"/>
                <w:color w:val="auto"/>
              </w:rPr>
              <w:t>F-93</w:t>
            </w: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214" w:name="page215"/>
    <w:bookmarkEnd w:id="21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nine months ended September 30, 2023:</w:t>
      </w:r>
    </w:p>
    <w:p>
      <w:pPr>
        <w:sectPr>
          <w:pgSz w:w="11900" w:h="16840" w:orient="portrait"/>
          <w:cols w:equalWidth="0" w:num="1">
            <w:col w:w="9020"/>
          </w:cols>
          <w:pgMar w:left="1440" w:top="5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36195</wp:posOffset>
            </wp:positionV>
            <wp:extent cx="4573270" cy="167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Warrant liabilities – beginning of period</w:t>
      </w:r>
    </w:p>
    <w:p>
      <w:pPr>
        <w:spacing w:after="0" w:line="1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28575</wp:posOffset>
            </wp:positionV>
            <wp:extent cx="4573270" cy="167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Warrant liabilities – March 31, 2023</w:t>
      </w:r>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28575</wp:posOffset>
            </wp:positionV>
            <wp:extent cx="4573270" cy="167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Warrant liabilities – June 30, 2023</w:t>
      </w:r>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Change in estimated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28575</wp:posOffset>
            </wp:positionV>
            <wp:extent cx="4573270" cy="167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73270" cy="167640"/>
                    </a:xfrm>
                    <a:prstGeom prst="rect">
                      <a:avLst/>
                    </a:prstGeom>
                    <a:noFill/>
                  </pic:spPr>
                </pic:pic>
              </a:graphicData>
            </a:graphic>
          </wp:anchor>
        </w:drawing>
      </w:r>
    </w:p>
    <w:p>
      <w:pPr>
        <w:spacing w:after="0" w:line="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Warrant liabilities – September 30, 2023</w:t>
      </w: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August 2022 Warrants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Nine Months</w:t>
      </w:r>
    </w:p>
    <w:p>
      <w:pPr>
        <w:spacing w:after="0" w:line="25"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Ended</w:t>
      </w:r>
    </w:p>
    <w:p>
      <w:pPr>
        <w:spacing w:after="0" w:line="7"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7"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74" w:lineRule="exact"/>
        <w:rPr>
          <w:sz w:val="20"/>
          <w:szCs w:val="20"/>
          <w:color w:val="auto"/>
        </w:rPr>
      </w:pPr>
    </w:p>
    <w:p>
      <w:pPr>
        <w:ind w:left="920" w:hanging="912"/>
        <w:spacing w:after="0"/>
        <w:tabs>
          <w:tab w:leader="none" w:pos="92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w:t>
      </w:r>
    </w:p>
    <w:p>
      <w:pPr>
        <w:spacing w:after="0" w:line="92"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w:t>
      </w:r>
    </w:p>
    <w:p>
      <w:pPr>
        <w:spacing w:after="0" w:line="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39</w:t>
      </w:r>
    </w:p>
    <w:p>
      <w:pPr>
        <w:spacing w:after="0" w:line="80"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(7)</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32</w:t>
      </w:r>
    </w:p>
    <w:p>
      <w:pPr>
        <w:spacing w:after="0" w:line="80"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(17)</w:t>
      </w:r>
    </w:p>
    <w:p>
      <w:pPr>
        <w:spacing w:after="0" w:line="92" w:lineRule="exact"/>
        <w:rPr>
          <w:sz w:val="20"/>
          <w:szCs w:val="20"/>
          <w:color w:val="auto"/>
        </w:rPr>
      </w:pPr>
    </w:p>
    <w:p>
      <w:pPr>
        <w:ind w:left="920" w:hanging="912"/>
        <w:spacing w:after="0"/>
        <w:tabs>
          <w:tab w:leader="none" w:pos="92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67818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536" w:lineRule="exact"/>
        <w:rPr>
          <w:sz w:val="20"/>
          <w:szCs w:val="20"/>
          <w:color w:val="auto"/>
        </w:rPr>
      </w:pPr>
    </w:p>
    <w:p>
      <w:pPr>
        <w:sectPr>
          <w:pgSz w:w="11900" w:h="16840" w:orient="portrait"/>
          <w:cols w:equalWidth="0" w:num="2">
            <w:col w:w="6180" w:space="720"/>
            <w:col w:w="2120"/>
          </w:cols>
          <w:pgMar w:left="1440" w:top="557" w:right="1440" w:bottom="1440" w:gutter="0" w:footer="0" w:header="0"/>
          <w:type w:val="continuous"/>
        </w:sectPr>
      </w:pPr>
    </w:p>
    <w:p>
      <w:pPr>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as of September 30, 2023 and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338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4"/>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2.17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246.00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246.00</w:t>
            </w:r>
          </w:p>
        </w:tc>
      </w:tr>
      <w:tr>
        <w:trPr>
          <w:trHeight w:val="26"/>
        </w:trPr>
        <w:tc>
          <w:tcPr>
            <w:tcW w:w="3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4.38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5.13</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97.96%</w:t>
            </w:r>
          </w:p>
        </w:tc>
      </w:tr>
      <w:tr>
        <w:trPr>
          <w:trHeight w:val="26"/>
        </w:trPr>
        <w:tc>
          <w:tcPr>
            <w:tcW w:w="3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8"/>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 treasury yield</w:t>
            </w: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6"/>
        </w:trPr>
        <w:tc>
          <w:tcPr>
            <w:tcW w:w="33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nine months ended September 30, 2023:</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8"/>
        </w:trPr>
        <w:tc>
          <w:tcPr>
            <w:tcW w:w="3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68"/>
        </w:trPr>
        <w:tc>
          <w:tcPr>
            <w:tcW w:w="3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28"/>
        </w:trPr>
        <w:tc>
          <w:tcPr>
            <w:tcW w:w="30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4"/>
        </w:trPr>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3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r>
      <w:tr>
        <w:trPr>
          <w:trHeight w:val="231"/>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March 31, 2023</w:t>
            </w:r>
          </w:p>
        </w:tc>
        <w:tc>
          <w:tcPr>
            <w:tcW w:w="2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r>
      <w:tr>
        <w:trPr>
          <w:trHeight w:val="231"/>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June 30, 2023</w:t>
            </w:r>
          </w:p>
        </w:tc>
        <w:tc>
          <w:tcPr>
            <w:tcW w:w="29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w:t>
            </w:r>
          </w:p>
        </w:tc>
      </w:tr>
      <w:tr>
        <w:trPr>
          <w:trHeight w:val="238"/>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September 30, 2023</w:t>
            </w:r>
          </w:p>
        </w:tc>
        <w:tc>
          <w:tcPr>
            <w:tcW w:w="30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00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30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right"/>
              <w:ind w:right="2282"/>
              <w:spacing w:after="0"/>
              <w:rPr>
                <w:sz w:val="20"/>
                <w:szCs w:val="20"/>
                <w:color w:val="auto"/>
              </w:rPr>
            </w:pPr>
            <w:r>
              <w:rPr>
                <w:rFonts w:ascii="Times New Roman" w:cs="Times New Roman" w:eastAsia="Times New Roman" w:hAnsi="Times New Roman"/>
                <w:sz w:val="16"/>
                <w:szCs w:val="16"/>
                <w:color w:val="auto"/>
              </w:rPr>
              <w:t>F-94</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type w:val="continuous"/>
        </w:sectPr>
      </w:pPr>
    </w:p>
    <w:bookmarkStart w:id="215" w:name="page216"/>
    <w:bookmarkEnd w:id="21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4 — Fair Value Measures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December 2022 Warrants</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Company’s assumptions used in the valuation as of September 30, 2023 and for the year ended December 31, 2022:</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33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price</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2.17</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6.66</w:t>
            </w: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Exercise price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6"/>
                <w:szCs w:val="16"/>
                <w:color w:val="auto"/>
              </w:rPr>
              <w:t>3.45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13.00</w:t>
            </w:r>
          </w:p>
        </w:tc>
      </w:tr>
      <w:tr>
        <w:trPr>
          <w:trHeight w:val="26"/>
        </w:trPr>
        <w:tc>
          <w:tcPr>
            <w:tcW w:w="3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4.98</w:t>
            </w: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98.00%</w:t>
            </w:r>
          </w:p>
        </w:tc>
      </w:tr>
      <w:tr>
        <w:trPr>
          <w:trHeight w:val="26"/>
        </w:trPr>
        <w:tc>
          <w:tcPr>
            <w:tcW w:w="3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 – treasury yield</w:t>
            </w: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r>
      <w:tr>
        <w:trPr>
          <w:trHeight w:val="26"/>
        </w:trPr>
        <w:tc>
          <w:tcPr>
            <w:tcW w:w="3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sets forth a summary of the changes in the fair value of the Level 3 warrant liabilities for the nine months ended September 30, 2023:</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68"/>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0"/>
        </w:trPr>
        <w:tc>
          <w:tcPr>
            <w:tcW w:w="6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beginning of period</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2"/>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5,854</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left="344"/>
              <w:spacing w:after="0"/>
              <w:rPr>
                <w:sz w:val="20"/>
                <w:szCs w:val="20"/>
                <w:color w:val="auto"/>
              </w:rPr>
            </w:pPr>
            <w:r>
              <w:rPr>
                <w:rFonts w:ascii="Times New Roman" w:cs="Times New Roman" w:eastAsia="Times New Roman" w:hAnsi="Times New Roman"/>
                <w:sz w:val="16"/>
                <w:szCs w:val="16"/>
                <w:color w:val="auto"/>
                <w:w w:val="98"/>
              </w:rPr>
              <w:t>(3,493)</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March 31, 2023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2,361</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left="364"/>
              <w:spacing w:after="0"/>
              <w:rPr>
                <w:sz w:val="20"/>
                <w:szCs w:val="20"/>
                <w:color w:val="auto"/>
              </w:rPr>
            </w:pPr>
            <w:r>
              <w:rPr>
                <w:rFonts w:ascii="Times New Roman" w:cs="Times New Roman" w:eastAsia="Times New Roman" w:hAnsi="Times New Roman"/>
                <w:sz w:val="16"/>
                <w:szCs w:val="16"/>
                <w:color w:val="auto"/>
                <w:w w:val="99"/>
              </w:rPr>
              <w:t>1,885</w:t>
            </w:r>
          </w:p>
        </w:tc>
        <w:tc>
          <w:tcPr>
            <w:tcW w:w="0" w:type="dxa"/>
            <w:vAlign w:val="bottom"/>
          </w:tcPr>
          <w:p>
            <w:pPr>
              <w:spacing w:after="0"/>
              <w:rPr>
                <w:sz w:val="1"/>
                <w:szCs w:val="1"/>
                <w:color w:val="auto"/>
              </w:rPr>
            </w:pPr>
          </w:p>
        </w:tc>
      </w:tr>
      <w:tr>
        <w:trPr>
          <w:trHeight w:val="20"/>
        </w:trPr>
        <w:tc>
          <w:tcPr>
            <w:tcW w:w="6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June 30, 2023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4,246</w:t>
            </w:r>
          </w:p>
        </w:tc>
        <w:tc>
          <w:tcPr>
            <w:tcW w:w="0" w:type="dxa"/>
            <w:vAlign w:val="bottom"/>
          </w:tcPr>
          <w:p>
            <w:pPr>
              <w:spacing w:after="0"/>
              <w:rPr>
                <w:sz w:val="1"/>
                <w:szCs w:val="1"/>
                <w:color w:val="auto"/>
              </w:rPr>
            </w:pPr>
          </w:p>
        </w:tc>
      </w:t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6"/>
                <w:szCs w:val="16"/>
                <w:color w:val="auto"/>
              </w:rPr>
              <w:t>Change in estimated fair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center"/>
              <w:ind w:left="344"/>
              <w:spacing w:after="0"/>
              <w:rPr>
                <w:sz w:val="20"/>
                <w:szCs w:val="20"/>
                <w:color w:val="auto"/>
              </w:rPr>
            </w:pPr>
            <w:r>
              <w:rPr>
                <w:rFonts w:ascii="Times New Roman" w:cs="Times New Roman" w:eastAsia="Times New Roman" w:hAnsi="Times New Roman"/>
                <w:sz w:val="16"/>
                <w:szCs w:val="16"/>
                <w:color w:val="auto"/>
                <w:w w:val="98"/>
              </w:rPr>
              <w:t>(1,916)</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 – September 30, 2023</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center"/>
              <w:ind w:left="364"/>
              <w:spacing w:after="0"/>
              <w:rPr>
                <w:sz w:val="20"/>
                <w:szCs w:val="20"/>
                <w:color w:val="auto"/>
              </w:rPr>
            </w:pPr>
            <w:r>
              <w:rPr>
                <w:rFonts w:ascii="Times New Roman" w:cs="Times New Roman" w:eastAsia="Times New Roman" w:hAnsi="Times New Roman"/>
                <w:sz w:val="16"/>
                <w:szCs w:val="16"/>
                <w:color w:val="auto"/>
                <w:w w:val="99"/>
              </w:rPr>
              <w:t>2,330</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5 — Loans Receivable</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A portion of the capital raised from the Company’s IPO was allocated to launch the Company’s TTK Solution program. The TTK Solution is the industry’s first -of-its-kind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98" w:lineRule="exact"/>
        <w:rPr>
          <w:sz w:val="20"/>
          <w:szCs w:val="20"/>
          <w:color w:val="auto"/>
        </w:rPr>
      </w:pPr>
    </w:p>
    <w:p>
      <w:pPr>
        <w:jc w:val="both"/>
        <w:ind w:left="900" w:right="920" w:firstLine="384"/>
        <w:spacing w:after="0" w:line="237" w:lineRule="auto"/>
        <w:rPr>
          <w:sz w:val="20"/>
          <w:szCs w:val="20"/>
          <w:color w:val="auto"/>
        </w:rPr>
      </w:pPr>
      <w:r>
        <w:rPr>
          <w:rFonts w:ascii="Times New Roman" w:cs="Times New Roman" w:eastAsia="Times New Roman" w:hAnsi="Times New Roman"/>
          <w:sz w:val="16"/>
          <w:szCs w:val="16"/>
          <w:color w:val="auto"/>
        </w:rPr>
        <w:t>On September 15, 2022, the Company provided a notice of default under the term loan agreement between the Company and Bud &amp; Mary’s (the “Bud &amp; 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current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02"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6" w:name="page217"/>
    <w:bookmarkEnd w:id="21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5 — Loans Receivable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84" w:lineRule="auto"/>
        <w:rPr>
          <w:sz w:val="20"/>
          <w:szCs w:val="20"/>
          <w:color w:val="auto"/>
        </w:rPr>
      </w:pPr>
      <w:r>
        <w:rPr>
          <w:rFonts w:ascii="Times New Roman" w:cs="Times New Roman" w:eastAsia="Times New Roman" w:hAnsi="Times New Roman"/>
          <w:sz w:val="14"/>
          <w:szCs w:val="14"/>
          <w:color w:val="auto"/>
        </w:rPr>
        <w:t>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During the quarter ended June 30, 2023, the Greenstone loan was fully written off against the reserve as a result of the sale of Greenstone to Denver Greens. It was agreed that Denver Greens would not have to pay back Greenstone’s Loan.</w:t>
      </w:r>
    </w:p>
    <w:p>
      <w:pPr>
        <w:spacing w:after="0" w:line="68"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The breakdown of loans receivable by customer as of September 30, 2023 and December 31, 2022 were as follows:</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139</w:t>
            </w:r>
          </w:p>
        </w:tc>
        <w:tc>
          <w:tcPr>
            <w:tcW w:w="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Customer 136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125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9,012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Customer 24096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5,890</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 Non-TTK Solution</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3,178</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credit losses</w:t>
            </w:r>
            <w:r>
              <w:rPr>
                <w:rFonts w:ascii="Times New Roman" w:cs="Times New Roman" w:eastAsia="Times New Roman" w:hAnsi="Times New Roman"/>
                <w:sz w:val="19"/>
                <w:szCs w:val="19"/>
                <w:color w:val="auto"/>
                <w:vertAlign w:val="superscript"/>
              </w:rPr>
              <w:t>(2)(3)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(19,215)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(33,050)</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loan receivable</w:t>
            </w: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shd w:val="clear" w:color="auto" w:fill="CCEEFF"/>
          </w:tcPr>
          <w:p>
            <w:pPr>
              <w:spacing w:after="0"/>
              <w:rPr>
                <w:sz w:val="20"/>
                <w:szCs w:val="20"/>
                <w:color w:val="auto"/>
              </w:rPr>
            </w:pPr>
          </w:p>
        </w:tc>
        <w:tc>
          <w:tcPr>
            <w:tcW w:w="30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300" w:right="920" w:hanging="394"/>
        <w:spacing w:after="0" w:line="262" w:lineRule="auto"/>
        <w:tabs>
          <w:tab w:leader="none" w:pos="13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portion of loan receivable is included within Note 3 — Supplemental Consolidated Balance Sheet Information, included elsewhere in the notes to the consolidated financial statements.</w:t>
      </w:r>
    </w:p>
    <w:p>
      <w:pPr>
        <w:ind w:left="1300" w:hanging="394"/>
        <w:spacing w:after="0"/>
        <w:tabs>
          <w:tab w:leader="none" w:pos="13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balance was written off at December 31, 2022 due to the cancellation of this TTK Solution project.</w:t>
      </w:r>
    </w:p>
    <w:p>
      <w:pPr>
        <w:spacing w:after="0" w:line="7" w:lineRule="exact"/>
        <w:rPr>
          <w:rFonts w:ascii="Times New Roman" w:cs="Times New Roman" w:eastAsia="Times New Roman" w:hAnsi="Times New Roman"/>
          <w:sz w:val="14"/>
          <w:szCs w:val="14"/>
          <w:color w:val="auto"/>
        </w:rPr>
      </w:pPr>
    </w:p>
    <w:p>
      <w:pPr>
        <w:ind w:left="1300" w:right="920" w:hanging="394"/>
        <w:spacing w:after="0" w:line="267" w:lineRule="auto"/>
        <w:tabs>
          <w:tab w:leader="none" w:pos="13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established an allowance for credit losses of approximately $14.7 million related to Bud &amp; Mary’s ongoing litigation. Approximately $4.5 million relates to Hannah.</w:t>
      </w:r>
    </w:p>
    <w:p>
      <w:pPr>
        <w:spacing w:after="0" w:line="8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At this time, the Company is not aware of, nor has it identified any risk or potential performance failure associated with any of its TTK Solution arrangements, other than the noted exceptions of Bud &amp; Mary’s TTK Solution and Greenstone TTK Solution, which is a related party, as described above.</w:t>
      </w:r>
    </w:p>
    <w:p>
      <w:pPr>
        <w:spacing w:after="0" w:line="92"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The Company’s loan receivable from Greenstone was written off in full during the quarter ending June 30, 2023.</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6 — Inventory</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with cost principally determined by the weighted-average cost method on a first- in, first-out basis. Such costs include the acquisition cost for raw materials and operating supplies. The Company’s standard payment terms with suppliers may require making payments in advance of delivery of the Company’s products. The Company’s prepaid inventory is a short -term, non-interest-bearing asset that is applied to the purchase of products once they are delivered.</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Inventory consisted of the following as of September 30, 2023 and December 31, 2022:</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3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3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880" w:type="dxa"/>
            <w:vAlign w:val="bottom"/>
            <w:tcBorders>
              <w:bottom w:val="single" w:sz="8" w:color="CCEEFF"/>
            </w:tcBorders>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Prepaid inventory</w:t>
            </w:r>
          </w:p>
        </w:tc>
        <w:tc>
          <w:tcPr>
            <w:tcW w:w="2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2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13,689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Inventory for resale</w:t>
            </w:r>
          </w:p>
        </w:tc>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1"/>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gross</w:t>
            </w:r>
          </w:p>
        </w:tc>
        <w:tc>
          <w:tcPr>
            <w:tcW w:w="25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Inventory reserves</w:t>
            </w:r>
          </w:p>
        </w:tc>
        <w:tc>
          <w:tcPr>
            <w:tcW w:w="2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(29,845)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(32,759)</w:t>
            </w:r>
          </w:p>
        </w:tc>
        <w:tc>
          <w:tcPr>
            <w:tcW w:w="0" w:type="dxa"/>
            <w:vAlign w:val="bottom"/>
          </w:tcPr>
          <w:p>
            <w:pPr>
              <w:spacing w:after="0"/>
              <w:rPr>
                <w:sz w:val="1"/>
                <w:szCs w:val="1"/>
                <w:color w:val="auto"/>
              </w:rPr>
            </w:pPr>
          </w:p>
        </w:tc>
      </w:tr>
      <w:tr>
        <w:trPr>
          <w:trHeight w:val="20"/>
        </w:trPr>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inventory, net</w:t>
            </w:r>
          </w:p>
        </w:tc>
        <w:tc>
          <w:tcPr>
            <w:tcW w:w="2660" w:type="dxa"/>
            <w:vAlign w:val="bottom"/>
            <w:gridSpan w:val="2"/>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340" w:type="dxa"/>
            <w:vAlign w:val="bottom"/>
            <w:vMerge w:val="continue"/>
            <w:shd w:val="clear" w:color="auto" w:fill="CCEEFF"/>
          </w:tcPr>
          <w:p>
            <w:pPr>
              <w:spacing w:after="0"/>
              <w:rPr>
                <w:sz w:val="20"/>
                <w:szCs w:val="20"/>
                <w:color w:val="auto"/>
              </w:rPr>
            </w:pPr>
          </w:p>
        </w:tc>
        <w:tc>
          <w:tcPr>
            <w:tcW w:w="28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17,724</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3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1388"/>
              <w:spacing w:after="0"/>
              <w:rPr>
                <w:sz w:val="20"/>
                <w:szCs w:val="20"/>
                <w:color w:val="auto"/>
              </w:rPr>
            </w:pPr>
            <w:r>
              <w:rPr>
                <w:rFonts w:ascii="Times New Roman" w:cs="Times New Roman" w:eastAsia="Times New Roman" w:hAnsi="Times New Roman"/>
                <w:sz w:val="16"/>
                <w:szCs w:val="16"/>
                <w:color w:val="auto"/>
              </w:rPr>
              <w:t>F-96</w:t>
            </w: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17" w:name="page218"/>
    <w:bookmarkEnd w:id="21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6 — Inventory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Inventory Reserves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the Company’s inventory reserve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8"/>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8"/>
        </w:trPr>
        <w:tc>
          <w:tcPr>
            <w:tcW w:w="4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4"/>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 – beginning of period</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257"/>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(Decrease) increase in inventory reserves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31,817</w:t>
            </w:r>
          </w:p>
        </w:tc>
      </w:tr>
      <w:tr>
        <w:trPr>
          <w:trHeight w:val="238"/>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Inventory reserves – end of period</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32,759</w:t>
            </w:r>
          </w:p>
        </w:tc>
      </w:tr>
      <w:tr>
        <w:trPr>
          <w:trHeight w:val="20"/>
        </w:trPr>
        <w:tc>
          <w:tcPr>
            <w:tcW w:w="4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7 — Goodwill and Intangible Assets, Net</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has concluded that there was an impairment-triggering event during the quarter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During the quarter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101" w:lineRule="exact"/>
        <w:rPr>
          <w:sz w:val="20"/>
          <w:szCs w:val="20"/>
          <w:color w:val="auto"/>
        </w:rPr>
      </w:pPr>
    </w:p>
    <w:p>
      <w:pPr>
        <w:jc w:val="both"/>
        <w:ind w:left="900" w:right="900" w:firstLine="384"/>
        <w:spacing w:after="0" w:line="284" w:lineRule="auto"/>
        <w:rPr>
          <w:sz w:val="20"/>
          <w:szCs w:val="20"/>
          <w:color w:val="auto"/>
        </w:rPr>
      </w:pPr>
      <w:r>
        <w:rPr>
          <w:rFonts w:ascii="Times New Roman" w:cs="Times New Roman" w:eastAsia="Times New Roman" w:hAnsi="Times New Roman"/>
          <w:sz w:val="14"/>
          <w:szCs w:val="14"/>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pacing w:after="0" w:line="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Changes in goodwill consisted of the following:</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0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 beginning of period</w:t>
            </w:r>
          </w:p>
        </w:tc>
        <w:tc>
          <w:tcPr>
            <w:tcW w:w="31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Goodwill acquired during period</w:t>
            </w:r>
          </w:p>
        </w:tc>
        <w:tc>
          <w:tcPr>
            <w:tcW w:w="2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4,368</w:t>
            </w: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purchase accounting adjustment</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loss</w:t>
            </w:r>
          </w:p>
        </w:tc>
        <w:tc>
          <w:tcPr>
            <w:tcW w:w="2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(54,747)</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 end of period</w:t>
            </w:r>
          </w:p>
        </w:tc>
        <w:tc>
          <w:tcPr>
            <w:tcW w:w="306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040" w:type="dxa"/>
            <w:vAlign w:val="bottom"/>
            <w:vMerge w:val="continue"/>
            <w:shd w:val="clear" w:color="auto" w:fill="CCEEFF"/>
          </w:tcPr>
          <w:p>
            <w:pPr>
              <w:spacing w:after="0"/>
              <w:rPr>
                <w:sz w:val="20"/>
                <w:szCs w:val="20"/>
                <w:color w:val="auto"/>
              </w:rPr>
            </w:pPr>
          </w:p>
        </w:tc>
        <w:tc>
          <w:tcPr>
            <w:tcW w:w="3060" w:type="dxa"/>
            <w:vAlign w:val="bottom"/>
            <w:gridSpan w:val="2"/>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0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2362"/>
              <w:spacing w:after="0"/>
              <w:rPr>
                <w:sz w:val="20"/>
                <w:szCs w:val="20"/>
                <w:color w:val="auto"/>
              </w:rPr>
            </w:pPr>
            <w:r>
              <w:rPr>
                <w:rFonts w:ascii="Times New Roman" w:cs="Times New Roman" w:eastAsia="Times New Roman" w:hAnsi="Times New Roman"/>
                <w:sz w:val="16"/>
                <w:szCs w:val="16"/>
                <w:color w:val="auto"/>
              </w:rPr>
              <w:t>F-97</w:t>
            </w: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sectPr>
      </w:pPr>
    </w:p>
    <w:bookmarkStart w:id="218" w:name="page219"/>
    <w:bookmarkEnd w:id="21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7 — Goodwill and Intangible Assets, Net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Intangible assets, net as of December 31, 2022 were as follows:</w:t>
      </w:r>
    </w:p>
    <w:p>
      <w:pPr>
        <w:spacing w:after="0" w:line="224"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8"/>
          </w:tcPr>
          <w:p>
            <w:pPr>
              <w:ind w:left="280"/>
              <w:spacing w:after="0"/>
              <w:rPr>
                <w:sz w:val="20"/>
                <w:szCs w:val="20"/>
                <w:color w:val="auto"/>
              </w:rPr>
            </w:pPr>
            <w:r>
              <w:rPr>
                <w:rFonts w:ascii="Times New Roman" w:cs="Times New Roman" w:eastAsia="Times New Roman" w:hAnsi="Times New Roman"/>
                <w:sz w:val="13"/>
                <w:szCs w:val="13"/>
                <w:b w:val="1"/>
                <w:bCs w:val="1"/>
                <w:color w:val="auto"/>
              </w:rPr>
              <w:t>Intangible Assets, Gross</w:t>
            </w:r>
          </w:p>
        </w:tc>
        <w:tc>
          <w:tcPr>
            <w:tcW w:w="2500" w:type="dxa"/>
            <w:vAlign w:val="bottom"/>
            <w:gridSpan w:val="11"/>
          </w:tcPr>
          <w:p>
            <w:pPr>
              <w:spacing w:after="0"/>
              <w:rPr>
                <w:sz w:val="20"/>
                <w:szCs w:val="20"/>
                <w:color w:val="auto"/>
              </w:rPr>
            </w:pPr>
            <w:r>
              <w:rPr>
                <w:rFonts w:ascii="Times New Roman" w:cs="Times New Roman" w:eastAsia="Times New Roman" w:hAnsi="Times New Roman"/>
                <w:sz w:val="13"/>
                <w:szCs w:val="13"/>
                <w:b w:val="1"/>
                <w:bCs w:val="1"/>
                <w:color w:val="auto"/>
              </w:rPr>
              <w:t>Accumulated Amortization and Impairment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4"/>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10"/>
              <w:spacing w:after="0" w:line="134" w:lineRule="exact"/>
              <w:rPr>
                <w:sz w:val="20"/>
                <w:szCs w:val="20"/>
                <w:color w:val="auto"/>
              </w:rPr>
            </w:pPr>
            <w:r>
              <w:rPr>
                <w:rFonts w:ascii="Times New Roman" w:cs="Times New Roman" w:eastAsia="Times New Roman" w:hAnsi="Times New Roman"/>
                <w:sz w:val="13"/>
                <w:szCs w:val="13"/>
                <w:b w:val="1"/>
                <w:bCs w:val="1"/>
                <w:color w:val="auto"/>
              </w:rPr>
              <w:t>Additions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3"/>
                <w:szCs w:val="13"/>
                <w:b w:val="1"/>
                <w:bCs w:val="1"/>
                <w:color w:val="auto"/>
                <w:w w:val="99"/>
              </w:rPr>
              <w:t>Expense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20" w:type="dxa"/>
            <w:vAlign w:val="bottom"/>
            <w:gridSpan w:val="9"/>
          </w:tcPr>
          <w:p>
            <w:pPr>
              <w:spacing w:after="0"/>
              <w:rPr>
                <w:sz w:val="20"/>
                <w:szCs w:val="20"/>
                <w:color w:val="auto"/>
              </w:rPr>
            </w:pPr>
            <w:r>
              <w:rPr>
                <w:rFonts w:ascii="Times New Roman" w:cs="Times New Roman" w:eastAsia="Times New Roman" w:hAnsi="Times New Roman"/>
                <w:sz w:val="13"/>
                <w:szCs w:val="13"/>
                <w:b w:val="1"/>
                <w:bCs w:val="1"/>
                <w:color w:val="auto"/>
              </w:rPr>
              <w:t>January 1, Retirements, December 31,</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January 1,</w:t>
            </w:r>
          </w:p>
        </w:tc>
        <w:tc>
          <w:tcPr>
            <w:tcW w:w="4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Retirements,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3"/>
                <w:szCs w:val="13"/>
                <w:color w:val="auto"/>
              </w:rPr>
            </w:pPr>
          </w:p>
        </w:tc>
        <w:tc>
          <w:tcPr>
            <w:tcW w:w="144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January 1, December 31,</w:t>
            </w:r>
          </w:p>
        </w:tc>
        <w:tc>
          <w:tcPr>
            <w:tcW w:w="0" w:type="dxa"/>
            <w:vAlign w:val="bottom"/>
          </w:tcPr>
          <w:p>
            <w:pPr>
              <w:spacing w:after="0"/>
              <w:rPr>
                <w:sz w:val="1"/>
                <w:szCs w:val="1"/>
                <w:color w:val="auto"/>
              </w:rPr>
            </w:pPr>
          </w:p>
        </w:tc>
      </w:tr>
      <w:tr>
        <w:trPr>
          <w:trHeight w:val="174"/>
        </w:trPr>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48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rPr>
              <w:t>net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89"/>
              <w:spacing w:after="0"/>
              <w:rPr>
                <w:sz w:val="20"/>
                <w:szCs w:val="20"/>
                <w:color w:val="auto"/>
              </w:rPr>
            </w:pPr>
            <w:r>
              <w:rPr>
                <w:rFonts w:ascii="Times New Roman" w:cs="Times New Roman" w:eastAsia="Times New Roman" w:hAnsi="Times New Roman"/>
                <w:sz w:val="13"/>
                <w:szCs w:val="13"/>
                <w:b w:val="1"/>
                <w:bCs w:val="1"/>
                <w:color w:val="auto"/>
              </w:rPr>
              <w:t>2022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(227)</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(2,508)</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(2,735)</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Customer</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relationships</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6,889</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(302)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(6,587)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(6,889)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Acquired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developed</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4,911</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(191)</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(6,152)</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(6,343)</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4,720</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6"/>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Non-compete</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Capitalized</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website</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gridSpan w:val="3"/>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(880)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(16,534)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8 — Debt</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Company’s debt consisted of:</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 payable – Exchange Note</w:t>
            </w:r>
          </w:p>
        </w:tc>
        <w:tc>
          <w:tcPr>
            <w:tcW w:w="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31,975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PPP Loan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Navitas loan</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Related party debt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notes payable</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debt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Unamortized debt premium (discount)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(3,415)</w:t>
            </w:r>
          </w:p>
        </w:tc>
        <w:tc>
          <w:tcPr>
            <w:tcW w:w="0" w:type="dxa"/>
            <w:vAlign w:val="bottom"/>
          </w:tcPr>
          <w:p>
            <w:pPr>
              <w:spacing w:after="0"/>
              <w:rPr>
                <w:sz w:val="1"/>
                <w:szCs w:val="1"/>
                <w:color w:val="auto"/>
              </w:rPr>
            </w:pPr>
          </w:p>
        </w:tc>
      </w:tr>
      <w:tr>
        <w:trPr>
          <w:trHeight w:val="225"/>
        </w:trPr>
        <w:tc>
          <w:tcPr>
            <w:tcW w:w="4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debt, net of debt discount</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 net of current unamortized debt discount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(28,832)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Long-term debt, net of current</w:t>
            </w: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920" w:type="dxa"/>
            <w:vAlign w:val="bottom"/>
            <w:vMerge w:val="continue"/>
          </w:tcPr>
          <w:p>
            <w:pPr>
              <w:spacing w:after="0"/>
              <w:rPr>
                <w:sz w:val="20"/>
                <w:szCs w:val="20"/>
                <w:color w:val="auto"/>
              </w:rPr>
            </w:pPr>
          </w:p>
        </w:tc>
        <w:tc>
          <w:tcPr>
            <w:tcW w:w="30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12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color w:val="auto"/>
        </w:rPr>
        <w:t>____________</w:t>
      </w:r>
    </w:p>
    <w:p>
      <w:pPr>
        <w:spacing w:after="0" w:line="91" w:lineRule="exact"/>
        <w:rPr>
          <w:sz w:val="20"/>
          <w:szCs w:val="20"/>
          <w:color w:val="auto"/>
        </w:rPr>
      </w:pPr>
    </w:p>
    <w:p>
      <w:pPr>
        <w:ind w:left="1300" w:hanging="394"/>
        <w:spacing w:after="0"/>
        <w:tabs>
          <w:tab w:leader="none" w:pos="13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notes payable relates to a one-year insurance premium that was financed over nine-months.</w:t>
      </w:r>
    </w:p>
    <w:p>
      <w:pPr>
        <w:spacing w:after="0" w:line="19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Payable</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Securities Purchase Agreement</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August 2022 Securities Exchange Agreement</w:t>
      </w:r>
    </w:p>
    <w:p>
      <w:pPr>
        <w:spacing w:after="0" w:line="120"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$0.3 million in repayments for other fees under the</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19" w:name="page220"/>
    <w:bookmarkEnd w:id="21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Exchange Note is a senior secured obligation of the Company and ranks senior to all indebtedness of the Company. The Exchange Note will mature on the three -year anniversary of its issuance (the “Maturity Date”) and contains a 9.0% annualized interest rate, with interest to be paid monthly, in cash, beginning September 1, 2022. The principal amount of the Exchange Note will be payable on the Maturity Date, provided that the holder will be entitled to a cash sweep of 20% of the proceeds received by the Company in connection with any equity financing, which will reduce the outstanding principal amount under the Exchange Note.</w:t>
      </w:r>
    </w:p>
    <w:p>
      <w:pPr>
        <w:spacing w:after="0" w:line="101"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At any time, the Company may prepay all of the Exchange Note by redemption at a price equal to 102.5% of the then-outstanding principal amount under the Note plus accrued but unpaid interest. The holder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holder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104"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Until the date the Exchange Note is fully repaid, the holder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w:t>
      </w:r>
    </w:p>
    <w:p>
      <w:pPr>
        <w:spacing w:after="0" w:line="1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0" w:name="page221"/>
    <w:bookmarkEnd w:id="22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Note Exchange Warrant’s exercise price would have been reduced to the extent the Company issued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August 2022 Warrants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 first day after notice of such request by the Investor to increase its beneficial ownership limit has been delivered to the Company).</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Modification of Notes Payable</w:t>
      </w:r>
    </w:p>
    <w:p>
      <w:pPr>
        <w:spacing w:after="0" w:line="120" w:lineRule="exact"/>
        <w:rPr>
          <w:sz w:val="20"/>
          <w:szCs w:val="20"/>
          <w:color w:val="auto"/>
        </w:rPr>
      </w:pPr>
    </w:p>
    <w:p>
      <w:pPr>
        <w:jc w:val="both"/>
        <w:ind w:left="900" w:right="920" w:firstLine="384"/>
        <w:spacing w:after="0" w:line="280" w:lineRule="auto"/>
        <w:rPr>
          <w:sz w:val="20"/>
          <w:szCs w:val="20"/>
          <w:color w:val="auto"/>
        </w:rPr>
      </w:pPr>
      <w:r>
        <w:rPr>
          <w:rFonts w:ascii="Times New Roman" w:cs="Times New Roman" w:eastAsia="Times New Roman" w:hAnsi="Times New Roman"/>
          <w:sz w:val="14"/>
          <w:szCs w:val="14"/>
          <w:color w:val="auto"/>
        </w:rPr>
        <w:t>On March 8, 2023, the Company entered into a Securities Exchange Agreement (the “Exchange Agreement” or “Second Amendment”) with the Investor. Pursuant to the Exchange Agreement, at closing the Company prepaid approximately $10.3 million in principal amount under the August 2022 Note and exchange $10.0 in principal amount of the remaining balance of the August 2022 Note for a new senior secured convertible note (the “Convertible Note”) with an original principal amount of $ 10.0 million. After the closing of the Exchange Agreement, the August 2022 Note remained outstanding with a remaining balance of $11.7 million.</w:t>
      </w:r>
    </w:p>
    <w:p>
      <w:pPr>
        <w:spacing w:after="0" w:line="7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This exchange was deemed to be an extinguishment under ASC 470, as the modified debt added a substantive conversion option that was not inherent in the August 2022 Note. As a result, the Company recognized a loss on the extinguishment of debt of $4,619,846.</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p>
      <w:pPr>
        <w:spacing w:after="0" w:line="120"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March 8, 2023, as a result of the Exchange Agreement, the Company issued a Convertible Note to the Investor with a principal balance of $10 million. The Convertible Note bears a 9.0% annualized interest rate, with interest to be paid monthly, in cash, beginning April 1, 2023. The principal amount of the Convertible Note will be payable on the Maturity Date, provided that the holder will be entitled to a cash sweep of 30% of the proceeds of any at- the-market equity offering and 20% of the proceeds received by the Company in connection with any other equity financing, which will reduce the outstanding principal amount under the August 2022 Note or the Convertible Note.</w:t>
      </w:r>
    </w:p>
    <w:p>
      <w:pPr>
        <w:spacing w:after="0" w:line="98"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At any time, the Company may prepay all of the Convertible Note by redemption at a price equal to 102.5% of the then-outstanding principal amount under the Convertible Note plus accrued but unpaid interest. The holder will also have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01"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holder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holder delivers a notice of acceleration; (b) the total then outstanding principal amount under the Convertible</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1" w:name="page222"/>
    <w:bookmarkEnd w:id="22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Debt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39" w:lineRule="auto"/>
        <w:rPr>
          <w:sz w:val="20"/>
          <w:szCs w:val="20"/>
          <w:color w:val="auto"/>
        </w:rPr>
      </w:pPr>
      <w:r>
        <w:rPr>
          <w:rFonts w:ascii="Times New Roman" w:cs="Times New Roman" w:eastAsia="Times New Roman" w:hAnsi="Times New Roman"/>
          <w:sz w:val="16"/>
          <w:szCs w:val="16"/>
          <w:color w:val="auto"/>
        </w:rPr>
        <w:t>Note (in thousands); and (c) the greater of (1) the highest daily volume weighted average price (“VWAP”) per share of Common Stock occurring during the fifteen consecutive trading days ending on, and including, the trading day immediately before the date the holder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01"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Until the date the Convertible Note is fully repaid, the holder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95"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If the holder elects to convert the Convertible Note, the conversion price per share will be $7.64, subject to customary adjustments for certain corporate events. The conversion of the Convertible Note will be subject to certain customary conditions. The Convertible Note may not be converted into shares of Common Stock if such conversion would result in the holder and its affiliates owning an aggregate of in excess of 4.99% of the then-outstanding shares of Common Stock, provided that upon 61 days’ notice, such ownership limitation may be adjusted by the holder, but in any case, to no greater than 9.99%.</w:t>
      </w:r>
    </w:p>
    <w:p>
      <w:pPr>
        <w:spacing w:after="0" w:line="101"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evaluated the embedded features in accordance with ASC 815-15-25 and the determined embedded features are not required to be bifurcated and separately measured at fair value.</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Interest expense related to the Convertible Notes described above was $1,757,931 for the nine months ended September 30, 2023. Accrued interest totaled $1,041,388 as of September 30, 2023.</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Note Conversion</w:t>
      </w:r>
    </w:p>
    <w:p>
      <w:pPr>
        <w:spacing w:after="0" w:line="120"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Pursuant to the Exchange Agreement the Company entered into with High Trail Special Situations LLC on March 8, 2023, the Investor elected, on April 26, 2023, to convert $1.6 million of the remaining outstanding principal amount on the Convertible Note for 153,617 shares of Common Stock of the Company.</w:t>
      </w:r>
    </w:p>
    <w:p>
      <w:pPr>
        <w:spacing w:after="0" w:line="92"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May 1, 2023, the Company entered into a letter agreement with the above referenced accredited Lender (the “Letter Agreement”), pursuant to which the Company and the Investor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Investor, with the remaining 375,629 shares held in abeyance until the balance (or portion thereof) may be issued in compliance with such limitations. As a result, the Company recognized a loss on the redemption of $11,609.</w:t>
      </w:r>
    </w:p>
    <w:p>
      <w:pPr>
        <w:spacing w:after="0" w:line="1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the short-term and long-term portions of the Exchange Note as of</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September 30, 2023:</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190"/>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payable, net</w:t>
            </w:r>
          </w:p>
        </w:tc>
      </w:tr>
      <w:tr>
        <w:trPr>
          <w:trHeight w:val="28"/>
        </w:trPr>
        <w:tc>
          <w:tcPr>
            <w:tcW w:w="3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4"/>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18,509</w:t>
            </w:r>
          </w:p>
        </w:tc>
      </w:tr>
      <w:tr>
        <w:trPr>
          <w:trHeight w:val="257"/>
        </w:trPr>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Unamortized premium</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r>
      <w:tr>
        <w:trPr>
          <w:trHeight w:val="238"/>
        </w:trPr>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carrying amount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19,123</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As of September 30, 2023, future minimum payments were as follows:</w:t>
      </w:r>
    </w:p>
    <w:p>
      <w:pPr>
        <w:spacing w:after="0" w:line="2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p>
      <w:pPr>
        <w:spacing w:after="0" w:line="37" w:lineRule="exact"/>
        <w:rPr>
          <w:sz w:val="20"/>
          <w:szCs w:val="20"/>
          <w:color w:val="auto"/>
        </w:rPr>
      </w:pPr>
    </w:p>
    <w:tbl>
      <w:tblPr>
        <w:tblLayout w:type="fixed"/>
        <w:tblInd w:w="900" w:type="dxa"/>
        <w:tblCellMar>
          <w:top w:w="0" w:type="dxa"/>
          <w:left w:w="0" w:type="dxa"/>
          <w:bottom w:w="0" w:type="dxa"/>
          <w:right w:w="0" w:type="dxa"/>
        </w:tblCellMar>
      </w:tblPr>
      <w:tr>
        <w:trPr>
          <w:trHeight w:val="244"/>
        </w:trPr>
        <w:tc>
          <w:tcPr>
            <w:tcW w:w="2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2023</w:t>
            </w:r>
          </w:p>
        </w:tc>
        <w:tc>
          <w:tcPr>
            <w:tcW w:w="352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r>
      <w:tr>
        <w:trPr>
          <w:trHeight w:val="26"/>
        </w:trPr>
        <w:tc>
          <w:tcPr>
            <w:tcW w:w="24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18,628</w:t>
            </w:r>
          </w:p>
        </w:tc>
      </w:tr>
      <w:tr>
        <w:trPr>
          <w:trHeight w:val="231"/>
        </w:trPr>
        <w:tc>
          <w:tcPr>
            <w:tcW w:w="2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future payments</w:t>
            </w:r>
          </w:p>
        </w:tc>
        <w:tc>
          <w:tcPr>
            <w:tcW w:w="3620" w:type="dxa"/>
            <w:vAlign w:val="bottom"/>
            <w:gridSpan w:val="2"/>
          </w:tcPr>
          <w:p>
            <w:pPr>
              <w:spacing w:after="0"/>
              <w:rPr>
                <w:sz w:val="20"/>
                <w:szCs w:val="20"/>
                <w:color w:val="auto"/>
              </w:rPr>
            </w:pPr>
          </w:p>
        </w:tc>
        <w:tc>
          <w:tcPr>
            <w:tcW w:w="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20,024</w:t>
            </w:r>
          </w:p>
        </w:tc>
      </w:tr>
      <w:tr>
        <w:trPr>
          <w:trHeight w:val="20"/>
        </w:trPr>
        <w:tc>
          <w:tcPr>
            <w:tcW w:w="2480" w:type="dxa"/>
            <w:vAlign w:val="bottom"/>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3"/>
        </w:trPr>
        <w:tc>
          <w:tcPr>
            <w:tcW w:w="24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3"/>
          </w:tcPr>
          <w:p>
            <w:pPr>
              <w:jc w:val="right"/>
              <w:ind w:right="2622"/>
              <w:spacing w:after="0"/>
              <w:rPr>
                <w:sz w:val="20"/>
                <w:szCs w:val="20"/>
                <w:color w:val="auto"/>
              </w:rPr>
            </w:pPr>
            <w:r>
              <w:rPr>
                <w:rFonts w:ascii="Times New Roman" w:cs="Times New Roman" w:eastAsia="Times New Roman" w:hAnsi="Times New Roman"/>
                <w:sz w:val="16"/>
                <w:szCs w:val="16"/>
                <w:color w:val="auto"/>
              </w:rPr>
              <w:t>F-101</w:t>
            </w:r>
          </w:p>
        </w:tc>
        <w:tc>
          <w:tcPr>
            <w:tcW w:w="7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222" w:name="page223"/>
    <w:bookmarkEnd w:id="22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8 — Debt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Related party debt</w:t>
      </w:r>
    </w:p>
    <w:p>
      <w:pPr>
        <w:spacing w:after="0" w:line="118" w:lineRule="exact"/>
        <w:rPr>
          <w:sz w:val="20"/>
          <w:szCs w:val="20"/>
          <w:color w:val="auto"/>
        </w:rPr>
      </w:pPr>
    </w:p>
    <w:p>
      <w:pPr>
        <w:jc w:val="both"/>
        <w:ind w:left="900" w:right="920" w:firstLine="384"/>
        <w:spacing w:after="0" w:line="277" w:lineRule="auto"/>
        <w:rPr>
          <w:sz w:val="20"/>
          <w:szCs w:val="20"/>
          <w:color w:val="auto"/>
        </w:rPr>
      </w:pPr>
      <w:r>
        <w:rPr>
          <w:rFonts w:ascii="Times New Roman" w:cs="Times New Roman" w:eastAsia="Times New Roman" w:hAnsi="Times New Roman"/>
          <w:sz w:val="14"/>
          <w:szCs w:val="14"/>
          <w:color w:val="auto"/>
        </w:rPr>
        <w:t>On July 12, 2023, the Board of Directors of the Company approved the issuance of an unsecured promissory note (the “Related Party Note”) in favor of GIC Acquisition, LLC (“GIC”), an entity that is owned and managed by the Company’s Chairman and Chief Executive Officer. Pursuant to the Related Party Note, GIC is obligated to lend up to $500,000 to the Company, $300,000 of which was delivered at issuance and the remaining $200,000 delivered on July 31, 2023. The Related Party Note bears interest at a rate of 10% per annum, will mature in full on August 6, 2023, and may be prepaid without any fee or penalty. The Related Party Note ranks junior to all existing secured indebtedness of the Company. The maturity date of the Related Party Note was subsequently amended to December 31, 2023 at which point principal and accrued interest will be repaid in full.</w:t>
      </w:r>
    </w:p>
    <w:p>
      <w:pPr>
        <w:spacing w:after="0" w:line="1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Paycheck Protection Program Loan</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Paycheck Protection Program Loans under the Coronavirus Aid, Relief, and Economic Security Act</w:t>
      </w:r>
    </w:p>
    <w:p>
      <w:pPr>
        <w:spacing w:after="0" w:line="120"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In May 2020, the Company entered into a PPP Loan with Bank of America pursuant to the PPP under the CARES Act administered by the SBA.</w:t>
      </w:r>
    </w:p>
    <w:p>
      <w:pPr>
        <w:spacing w:after="0" w:line="83" w:lineRule="exact"/>
        <w:rPr>
          <w:sz w:val="20"/>
          <w:szCs w:val="20"/>
          <w:color w:val="auto"/>
        </w:rPr>
      </w:pPr>
    </w:p>
    <w:p>
      <w:pPr>
        <w:jc w:val="both"/>
        <w:ind w:left="900" w:right="900" w:firstLine="384"/>
        <w:spacing w:after="0" w:line="281" w:lineRule="auto"/>
        <w:rPr>
          <w:sz w:val="20"/>
          <w:szCs w:val="20"/>
          <w:color w:val="auto"/>
        </w:rPr>
      </w:pPr>
      <w:r>
        <w:rPr>
          <w:rFonts w:ascii="Times New Roman" w:cs="Times New Roman" w:eastAsia="Times New Roman" w:hAnsi="Times New Roman"/>
          <w:sz w:val="14"/>
          <w:szCs w:val="14"/>
          <w:color w:val="auto"/>
        </w:rPr>
        <w:t>The Company received total proceeds of approximately $0.8 million from the unsecured PPP Loan, which was originally scheduled to mature on May 7, 2022. The Company applied for forgiveness on the $0.8 million of</w:t>
      </w:r>
    </w:p>
    <w:p>
      <w:pPr>
        <w:spacing w:after="0" w:line="1" w:lineRule="exact"/>
        <w:rPr>
          <w:sz w:val="20"/>
          <w:szCs w:val="20"/>
          <w:color w:val="auto"/>
        </w:rPr>
      </w:pPr>
    </w:p>
    <w:p>
      <w:pPr>
        <w:jc w:val="both"/>
        <w:ind w:left="900" w:right="920" w:firstLine="6"/>
        <w:spacing w:after="0" w:line="236" w:lineRule="auto"/>
        <w:tabs>
          <w:tab w:leader="none" w:pos="1203"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 but forgiveness was denied by the SBA.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breakdown of PPP Loan balances by current and non-current as of September 30, 2023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 were as follows:</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PPP Loan, current</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 current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57"/>
        </w:trPr>
        <w:tc>
          <w:tcPr>
            <w:tcW w:w="2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PPP Loan, non-current</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38"/>
        </w:trPr>
        <w:tc>
          <w:tcPr>
            <w:tcW w:w="2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PPP Loan outstanding</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9 — Leases</w:t>
      </w:r>
    </w:p>
    <w:p>
      <w:pPr>
        <w:spacing w:after="0" w:line="118"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73"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As the implicit interest rate in its leases was generally not known, the Company’s used its incremental borrowing rate as the discount rate for purposes of determining the present value of its lease liabilities. At September 30, 2023, the Company’s weighted-average discount rate utilized for its leases was 7.39%.</w:t>
      </w:r>
    </w:p>
    <w:p>
      <w:pPr>
        <w:spacing w:after="0" w:line="92" w:lineRule="exact"/>
        <w:rPr>
          <w:sz w:val="20"/>
          <w:szCs w:val="20"/>
          <w:color w:val="auto"/>
        </w:rPr>
      </w:pPr>
    </w:p>
    <w:p>
      <w:pPr>
        <w:jc w:val="both"/>
        <w:ind w:left="900" w:right="900" w:firstLine="384"/>
        <w:spacing w:after="0" w:line="259" w:lineRule="auto"/>
        <w:rPr>
          <w:sz w:val="20"/>
          <w:szCs w:val="20"/>
          <w:color w:val="auto"/>
        </w:rPr>
      </w:pPr>
      <w:r>
        <w:rPr>
          <w:rFonts w:ascii="Times New Roman" w:cs="Times New Roman" w:eastAsia="Times New Roman" w:hAnsi="Times New Roman"/>
          <w:sz w:val="16"/>
          <w:szCs w:val="16"/>
          <w:color w:val="auto"/>
        </w:rPr>
        <w:t>When a contract contained lease and non-lease elements, both were accounted for as a single lease component.</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had several non-cancelable finance leases for machinery and equipment. The Company’s finance leases have remaining lease terms of one year to five years.</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3" w:name="page224"/>
    <w:bookmarkEnd w:id="22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Leases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Additional information on the Company’s operating and financing lease activity was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4"/>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8"/>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r>
      <w:tr>
        <w:trPr>
          <w:trHeight w:val="28"/>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0" w:type="dxa"/>
            <w:vAlign w:val="bottom"/>
          </w:tcPr>
          <w:p>
            <w:pPr>
              <w:spacing w:after="0"/>
              <w:rPr>
                <w:sz w:val="19"/>
                <w:szCs w:val="19"/>
                <w:color w:val="auto"/>
              </w:rPr>
            </w:pP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Finance lease cost: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0" w:type="dxa"/>
            <w:vAlign w:val="bottom"/>
          </w:tcPr>
          <w:p>
            <w:pPr>
              <w:spacing w:after="0"/>
              <w:rPr>
                <w:sz w:val="21"/>
                <w:szCs w:val="21"/>
                <w:color w:val="auto"/>
              </w:rPr>
            </w:pPr>
          </w:p>
        </w:tc>
      </w:tr>
      <w:tr>
        <w:trPr>
          <w:trHeight w:val="257"/>
        </w:trPr>
        <w:tc>
          <w:tcPr>
            <w:tcW w:w="2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22"/>
                <w:szCs w:val="22"/>
                <w:color w:val="auto"/>
              </w:rPr>
            </w:pPr>
          </w:p>
        </w:tc>
      </w:tr>
      <w:tr>
        <w:trPr>
          <w:trHeight w:val="238"/>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0" w:type="dxa"/>
            <w:vAlign w:val="bottom"/>
          </w:tcPr>
          <w:p>
            <w:pPr>
              <w:spacing w:after="0"/>
              <w:rPr>
                <w:sz w:val="20"/>
                <w:szCs w:val="20"/>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2" w:lineRule="exact"/>
        <w:rPr>
          <w:sz w:val="20"/>
          <w:szCs w:val="20"/>
          <w:color w:val="auto"/>
        </w:rPr>
      </w:pPr>
    </w:p>
    <w:p>
      <w:pPr>
        <w:sectPr>
          <w:pgSz w:w="11900" w:h="16840" w:orient="portrait"/>
          <w:cols w:equalWidth="0" w:num="1">
            <w:col w:w="9020"/>
          </w:cols>
          <w:pgMar w:left="1440" w:top="557" w:right="1440" w:bottom="1440" w:gutter="0" w:footer="0" w:header="0"/>
        </w:sect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5"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19" w:lineRule="exact"/>
        <w:rPr>
          <w:sz w:val="20"/>
          <w:szCs w:val="20"/>
          <w:color w:val="auto"/>
        </w:rPr>
      </w:pPr>
    </w:p>
    <w:p>
      <w:pPr>
        <w:sectPr>
          <w:pgSz w:w="11900" w:h="16840" w:orient="portrait"/>
          <w:cols w:equalWidth="0" w:num="2">
            <w:col w:w="6800" w:space="320"/>
            <w:col w:w="1900"/>
          </w:cols>
          <w:pgMar w:left="1440" w:top="557" w:right="1440" w:bottom="1440" w:gutter="0" w:footer="0" w:header="0"/>
          <w:type w:val="continuous"/>
        </w:sectPr>
      </w:pPr>
    </w:p>
    <w:tbl>
      <w:tblPr>
        <w:tblLayout w:type="fixed"/>
        <w:tblInd w:w="90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49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 operating leases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gridSpan w:val="3"/>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3.23 years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7"/>
              </w:rPr>
              <w:t>3.59 years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Weighted-average remaining lease term – finance leases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w w:val="96"/>
              </w:rPr>
              <w:t>0 years</w:t>
            </w:r>
          </w:p>
        </w:tc>
        <w:tc>
          <w:tcPr>
            <w:tcW w:w="120" w:type="dxa"/>
            <w:vAlign w:val="bottom"/>
          </w:tcPr>
          <w:p>
            <w:pPr>
              <w:spacing w:after="0"/>
              <w:rPr>
                <w:sz w:val="20"/>
                <w:szCs w:val="20"/>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2.30 years</w:t>
            </w:r>
          </w:p>
        </w:tc>
        <w:tc>
          <w:tcPr>
            <w:tcW w:w="0" w:type="dxa"/>
            <w:vAlign w:val="bottom"/>
          </w:tcPr>
          <w:p>
            <w:pPr>
              <w:spacing w:after="0"/>
              <w:rPr>
                <w:sz w:val="1"/>
                <w:szCs w:val="1"/>
                <w:color w:val="auto"/>
              </w:rPr>
            </w:pPr>
          </w:p>
        </w:tc>
      </w:tr>
      <w:tr>
        <w:trPr>
          <w:trHeight w:val="26"/>
        </w:trPr>
        <w:tc>
          <w:tcPr>
            <w:tcW w:w="2420" w:type="dxa"/>
            <w:vAlign w:val="bottom"/>
            <w:gridSpan w:val="3"/>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9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Weighted-average discount rate – finance leases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252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52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net</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Right-of-use, net</w:t>
            </w: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2,036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0" w:type="dxa"/>
            <w:vAlign w:val="bottom"/>
          </w:tcPr>
          <w:p>
            <w:pPr>
              <w:spacing w:after="0"/>
              <w:rPr>
                <w:sz w:val="1"/>
                <w:szCs w:val="1"/>
                <w:color w:val="auto"/>
              </w:rPr>
            </w:pPr>
          </w:p>
        </w:tc>
      </w:tr>
      <w:tr>
        <w:trPr>
          <w:trHeight w:val="26"/>
        </w:trPr>
        <w:tc>
          <w:tcPr>
            <w:tcW w:w="2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assets</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3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8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Operating lease liabilities, non-</w:t>
            </w:r>
          </w:p>
        </w:tc>
        <w:tc>
          <w:tcPr>
            <w:tcW w:w="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8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1,550</w:t>
            </w:r>
          </w:p>
        </w:tc>
        <w:tc>
          <w:tcPr>
            <w:tcW w:w="1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5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6"/>
                <w:szCs w:val="16"/>
                <w:color w:val="auto"/>
              </w:rPr>
              <w:t>Accrued expenses and other current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Finance lease liabilities, current</w:t>
            </w:r>
          </w:p>
        </w:tc>
        <w:tc>
          <w:tcPr>
            <w:tcW w:w="8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Finance lease liabilities, non-current</w:t>
            </w:r>
          </w:p>
        </w:tc>
        <w:tc>
          <w:tcPr>
            <w:tcW w:w="80" w:type="dxa"/>
            <w:vAlign w:val="bottom"/>
          </w:tcPr>
          <w:p>
            <w:pPr>
              <w:spacing w:after="0"/>
              <w:rPr>
                <w:sz w:val="22"/>
                <w:szCs w:val="22"/>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8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23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spacing w:after="0"/>
              <w:rPr>
                <w:sz w:val="20"/>
                <w:szCs w:val="20"/>
                <w:color w:val="auto"/>
              </w:rPr>
            </w:pPr>
          </w:p>
        </w:tc>
        <w:tc>
          <w:tcPr>
            <w:tcW w:w="2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ind w:left="1000"/>
              <w:spacing w:after="0"/>
              <w:rPr>
                <w:sz w:val="20"/>
                <w:szCs w:val="20"/>
                <w:color w:val="auto"/>
              </w:rPr>
            </w:pPr>
            <w:r>
              <w:rPr>
                <w:rFonts w:ascii="Times New Roman" w:cs="Times New Roman" w:eastAsia="Times New Roman" w:hAnsi="Times New Roman"/>
                <w:sz w:val="16"/>
                <w:szCs w:val="16"/>
                <w:color w:val="auto"/>
              </w:rPr>
              <w:t>F-103</w:t>
            </w: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020"/>
          </w:cols>
          <w:pgMar w:left="1440" w:top="557" w:right="1440" w:bottom="1440" w:gutter="0" w:footer="0" w:header="0"/>
          <w:type w:val="continuous"/>
        </w:sectPr>
      </w:pPr>
    </w:p>
    <w:bookmarkStart w:id="224" w:name="page225"/>
    <w:bookmarkEnd w:id="22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9 — Leases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Maturities of operating and finance lease liabilities as of September 30, 2023 are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0"/>
        </w:trPr>
        <w:tc>
          <w:tcPr>
            <w:tcW w:w="4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 (In thousands),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28"/>
        </w:trPr>
        <w:tc>
          <w:tcPr>
            <w:tcW w:w="4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2023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4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1"/>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lease liabilities</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2,219</w:t>
            </w:r>
          </w:p>
        </w:tc>
        <w:tc>
          <w:tcPr>
            <w:tcW w:w="12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10 — Stockholders’ Equity</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March 1, 2023, the Company further increased its authorized number of shares to 13,000,000, consisting of: 10,000,000 shares of Common Stock, par value $0.001 per share and 3,000,000 shares of preferred stock, par value $0.001 per share.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Private Placement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9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01"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95"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5" w:name="page226"/>
    <w:bookmarkEnd w:id="22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10 — Stockholders’ Equity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Issuance of Common Stock in Connection with Acquisitions</w:t>
      </w:r>
    </w:p>
    <w:p>
      <w:pPr>
        <w:spacing w:after="0" w:line="118"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w:t>
      </w:r>
    </w:p>
    <w:p>
      <w:pPr>
        <w:spacing w:after="0" w:line="95"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At The Marketing Offering</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$0.5 million and legal fees totaling $0.1 million.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Confidentially Marketed Public Offering</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December 16, 2022, the Company issued 594,232 shares of its Common Stock, Pre- Funded 2022 Warrants to purchase 75,000 shares of its Common Stock and accompanying December 2022 Warrants to purchase 1,338,471 shares of the Company’s Common Stock. The Company received net proceeds from the Offering of approximately $8.2 million, after deducting underwriting discounts and commissions and estimated expenses. The Company intends to use the net proceeds from the Offering, together with its existing cash resources, for working capital and general corporate purposes, which may include capital expenditures and repayment of debt.</w:t>
      </w:r>
    </w:p>
    <w:p>
      <w:pPr>
        <w:spacing w:after="0" w:line="98"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6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6" w:name="page227"/>
    <w:bookmarkEnd w:id="22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10 — Stockholders’ Equity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 -classified as there is a volatility floor and these warrants are not indexed to the Company’s own stock.</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As of December 31, 2022, the Company valued the December 2022 Warrants using the Black-Scholes option-pricing model and determined the fair value at $5.9 million. The key inputs to the valuation model included the annualized volatility of 98.0% and the expected term of about 5 years.</w:t>
      </w:r>
    </w:p>
    <w:p>
      <w:pPr>
        <w:spacing w:after="0" w:line="92"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Raymond Chang, Chairman and CEO, participated in the Offering and purchased 115,385 shares of Common Stock and 230,769 December 2022 Warrants for an aggregate purchase price of approximately $1.5 million.</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Additional information regarding the Company’s December 2022 Warrants may be found in Note 1</w:t>
      </w:r>
    </w:p>
    <w:p>
      <w:pPr>
        <w:spacing w:after="0" w:line="14" w:lineRule="exact"/>
        <w:rPr>
          <w:sz w:val="20"/>
          <w:szCs w:val="20"/>
          <w:color w:val="auto"/>
        </w:rPr>
      </w:pPr>
    </w:p>
    <w:p>
      <w:pPr>
        <w:ind w:left="900" w:right="960"/>
        <w:spacing w:after="0" w:line="238" w:lineRule="auto"/>
        <w:rPr>
          <w:sz w:val="20"/>
          <w:szCs w:val="20"/>
          <w:color w:val="auto"/>
        </w:rPr>
      </w:pPr>
      <w:r>
        <w:rPr>
          <w:rFonts w:ascii="Times New Roman" w:cs="Times New Roman" w:eastAsia="Times New Roman" w:hAnsi="Times New Roman"/>
          <w:sz w:val="16"/>
          <w:szCs w:val="16"/>
          <w:color w:val="auto"/>
        </w:rPr>
        <w:t>— Overview, Basis of Presentation, and Significant Accounting Policies and Note 4 — Fair Value Measures, included elsewhere in the notes to the consolidated financial statements.</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11 — Stock-Based Compensation and Employee Benefit Plans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2022 Omnibus Equity Incentive Plan</w:t>
      </w:r>
    </w:p>
    <w:p>
      <w:pPr>
        <w:spacing w:after="0" w:line="118"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September 30, 2023, there were 13,198 shares of Common Stock available to be granted under the Company’s 2022 Plan.</w:t>
      </w:r>
    </w:p>
    <w:p>
      <w:pPr>
        <w:spacing w:after="0" w:line="99"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Company’s stock compensation expense was $0.5 million and $1.6 million for the three months ended September 30, 2023 and 2022, respectively. The Company’s stock compensation expense was $2.1 million and $3.5 million for the nine months ended September 30, 2023 and 2022, respectively.</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Stock Options</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three and nine months ended September 30, 2023 and 2022.</w:t>
      </w:r>
    </w:p>
    <w:p>
      <w:pPr>
        <w:spacing w:after="0" w:line="98" w:lineRule="exact"/>
        <w:rPr>
          <w:sz w:val="20"/>
          <w:szCs w:val="20"/>
          <w:color w:val="auto"/>
        </w:rPr>
      </w:pPr>
    </w:p>
    <w:p>
      <w:pPr>
        <w:jc w:val="both"/>
        <w:ind w:left="900" w:right="900" w:firstLine="384"/>
        <w:spacing w:after="0" w:line="289" w:lineRule="auto"/>
        <w:rPr>
          <w:sz w:val="20"/>
          <w:szCs w:val="20"/>
          <w:color w:val="auto"/>
        </w:rPr>
      </w:pPr>
      <w:r>
        <w:rPr>
          <w:rFonts w:ascii="Times New Roman" w:cs="Times New Roman" w:eastAsia="Times New Roman" w:hAnsi="Times New Roman"/>
          <w:sz w:val="14"/>
          <w:szCs w:val="14"/>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 -free interest rate is based upon quoted market yields for United States Treasury debt securities with a term similar to the expected term. The</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7" w:name="page228"/>
    <w:bookmarkEnd w:id="22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11 — Stock-Based Compensation and Employee Benefit Plans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1" w:lineRule="auto"/>
        <w:rPr>
          <w:sz w:val="20"/>
          <w:szCs w:val="20"/>
          <w:color w:val="auto"/>
        </w:rPr>
      </w:pPr>
      <w:r>
        <w:rPr>
          <w:rFonts w:ascii="Times New Roman" w:cs="Times New Roman" w:eastAsia="Times New Roman" w:hAnsi="Times New Roman"/>
          <w:sz w:val="16"/>
          <w:szCs w:val="16"/>
          <w:color w:val="auto"/>
        </w:rPr>
        <w:t>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97"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In arriving at stock- 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9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presents option activity under the Company’s stock option plans for the three and six months ended September 30, 2023:</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8"/>
        </w:trPr>
        <w:tc>
          <w:tcPr>
            <w:tcW w:w="3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8"/>
        </w:trPr>
        <w:tc>
          <w:tcPr>
            <w:tcW w:w="3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January 1, 2023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1,518.05</w:t>
            </w: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4"/>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6"/>
                <w:szCs w:val="16"/>
                <w:color w:val="auto"/>
              </w:rPr>
              <w:t>Expired</w:t>
            </w:r>
          </w:p>
        </w:tc>
        <w:tc>
          <w:tcPr>
            <w:tcW w:w="8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1,213.74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outstanding at September 30, 2023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1,540.76</w:t>
            </w:r>
          </w:p>
        </w:tc>
        <w:tc>
          <w:tcPr>
            <w:tcW w:w="2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CCEEFF"/>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vested and exercisable as of September 30, 2023</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1,467.77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7"/>
              </w:rPr>
              <w:t>Options vested and expected to vest as of September 30, 2023</w:t>
            </w: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1,498.89</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80" w:type="dxa"/>
            <w:vAlign w:val="bottom"/>
            <w:vMerge w:val="continue"/>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12,124</w:t>
            </w:r>
          </w:p>
        </w:tc>
        <w:tc>
          <w:tcPr>
            <w:tcW w:w="12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As of September 30, 2023, total unrecognized compensation expense related to unvested options under the Company’s 2022 Plan was $1.3 million, which is expected to be recognized over a weighted average period of 0.46 years.</w:t>
      </w:r>
    </w:p>
    <w:p>
      <w:pPr>
        <w:spacing w:after="0" w:line="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information about options vested and exercisable at September 30, 2023:</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1460" w:type="dxa"/>
            <w:vAlign w:val="bottom"/>
          </w:tcPr>
          <w:p>
            <w:pPr>
              <w:spacing w:after="0"/>
              <w:rPr>
                <w:sz w:val="16"/>
                <w:szCs w:val="16"/>
                <w:color w:val="auto"/>
              </w:rPr>
            </w:pPr>
          </w:p>
        </w:tc>
      </w:tr>
      <w:tr>
        <w:trPr>
          <w:trHeight w:val="28"/>
        </w:trPr>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46"/>
        </w:trPr>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68"/>
        </w:trPr>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4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8"/>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4"/>
        </w:trPr>
        <w:tc>
          <w:tcPr>
            <w:tcW w:w="114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3,758</w:t>
            </w: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r>
      <w:tr>
        <w:trPr>
          <w:trHeight w:val="238"/>
        </w:trPr>
        <w:tc>
          <w:tcPr>
            <w:tcW w:w="1140" w:type="dxa"/>
            <w:vAlign w:val="bottom"/>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3,526</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40" w:type="dxa"/>
            <w:vAlign w:val="bottom"/>
          </w:tcPr>
          <w:p>
            <w:pPr>
              <w:spacing w:after="0"/>
              <w:rPr>
                <w:sz w:val="20"/>
                <w:szCs w:val="20"/>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r>
      <w:tr>
        <w:trPr>
          <w:trHeight w:val="26"/>
        </w:trPr>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114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1,536.00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1,536.00</w:t>
            </w:r>
          </w:p>
        </w:tc>
      </w:tr>
      <w:tr>
        <w:trPr>
          <w:trHeight w:val="238"/>
        </w:trPr>
        <w:tc>
          <w:tcPr>
            <w:tcW w:w="1140" w:type="dxa"/>
            <w:vAlign w:val="bottom"/>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1,840.00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12.39</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1,840.00</w:t>
            </w:r>
          </w:p>
        </w:tc>
      </w:tr>
      <w:tr>
        <w:trPr>
          <w:trHeight w:val="26"/>
        </w:trPr>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4"/>
        </w:trPr>
        <w:tc>
          <w:tcPr>
            <w:tcW w:w="1140" w:type="dxa"/>
            <w:vAlign w:val="bottom"/>
            <w:tcBorders>
              <w:bottom w:val="single" w:sz="8" w:color="CCEEFF"/>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2,768.00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3,924</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10.36</w:t>
            </w:r>
          </w:p>
        </w:tc>
        <w:tc>
          <w:tcPr>
            <w:tcW w:w="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2,768.00</w:t>
            </w:r>
          </w:p>
        </w:tc>
      </w:tr>
      <w:tr>
        <w:trPr>
          <w:trHeight w:val="336"/>
        </w:trPr>
        <w:tc>
          <w:tcPr>
            <w:tcW w:w="1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color w:val="auto"/>
              </w:rPr>
              <w:t>F-107</w:t>
            </w: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7" w:right="1440" w:bottom="1440" w:gutter="0" w:footer="0" w:header="0"/>
        </w:sectPr>
      </w:pPr>
    </w:p>
    <w:bookmarkStart w:id="228" w:name="page229"/>
    <w:bookmarkEnd w:id="228"/>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11 — Stock-Based Compensation and Employee Benefit Plans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information about options expected to vest after September 30, 2023:</w:t>
      </w:r>
    </w:p>
    <w:p>
      <w:pPr>
        <w:spacing w:after="0" w:line="211" w:lineRule="exact"/>
        <w:rPr>
          <w:sz w:val="20"/>
          <w:szCs w:val="20"/>
          <w:color w:val="auto"/>
        </w:rPr>
      </w:pPr>
    </w:p>
    <w:tbl>
      <w:tblPr>
        <w:tblLayout w:type="fixed"/>
        <w:tblInd w:w="900" w:type="dxa"/>
        <w:tblCellMar>
          <w:top w:w="0" w:type="dxa"/>
          <w:left w:w="0" w:type="dxa"/>
          <w:bottom w:w="0" w:type="dxa"/>
          <w:right w:w="0" w:type="dxa"/>
        </w:tblCellMar>
      </w:tblPr>
      <w:tr>
        <w:trPr>
          <w:trHeight w:val="190"/>
        </w:trPr>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2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Options Vested and Expected to Vest</w:t>
            </w:r>
          </w:p>
        </w:tc>
        <w:tc>
          <w:tcPr>
            <w:tcW w:w="1380" w:type="dxa"/>
            <w:vAlign w:val="bottom"/>
          </w:tcPr>
          <w:p>
            <w:pPr>
              <w:spacing w:after="0"/>
              <w:rPr>
                <w:sz w:val="16"/>
                <w:szCs w:val="16"/>
                <w:color w:val="auto"/>
              </w:rPr>
            </w:pPr>
          </w:p>
        </w:tc>
      </w:tr>
      <w:tr>
        <w:trPr>
          <w:trHeight w:val="28"/>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46"/>
        </w:trPr>
        <w:tc>
          <w:tcPr>
            <w:tcW w:w="1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68"/>
        </w:trPr>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68"/>
        </w:trPr>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8"/>
        </w:trPr>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190"/>
        </w:trPr>
        <w:tc>
          <w:tcPr>
            <w:tcW w:w="11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w w:val="98"/>
              </w:rPr>
              <w:t>Price ($)</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28"/>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4"/>
        </w:trPr>
        <w:tc>
          <w:tcPr>
            <w:tcW w:w="1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3,758</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456.00</w:t>
            </w:r>
          </w:p>
        </w:tc>
      </w:tr>
      <w:tr>
        <w:trPr>
          <w:trHeight w:val="238"/>
        </w:trPr>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3,566</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40" w:type="dxa"/>
            <w:vAlign w:val="bottom"/>
          </w:tcPr>
          <w:p>
            <w:pPr>
              <w:spacing w:after="0"/>
              <w:rPr>
                <w:sz w:val="20"/>
                <w:szCs w:val="20"/>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972.00</w:t>
            </w:r>
          </w:p>
        </w:tc>
      </w:tr>
      <w:tr>
        <w:trPr>
          <w:trHeight w:val="26"/>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4"/>
        </w:trPr>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1,536.00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1,536.00</w:t>
            </w:r>
          </w:p>
        </w:tc>
      </w:tr>
      <w:tr>
        <w:trPr>
          <w:trHeight w:val="238"/>
        </w:trPr>
        <w:tc>
          <w:tcPr>
            <w:tcW w:w="1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1,840.00</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12.39</w:t>
            </w: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1,840.00</w:t>
            </w:r>
          </w:p>
        </w:tc>
      </w:tr>
      <w:tr>
        <w:trPr>
          <w:trHeight w:val="26"/>
        </w:trPr>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8"/>
        </w:trPr>
        <w:tc>
          <w:tcPr>
            <w:tcW w:w="1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2,768.00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4,500</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10.36</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2,768.00</w:t>
            </w:r>
          </w:p>
        </w:tc>
      </w:tr>
      <w:tr>
        <w:trPr>
          <w:trHeight w:val="26"/>
        </w:trPr>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Restricted Stock Units</w:t>
      </w:r>
    </w:p>
    <w:p>
      <w:pPr>
        <w:spacing w:after="0" w:line="120"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3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December 31, 2022</w:t>
            </w:r>
          </w:p>
        </w:tc>
        <w:tc>
          <w:tcPr>
            <w:tcW w:w="900" w:type="dxa"/>
            <w:vAlign w:val="bottom"/>
            <w:tcBorders>
              <w:bottom w:val="single" w:sz="8" w:color="CCEEFF"/>
            </w:tcBorders>
            <w:gridSpan w:val="2"/>
            <w:shd w:val="clear" w:color="auto" w:fill="CCEEFF"/>
          </w:tcPr>
          <w:p>
            <w:pPr>
              <w:jc w:val="center"/>
              <w:ind w:left="464"/>
              <w:spacing w:after="0"/>
              <w:rPr>
                <w:sz w:val="20"/>
                <w:szCs w:val="20"/>
                <w:color w:val="auto"/>
              </w:rPr>
            </w:pPr>
            <w:r>
              <w:rPr>
                <w:rFonts w:ascii="Times New Roman" w:cs="Times New Roman" w:eastAsia="Times New Roman" w:hAnsi="Times New Roman"/>
                <w:sz w:val="16"/>
                <w:szCs w:val="16"/>
                <w:color w:val="auto"/>
                <w:w w:val="99"/>
              </w:rPr>
              <w:t>7,691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230.75</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Vested</w:t>
            </w:r>
          </w:p>
        </w:tc>
        <w:tc>
          <w:tcPr>
            <w:tcW w:w="1000" w:type="dxa"/>
            <w:vAlign w:val="bottom"/>
            <w:gridSpan w:val="3"/>
          </w:tcPr>
          <w:p>
            <w:pPr>
              <w:jc w:val="center"/>
              <w:ind w:left="344"/>
              <w:spacing w:after="0"/>
              <w:rPr>
                <w:sz w:val="20"/>
                <w:szCs w:val="20"/>
                <w:color w:val="auto"/>
              </w:rPr>
            </w:pPr>
            <w:r>
              <w:rPr>
                <w:rFonts w:ascii="Times New Roman" w:cs="Times New Roman" w:eastAsia="Times New Roman" w:hAnsi="Times New Roman"/>
                <w:sz w:val="16"/>
                <w:szCs w:val="16"/>
                <w:color w:val="auto"/>
                <w:w w:val="98"/>
              </w:rPr>
              <w:t>(2,406)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Forfeited</w:t>
            </w:r>
          </w:p>
        </w:tc>
        <w:tc>
          <w:tcPr>
            <w:tcW w:w="1000" w:type="dxa"/>
            <w:vAlign w:val="bottom"/>
            <w:gridSpan w:val="3"/>
            <w:shd w:val="clear" w:color="auto" w:fill="CCEEFF"/>
          </w:tcPr>
          <w:p>
            <w:pPr>
              <w:jc w:val="center"/>
              <w:ind w:left="344"/>
              <w:spacing w:after="0"/>
              <w:rPr>
                <w:sz w:val="20"/>
                <w:szCs w:val="20"/>
                <w:color w:val="auto"/>
              </w:rPr>
            </w:pPr>
            <w:r>
              <w:rPr>
                <w:rFonts w:ascii="Times New Roman" w:cs="Times New Roman" w:eastAsia="Times New Roman" w:hAnsi="Times New Roman"/>
                <w:sz w:val="16"/>
                <w:szCs w:val="16"/>
                <w:color w:val="auto"/>
                <w:w w:val="98"/>
              </w:rPr>
              <w:t>(3,100)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Unvested at September 30, 2023</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900" w:type="dxa"/>
            <w:vAlign w:val="bottom"/>
            <w:gridSpan w:val="2"/>
          </w:tcPr>
          <w:p>
            <w:pPr>
              <w:jc w:val="center"/>
              <w:ind w:left="464"/>
              <w:spacing w:after="0"/>
              <w:rPr>
                <w:sz w:val="20"/>
                <w:szCs w:val="20"/>
                <w:color w:val="auto"/>
              </w:rPr>
            </w:pPr>
            <w:r>
              <w:rPr>
                <w:rFonts w:ascii="Times New Roman" w:cs="Times New Roman" w:eastAsia="Times New Roman" w:hAnsi="Times New Roman"/>
                <w:sz w:val="16"/>
                <w:szCs w:val="16"/>
                <w:color w:val="auto"/>
                <w:w w:val="99"/>
              </w:rPr>
              <w:t>2,185</w:t>
            </w:r>
          </w:p>
        </w:tc>
        <w:tc>
          <w:tcPr>
            <w:tcW w:w="10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As of September 30, 2023, total unrecognized compensation expense related to unvested restricted stock units was $0.7 million, which is expected to be recognized over a weighted average period of 2.10 years.</w:t>
      </w:r>
    </w:p>
    <w:p>
      <w:pPr>
        <w:spacing w:after="0" w:line="15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2022 Employee Stock Purchase Plan</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On April 29, 2022, the Company’s Board of Directors, and on June 8, 2022, the Company’s stockholders, adopted and approved the 2022 Employee Stock Purchase Plan (“ESPP”). The Company has initially reserved 2,500 shares of Common Stock for issuance under the ESPP. On September 30, 2023, 2,500 shares were available for future issuance.</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$ 25 thousand worth of Common Stock annually. No Common Stock was granted under the 2022 ESPP during the three and nine months ended September 30, 2023.</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Employee Benefit Plan</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and nine months ended September 30, 2023, the Company did not contribute to the 401(k) Plan.</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29" w:name="page230"/>
    <w:bookmarkEnd w:id="229"/>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12 — Stock Warrants</w:t>
      </w:r>
    </w:p>
    <w:p>
      <w:pPr>
        <w:spacing w:after="0" w:line="11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tables present all warrant activity of the Company for the nine months ended September 30,</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2023 and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December 31, 2022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1,530,001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September 30, 2023</w:t>
            </w: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000" w:type="dxa"/>
            <w:vAlign w:val="bottom"/>
            <w:vMerge w:val="continue"/>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1,495,001</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ectPr>
          <w:pgSz w:w="11900" w:h="16840" w:orient="portrait"/>
          <w:cols w:equalWidth="0" w:num="1">
            <w:col w:w="9020"/>
          </w:cols>
          <w:pgMar w:left="1440" w:top="557" w:right="1440" w:bottom="1440" w:gutter="0" w:footer="0" w:header="0"/>
        </w:sectPr>
      </w:pPr>
    </w:p>
    <w:p>
      <w:pPr>
        <w:spacing w:after="0" w:line="33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Weighted-</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Average</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Exercise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Price</w:t>
      </w:r>
    </w:p>
    <w:p>
      <w:pPr>
        <w:spacing w:after="0" w:line="39" w:lineRule="exact"/>
        <w:rPr>
          <w:sz w:val="20"/>
          <w:szCs w:val="20"/>
          <w:color w:val="auto"/>
        </w:rPr>
      </w:pPr>
    </w:p>
    <w:p>
      <w:pPr>
        <w:sectPr>
          <w:pgSz w:w="11900" w:h="16840" w:orient="portrait"/>
          <w:cols w:equalWidth="0" w:num="2">
            <w:col w:w="6740" w:space="500"/>
            <w:col w:w="1780"/>
          </w:cols>
          <w:pgMar w:left="1440" w:top="557" w:right="1440" w:bottom="1440" w:gutter="0" w:footer="0" w:header="0"/>
          <w:type w:val="continuous"/>
        </w:sectPr>
      </w:pPr>
    </w:p>
    <w:tbl>
      <w:tblPr>
        <w:tblLayout w:type="fixed"/>
        <w:tblInd w:w="900" w:type="dxa"/>
        <w:tblCellMar>
          <w:top w:w="0" w:type="dxa"/>
          <w:left w:w="0" w:type="dxa"/>
          <w:bottom w:w="0" w:type="dxa"/>
          <w:right w:w="0" w:type="dxa"/>
        </w:tblCellMar>
      </w:tblPr>
      <w:tr>
        <w:trPr>
          <w:trHeight w:val="20"/>
        </w:trPr>
        <w:tc>
          <w:tcPr>
            <w:tcW w:w="50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at December 31, 2021</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128,476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427.00</w:t>
            </w:r>
          </w:p>
        </w:tc>
        <w:tc>
          <w:tcPr>
            <w:tcW w:w="0" w:type="dxa"/>
            <w:vAlign w:val="bottom"/>
          </w:tcPr>
          <w:p>
            <w:pPr>
              <w:spacing w:after="0"/>
              <w:rPr>
                <w:sz w:val="1"/>
                <w:szCs w:val="1"/>
                <w:color w:val="auto"/>
              </w:rPr>
            </w:pPr>
          </w:p>
        </w:tc>
      </w:tr>
      <w:tr>
        <w:trPr>
          <w:trHeight w:val="26"/>
        </w:trPr>
        <w:tc>
          <w:tcPr>
            <w:tcW w:w="5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(8,295)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Warrants outstanding at September 30, 2022</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00" w:type="dxa"/>
            <w:vAlign w:val="bottom"/>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121,539</w:t>
            </w:r>
          </w:p>
        </w:tc>
        <w:tc>
          <w:tcPr>
            <w:tcW w:w="100" w:type="dxa"/>
            <w:vAlign w:val="bottom"/>
          </w:tcPr>
          <w:p>
            <w:pPr>
              <w:spacing w:after="0"/>
              <w:rPr>
                <w:sz w:val="20"/>
                <w:szCs w:val="20"/>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The Company received proceeds from the exercise of cashless warrants of $0 for the three and nine months ended September 30, 2023, and $1 thousand and $2 thousand for the three and nine months ended September 30, 2022, respectively.</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13 — Income Taxes</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effective income tax rate was 0.0% and 0.2% for the nine months ended September 30, 2023 and 2022, respectively. The provision for (benefit from) income taxes was $ 0 and $0.2 million for the nine months ended September 30, 2023 and 2022, respectively. The difference between the Company’s effective tax rates for the 2023 and 2022 periods and the U.S. statutory tax rate of 21% was primarily due a valuation allowance recorded against certain deferred tax assets. The change in the provision for (benefit from) income taxes for the nine months ended September 30, 2023 compared to the nine months ended September 30, 2022 was primarily due to a recording of a valuation allowance on the company’s net deferred tax assets.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14 — Net Loss Per Share</w:t>
      </w:r>
    </w:p>
    <w:p>
      <w:pPr>
        <w:spacing w:after="0" w:line="11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92"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type w:val="continuous"/>
        </w:sectPr>
      </w:pPr>
    </w:p>
    <w:bookmarkStart w:id="230" w:name="page231"/>
    <w:bookmarkEnd w:id="230"/>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14 — Net Loss Per Share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components of basic and diluted net loss per share were as follows:</w:t>
      </w:r>
    </w:p>
    <w:p>
      <w:pPr>
        <w:spacing w:after="0" w:line="151"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3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8"/>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28"/>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20" w:type="dxa"/>
            <w:vAlign w:val="bottom"/>
          </w:tcPr>
          <w:p>
            <w:pPr>
              <w:spacing w:after="0"/>
              <w:rPr>
                <w:sz w:val="19"/>
                <w:szCs w:val="19"/>
                <w:color w:val="auto"/>
              </w:rPr>
            </w:pPr>
          </w:p>
        </w:tc>
        <w:tc>
          <w:tcPr>
            <w:tcW w:w="6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r>
      <w:tr>
        <w:trPr>
          <w:trHeight w:val="28"/>
        </w:trPr>
        <w:tc>
          <w:tcPr>
            <w:tcW w:w="3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6"/>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attributable to Agrify Corporation</w:t>
            </w: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(57,413)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(130,235)</w:t>
            </w:r>
          </w:p>
        </w:tc>
      </w:tr>
      <w:tr>
        <w:trPr>
          <w:trHeight w:val="26"/>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4"/>
        </w:trPr>
        <w:tc>
          <w:tcPr>
            <w:tcW w:w="3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56"/>
        </w:trPr>
        <w:tc>
          <w:tcPr>
            <w:tcW w:w="3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Weighted-average common shares outstanding –</w:t>
            </w: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1,649,741</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133,526</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1,426,016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129,832</w:t>
            </w:r>
          </w:p>
        </w:tc>
      </w:tr>
      <w:tr>
        <w:trPr>
          <w:trHeight w:val="155"/>
        </w:trPr>
        <w:tc>
          <w:tcPr>
            <w:tcW w:w="3160" w:type="dxa"/>
            <w:vAlign w:val="bottom"/>
            <w:tcBorders>
              <w:top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loss per share attributable to Common</w:t>
            </w: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r>
      <w:tr>
        <w:trPr>
          <w:trHeight w:val="216"/>
        </w:trPr>
        <w:tc>
          <w:tcPr>
            <w:tcW w:w="3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 –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  $</w:t>
            </w: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(429.</w:t>
            </w:r>
            <w:r>
              <w:rPr>
                <w:rFonts w:ascii="Times New Roman" w:cs="Times New Roman" w:eastAsia="Times New Roman" w:hAnsi="Times New Roman"/>
                <w:sz w:val="16"/>
                <w:szCs w:val="16"/>
                <w:u w:val="single" w:color="auto"/>
                <w:color w:val="auto"/>
              </w:rPr>
              <w:t>98</w:t>
            </w: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(13.48)  $</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(1,003.</w:t>
            </w:r>
            <w:r>
              <w:rPr>
                <w:rFonts w:ascii="Times New Roman" w:cs="Times New Roman" w:eastAsia="Times New Roman" w:hAnsi="Times New Roman"/>
                <w:sz w:val="16"/>
                <w:szCs w:val="16"/>
                <w:u w:val="single" w:color="auto"/>
                <w:color w:val="auto"/>
              </w:rPr>
              <w:t>10</w:t>
            </w:r>
            <w:r>
              <w:rPr>
                <w:rFonts w:ascii="Times New Roman" w:cs="Times New Roman" w:eastAsia="Times New Roman" w:hAnsi="Times New Roman"/>
                <w:sz w:val="16"/>
                <w:szCs w:val="16"/>
                <w:color w:val="auto"/>
              </w:rPr>
              <w:t>)</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500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w:t>
            </w:r>
          </w:p>
        </w:tc>
      </w:tr>
      <w:tr>
        <w:trPr>
          <w:trHeight w:val="168"/>
        </w:trPr>
        <w:tc>
          <w:tcPr>
            <w:tcW w:w="50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1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8"/>
        </w:trPr>
        <w:tc>
          <w:tcPr>
            <w:tcW w:w="50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50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8"/>
        </w:trPr>
        <w:tc>
          <w:tcPr>
            <w:tcW w:w="50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outstanding stock options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14,286</w:t>
            </w:r>
          </w:p>
        </w:tc>
        <w:tc>
          <w:tcPr>
            <w:tcW w:w="20" w:type="dxa"/>
            <w:vAlign w:val="bottom"/>
          </w:tcPr>
          <w:p>
            <w:pPr>
              <w:spacing w:after="0"/>
              <w:rPr>
                <w:sz w:val="19"/>
                <w:szCs w:val="19"/>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Shares subject to unvested restricted stock units</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8,965</w:t>
            </w:r>
          </w:p>
        </w:tc>
      </w:tr>
      <w:tr>
        <w:trPr>
          <w:trHeight w:val="26"/>
        </w:trPr>
        <w:tc>
          <w:tcPr>
            <w:tcW w:w="5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57"/>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subject to outstanding warrants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1,495,001</w:t>
            </w:r>
          </w:p>
        </w:tc>
        <w:tc>
          <w:tcPr>
            <w:tcW w:w="100" w:type="dxa"/>
            <w:vAlign w:val="bottom"/>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121,539</w:t>
            </w:r>
          </w:p>
        </w:tc>
        <w:tc>
          <w:tcPr>
            <w:tcW w:w="20" w:type="dxa"/>
            <w:vAlign w:val="bottom"/>
          </w:tcPr>
          <w:p>
            <w:pPr>
              <w:spacing w:after="0"/>
              <w:rPr>
                <w:sz w:val="22"/>
                <w:szCs w:val="22"/>
                <w:color w:val="auto"/>
              </w:rPr>
            </w:pPr>
          </w:p>
        </w:tc>
      </w:tr>
      <w:tr>
        <w:trPr>
          <w:trHeight w:val="238"/>
        </w:trPr>
        <w:tc>
          <w:tcPr>
            <w:tcW w:w="50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1,508,565</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144,790</w:t>
            </w:r>
          </w:p>
        </w:tc>
      </w:tr>
      <w:tr>
        <w:trPr>
          <w:trHeight w:val="20"/>
        </w:trPr>
        <w:tc>
          <w:tcPr>
            <w:tcW w:w="5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15 — Commitments and Contingencies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Legal Matters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Bud &amp; Mary’s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01"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w:t>
      </w:r>
    </w:p>
    <w:p>
      <w:pPr>
        <w:spacing w:after="0" w:line="97"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1" w:name="page232"/>
    <w:bookmarkEnd w:id="231"/>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Commitments and Contingencies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00"/>
        <w:spacing w:after="0" w:line="241" w:lineRule="auto"/>
        <w:rPr>
          <w:sz w:val="20"/>
          <w:szCs w:val="20"/>
          <w:color w:val="auto"/>
        </w:rPr>
      </w:pPr>
      <w:r>
        <w:rPr>
          <w:rFonts w:ascii="Times New Roman" w:cs="Times New Roman" w:eastAsia="Times New Roman" w:hAnsi="Times New Roman"/>
          <w:sz w:val="16"/>
          <w:szCs w:val="16"/>
          <w:color w:val="auto"/>
        </w:rPr>
        <w:t>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during October 2023, and Agrify will be permitted to make responsive filings, which may include an answer and counterclaim.</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Bowdoin Construction Corp.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6"/>
          <w:szCs w:val="16"/>
          <w:i w:val="1"/>
          <w:iCs w:val="1"/>
          <w:color w:val="auto"/>
        </w:rPr>
        <w:t>Bowdoin Construction Corp. v. Agrify Corporation, Bud &amp; Mary’s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Cultivation, Inc. and BMLC2, LLC</w:t>
      </w:r>
      <w:r>
        <w:rPr>
          <w:rFonts w:ascii="Times New Roman" w:cs="Times New Roman" w:eastAsia="Times New Roman" w:hAnsi="Times New Roman"/>
          <w:sz w:val="16"/>
          <w:szCs w:val="16"/>
          <w:color w:val="auto"/>
        </w:rPr>
        <w:t>, case no. 2382CV00173. The Bowdoin Complaint relates to a construction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contract 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Company is entitled to indemnification by Bud &amp; Mary’s and intends to vigorously defend this claim.</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Mack Molding Co.</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9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w:t>
      </w:r>
    </w:p>
    <w:p>
      <w:pPr>
        <w:spacing w:after="0" w:line="98"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March 2, 2023, Mack filed an arbitration action seeking the amounts owed to Mack for purchased inventory. On October 27, 2023, and effective as of October 18, 2023, Mack and the Company entered into a Modification and Settlement Agreement with respect to the dispute. See Note 17 — Subsequent Events.</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TRC Electronics Litigation</w:t>
      </w:r>
    </w:p>
    <w:p>
      <w:pPr>
        <w:spacing w:after="0" w:line="120" w:lineRule="exact"/>
        <w:rPr>
          <w:sz w:val="20"/>
          <w:szCs w:val="20"/>
          <w:color w:val="auto"/>
        </w:rPr>
      </w:pPr>
    </w:p>
    <w:p>
      <w:pPr>
        <w:jc w:val="both"/>
        <w:ind w:left="900" w:right="900" w:firstLine="384"/>
        <w:spacing w:after="0" w:line="280" w:lineRule="auto"/>
        <w:rPr>
          <w:sz w:val="20"/>
          <w:szCs w:val="20"/>
          <w:color w:val="auto"/>
        </w:rPr>
      </w:pPr>
      <w:r>
        <w:rPr>
          <w:rFonts w:ascii="Times New Roman" w:cs="Times New Roman" w:eastAsia="Times New Roman" w:hAnsi="Times New Roman"/>
          <w:sz w:val="14"/>
          <w:szCs w:val="14"/>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 -judgment interest. The Company has filed an answer denying liability on TRC’s claims and is proceeding with discovery.</w:t>
      </w:r>
    </w:p>
    <w:p>
      <w:pPr>
        <w:spacing w:after="0" w:line="1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2" w:name="page233"/>
    <w:bookmarkEnd w:id="232"/>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Commitments and Contingencies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Sinclair Scientific Litigation</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The Company and Precision filed an answer to the counterclaims denying all liability on the claims and discovery in the Delaware Action has recently commenced.</w:t>
      </w:r>
    </w:p>
    <w:p>
      <w:pPr>
        <w:spacing w:after="0" w:line="1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Other Litigation</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In September 2023, the Company settled a legal dispute with a specific customer which resulted in the recognition of a gain of approximately $0.9 million, of which $0.3 million was paid in October 2023, with the remaining approximate $0.6 million to be paid in equal monthly installments, beginning in January, 2024. This gain was recognized as part of Other expense, net per the Condensed Consolidated Statement of Operations for the quarter ended September 30, 2023, with the approximate $0.9 million receivable balance recognized as part of Prepaid expenses and other current assets, per the Condensed Consolidated Balance Sheet, as of September 30, 2023. The settlement also resulted in the return of equipment to the Company, in October 2023.</w:t>
      </w:r>
    </w:p>
    <w:p>
      <w:pPr>
        <w:spacing w:after="0" w:line="9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In addition to the above, the Company entered into several additional vendor settlement agreements during the quarter ended September 30, 2023, which resulted in an aggregate gain being recognized for the quarter ended September 30, 2023, and a corresponding reduction in accounts payable owing by the Company, as of September 30, 2023, of approximately $1 million.</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Commitments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Supply Agreement with Mack Molding Co.</w:t>
      </w:r>
    </w:p>
    <w:p>
      <w:pPr>
        <w:spacing w:after="0" w:line="120"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In December 2020, the Company entered into a five-year supply agreement with Mack Molding Co. (“Mack”) pursuant to which Mack would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99"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June 30, 2023, the Company owed</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3" w:name="page234"/>
    <w:bookmarkEnd w:id="233"/>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15 — Commitments and Contingencies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43" w:lineRule="auto"/>
        <w:rPr>
          <w:sz w:val="20"/>
          <w:szCs w:val="20"/>
          <w:color w:val="auto"/>
        </w:rPr>
      </w:pPr>
      <w:r>
        <w:rPr>
          <w:rFonts w:ascii="Times New Roman" w:cs="Times New Roman" w:eastAsia="Times New Roman" w:hAnsi="Times New Roman"/>
          <w:sz w:val="16"/>
          <w:szCs w:val="16"/>
          <w:color w:val="auto"/>
        </w:rPr>
        <w:t>Mack $8.4 million for purchased inventory on behalf of the Company to produce VFUs, which is included in accounts payable in the consolidated balance sheet. On October 27, 2023, and effective as of October 18, 2023, Mack and the Company entered into a Modification and Settlement Agreement with respect to the dispute. See Note 17 — Subsequent Events.</w:t>
      </w:r>
    </w:p>
    <w:p>
      <w:pPr>
        <w:spacing w:after="0" w:line="16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Distribution Agreements with Related Party — Bluezone Products, Inc.</w:t>
      </w:r>
    </w:p>
    <w:p>
      <w:pPr>
        <w:spacing w:after="0" w:line="120" w:lineRule="exact"/>
        <w:rPr>
          <w:sz w:val="20"/>
          <w:szCs w:val="20"/>
          <w:color w:val="auto"/>
        </w:rPr>
      </w:pPr>
    </w:p>
    <w:p>
      <w:pPr>
        <w:jc w:val="both"/>
        <w:ind w:left="900" w:right="900" w:firstLine="384"/>
        <w:spacing w:after="0" w:line="238" w:lineRule="auto"/>
        <w:rPr>
          <w:sz w:val="20"/>
          <w:szCs w:val="20"/>
          <w:color w:val="auto"/>
        </w:rPr>
      </w:pPr>
      <w:r>
        <w:rPr>
          <w:rFonts w:ascii="Times New Roman" w:cs="Times New Roman" w:eastAsia="Times New Roman" w:hAnsi="Times New Roman"/>
          <w:sz w:val="16"/>
          <w:szCs w:val="16"/>
          <w:color w:val="auto"/>
        </w:rPr>
        <w:t>On September 7, 2019, the Company entered into a distribution agreement with Bluezone Products, Inc. (“Bluezone”) for distribution rights to the Bluezone products with certain exclusivity rights. The agreement requires minimum purchases amounting to $0.5 million and $0.6 million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$0.3 million of the committed $0.7 million second-year purchases through December 31, 2021. Bluezone is a related party to the Company.</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Committed Purchase Agreement with Related Party–4D Bios, Inc.</w:t>
      </w:r>
    </w:p>
    <w:p>
      <w:pPr>
        <w:spacing w:after="0" w:line="120"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$0.9 million paid to 4D. 4D is a related party to the Company. The Company settled all outstanding commitments, leaving no open committed purchases as of December 31, 2021.</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i w:val="1"/>
          <w:iCs w:val="1"/>
          <w:color w:val="auto"/>
        </w:rPr>
        <w:t>Committed Purchase Agreement with Related Party — Ora Pharm</w:t>
      </w:r>
    </w:p>
    <w:p>
      <w:pPr>
        <w:spacing w:after="0" w:line="120" w:lineRule="exact"/>
        <w:rPr>
          <w:sz w:val="20"/>
          <w:szCs w:val="20"/>
          <w:color w:val="auto"/>
        </w:rPr>
      </w:pPr>
    </w:p>
    <w:p>
      <w:pPr>
        <w:jc w:val="both"/>
        <w:ind w:left="900" w:right="920" w:firstLine="384"/>
        <w:spacing w:after="0" w:line="243" w:lineRule="auto"/>
        <w:rPr>
          <w:sz w:val="20"/>
          <w:szCs w:val="20"/>
          <w:color w:val="auto"/>
        </w:rPr>
      </w:pPr>
      <w:r>
        <w:rPr>
          <w:rFonts w:ascii="Times New Roman" w:cs="Times New Roman" w:eastAsia="Times New Roman" w:hAnsi="Times New Roman"/>
          <w:sz w:val="16"/>
          <w:szCs w:val="16"/>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Other Commitments and Contingencies</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95" w:lineRule="exact"/>
        <w:rPr>
          <w:sz w:val="20"/>
          <w:szCs w:val="20"/>
          <w:color w:val="auto"/>
        </w:rPr>
      </w:pPr>
    </w:p>
    <w:p>
      <w:pPr>
        <w:jc w:val="both"/>
        <w:ind w:left="900" w:right="920" w:firstLine="384"/>
        <w:spacing w:after="0" w:line="241" w:lineRule="auto"/>
        <w:rPr>
          <w:sz w:val="20"/>
          <w:szCs w:val="20"/>
          <w:color w:val="auto"/>
        </w:rPr>
      </w:pPr>
      <w:r>
        <w:rPr>
          <w:rFonts w:ascii="Times New Roman" w:cs="Times New Roman" w:eastAsia="Times New Roman" w:hAnsi="Times New Roman"/>
          <w:sz w:val="16"/>
          <w:szCs w:val="16"/>
          <w:color w:val="auto"/>
        </w:rPr>
        <w:t>Refer to Note 8 — Debt, included elsewhere in the notes to the consolidated financial statements for details of the Company’s future minimum debt payments. Refer to Note 9 — Leases, included elsewhere in the notes to the consolidated financial statements for details of the Company’s future minimum lease payments under operating and financing lease liabilities. Refer to Note 13 — Income Taxes, included elsewhere in the notes to the consolidated financial statements for information regarding income tax contingencies.</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4" w:name="page235"/>
    <w:bookmarkEnd w:id="234"/>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16 — Related Parties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Some of the officers and directors of the Company are involved in other business activities and may, in the future, become involved in other business opportunities that become available.</w:t>
      </w:r>
    </w:p>
    <w:p>
      <w:pPr>
        <w:spacing w:after="0" w:line="83"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following table describes the net purchasing (sales) activity with entities identified as related parties to the Company:</w:t>
      </w:r>
    </w:p>
    <w:p>
      <w:pPr>
        <w:spacing w:after="0" w:line="118"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5"/>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40" w:type="dxa"/>
            <w:vAlign w:val="bottom"/>
            <w:gridSpan w:val="4"/>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8"/>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8"/>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Bluezone</w:t>
            </w:r>
          </w:p>
        </w:tc>
        <w:tc>
          <w:tcPr>
            <w:tcW w:w="84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Borders>
              <w:bottom w:val="single" w:sz="8" w:color="CCEEFF"/>
            </w:tcBorders>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5</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Cannae Policy Group</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25</w:t>
            </w:r>
          </w:p>
        </w:tc>
      </w:tr>
      <w:tr>
        <w:trPr>
          <w:trHeight w:val="26"/>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Topline Performance Group</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71</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NEIA</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jc w:val="right"/>
              <w:ind w:right="6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(43)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(1,763)</w:t>
            </w:r>
          </w:p>
        </w:tc>
      </w:tr>
      <w:tr>
        <w:trPr>
          <w:trHeight w:val="26"/>
        </w:trPr>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4"/>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Greenstone Holdings</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392</w:t>
            </w:r>
          </w:p>
        </w:tc>
      </w:t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Valiant Americas, LLC</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4"/>
              </w:rPr>
              <w:t>1,315</w:t>
            </w:r>
          </w:p>
        </w:tc>
        <w:tc>
          <w:tcPr>
            <w:tcW w:w="680" w:type="dxa"/>
            <w:vAlign w:val="bottom"/>
          </w:tcPr>
          <w:p>
            <w:pPr>
              <w:spacing w:after="0"/>
              <w:rPr>
                <w:sz w:val="20"/>
                <w:szCs w:val="20"/>
                <w:color w:val="auto"/>
              </w:rPr>
            </w:pPr>
          </w:p>
        </w:tc>
        <w:tc>
          <w:tcPr>
            <w:tcW w:w="3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11,120</w:t>
            </w:r>
          </w:p>
        </w:tc>
      </w:tr>
    </w:tbl>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following table summarizes net related party (payable) receivable as of September 30, 2023 and</w:t>
      </w:r>
    </w:p>
    <w:p>
      <w:pPr>
        <w:spacing w:after="0" w:line="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December 31, 2022:</w:t>
      </w:r>
    </w:p>
    <w:p>
      <w:pPr>
        <w:spacing w:after="0" w:line="133" w:lineRule="exact"/>
        <w:rPr>
          <w:sz w:val="20"/>
          <w:szCs w:val="20"/>
          <w:color w:val="auto"/>
        </w:rPr>
      </w:pPr>
    </w:p>
    <w:tbl>
      <w:tblPr>
        <w:tblLayout w:type="fixed"/>
        <w:tblInd w:w="900" w:type="dxa"/>
        <w:tblCellMar>
          <w:top w:w="0" w:type="dxa"/>
          <w:left w:w="0" w:type="dxa"/>
          <w:bottom w:w="0" w:type="dxa"/>
          <w:right w:w="0" w:type="dxa"/>
        </w:tblCellMar>
      </w:tblPr>
      <w:tr>
        <w:trPr>
          <w:trHeight w:val="168"/>
        </w:trPr>
        <w:tc>
          <w:tcPr>
            <w:tcW w:w="4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8"/>
        </w:trPr>
        <w:tc>
          <w:tcPr>
            <w:tcW w:w="4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4"/>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Bluezone</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w:t>
            </w: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6"/>
                <w:szCs w:val="16"/>
                <w:color w:val="auto"/>
              </w:rPr>
              <w:t>Valiant Americas, LLC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84"/>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r>
      <w:tr>
        <w:trPr>
          <w:trHeight w:val="26"/>
        </w:trPr>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Topline Performance Group</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w:t>
            </w:r>
          </w:p>
        </w:tc>
      </w:tr>
      <w:tr>
        <w:trPr>
          <w:trHeight w:val="26"/>
        </w:trPr>
        <w:tc>
          <w:tcPr>
            <w:tcW w:w="4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On July 12, 2023, the Company issued an unsecured promissory note in favor of GIC Acquisition, LLC, an entity that is owned and managed by the Company’s Chairman and Chief Executive Officer. Refer to footnote 8 for further disclosure related to this Related Party Note.</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17 — Subsequent Events</w:t>
      </w:r>
    </w:p>
    <w:p>
      <w:pPr>
        <w:spacing w:after="0" w:line="118" w:lineRule="exact"/>
        <w:rPr>
          <w:sz w:val="20"/>
          <w:szCs w:val="20"/>
          <w:color w:val="auto"/>
        </w:rPr>
      </w:pPr>
    </w:p>
    <w:p>
      <w:pPr>
        <w:jc w:val="both"/>
        <w:ind w:left="900" w:right="920" w:firstLine="384"/>
        <w:spacing w:after="0" w:line="259" w:lineRule="auto"/>
        <w:rPr>
          <w:sz w:val="20"/>
          <w:szCs w:val="20"/>
          <w:color w:val="auto"/>
        </w:rPr>
      </w:pPr>
      <w:r>
        <w:rPr>
          <w:rFonts w:ascii="Times New Roman" w:cs="Times New Roman" w:eastAsia="Times New Roman" w:hAnsi="Times New Roman"/>
          <w:sz w:val="16"/>
          <w:szCs w:val="16"/>
          <w:color w:val="auto"/>
        </w:rPr>
        <w:t>The Company evaluated subsequent events and transactions that occurred after the balance sheet date up to the date that the financial statements were issued.</w:t>
      </w:r>
    </w:p>
    <w:p>
      <w:pPr>
        <w:spacing w:after="0" w:line="15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Nasdaq Deficiency Notices</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The Nasdaq granted the Company an exception until October 16, 2023, to file its 2022 Form 10-K and First and Second Quarter 2023 Forms 10-Q (the “Delayed Reports”). The Nasdaq Notice had no immediate effect on the listing of the Company’s Common Stock on The Nasdaq Stock Market LLC. The Company filed its 2022 Form 10-K, First Quarter 2023 Form 10-Q and Second Quarter 2023 Form 10-Q, on November 28, 2023, November 28, 2023 and December 12, 2023, respectively.</w:t>
      </w:r>
    </w:p>
    <w:p>
      <w:pPr>
        <w:spacing w:after="0" w:line="97"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17, 2023, the Company received the Staff Determination from the Listing Qualifications Department of Nasdaq notifying the Company that it was not in compliance with Nasdaq’s continued listing requirements under the Listing Rule as a result of its failure to file the Delinquent Reports in a timely manner. The Company timely requested a hearing before the Nasdaq Hearings Panel (the “Panel”), and the Panel scheduled a hearing for January 11, 2024.</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Mack Molding Modification Agreement</w:t>
      </w:r>
    </w:p>
    <w:p>
      <w:pPr>
        <w:spacing w:after="0" w:line="118"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under the Supply Agreement between the parties dated December 7, 2020 (the “Supply Agreement”). The Modification Agreement requires the Company to make payments of $500,000 and $250,000 to Mack on or before November 1, 2023 and February 15,</w:t>
      </w:r>
    </w:p>
    <w:p>
      <w:pPr>
        <w:spacing w:after="0" w:line="1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5" w:name="page236"/>
    <w:bookmarkEnd w:id="235"/>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Subsequent Events </w:t>
      </w:r>
      <w:r>
        <w:rPr>
          <w:rFonts w:ascii="Times New Roman" w:cs="Times New Roman" w:eastAsia="Times New Roman" w:hAnsi="Times New Roman"/>
          <w:sz w:val="16"/>
          <w:szCs w:val="16"/>
          <w:color w:val="auto"/>
        </w:rPr>
        <w:t>(cont.)</w:t>
      </w:r>
    </w:p>
    <w:p>
      <w:pPr>
        <w:spacing w:after="0" w:line="154" w:lineRule="exact"/>
        <w:rPr>
          <w:sz w:val="20"/>
          <w:szCs w:val="20"/>
          <w:color w:val="auto"/>
        </w:rPr>
      </w:pPr>
    </w:p>
    <w:p>
      <w:pPr>
        <w:jc w:val="both"/>
        <w:ind w:left="900" w:right="920"/>
        <w:spacing w:after="0" w:line="280" w:lineRule="auto"/>
        <w:rPr>
          <w:sz w:val="20"/>
          <w:szCs w:val="20"/>
          <w:color w:val="auto"/>
        </w:rPr>
      </w:pPr>
      <w:r>
        <w:rPr>
          <w:rFonts w:ascii="Times New Roman" w:cs="Times New Roman" w:eastAsia="Times New Roman" w:hAnsi="Times New Roman"/>
          <w:sz w:val="14"/>
          <w:szCs w:val="14"/>
          <w:color w:val="auto"/>
        </w:rPr>
        <w:t>2024, respectively. The Company has made the first of these two payments in the amount of $500,000. Following the November 1, 2023 payment, the Company is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73"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Additionally, as part of the Modification Agreement, the Company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Purchase</w:t>
      </w:r>
    </w:p>
    <w:p>
      <w:pPr>
        <w:spacing w:after="0" w:line="118" w:lineRule="exact"/>
        <w:rPr>
          <w:sz w:val="20"/>
          <w:szCs w:val="20"/>
          <w:color w:val="auto"/>
        </w:rPr>
      </w:pPr>
    </w:p>
    <w:p>
      <w:pPr>
        <w:jc w:val="both"/>
        <w:ind w:left="900" w:right="900" w:firstLine="384"/>
        <w:spacing w:after="0" w:line="241" w:lineRule="auto"/>
        <w:rPr>
          <w:sz w:val="20"/>
          <w:szCs w:val="20"/>
          <w:color w:val="auto"/>
        </w:rPr>
      </w:pPr>
      <w:r>
        <w:rPr>
          <w:rFonts w:ascii="Times New Roman" w:cs="Times New Roman" w:eastAsia="Times New Roman" w:hAnsi="Times New Roman"/>
          <w:sz w:val="16"/>
          <w:szCs w:val="16"/>
          <w:color w:val="auto"/>
        </w:rPr>
        <w:t>On October 27, 2023, CP Acquisitions LLC (the “New Lender”), an entity affiliated with and controlled by Raymond Chang, the Company’s Chief Executive Officer, purchased the Exchange Note and the Convertible Note from their holder (the “Note Purchase”).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Warrant Issuance</w:t>
      </w:r>
    </w:p>
    <w:p>
      <w:pPr>
        <w:spacing w:after="0" w:line="118" w:lineRule="exact"/>
        <w:rPr>
          <w:sz w:val="20"/>
          <w:szCs w:val="20"/>
          <w:color w:val="auto"/>
        </w:rPr>
      </w:pPr>
    </w:p>
    <w:p>
      <w:pPr>
        <w:jc w:val="both"/>
        <w:ind w:left="900" w:right="900" w:firstLine="384"/>
        <w:spacing w:after="0" w:line="239" w:lineRule="auto"/>
        <w:rPr>
          <w:sz w:val="20"/>
          <w:szCs w:val="20"/>
          <w:color w:val="auto"/>
        </w:rPr>
      </w:pPr>
      <w:r>
        <w:rPr>
          <w:rFonts w:ascii="Times New Roman" w:cs="Times New Roman" w:eastAsia="Times New Roman" w:hAnsi="Times New Roman"/>
          <w:sz w:val="16"/>
          <w:szCs w:val="16"/>
          <w:color w:val="auto"/>
        </w:rPr>
        <w:t>On October 27, 2023, as a condition precedent to the Note Purchase, the Company entered into a letter agreement (the “Letter Agreement”) with the holder of the Exchange Note and the Convertible Note. Pursuant to the agreement, the Company agreed to exchange $3.0 million in principal and approximately $1.1 million in accrued but unpaid interest outstanding under the Exchange Note to purchase 2,809,669 shares of common stock (the “Exchange Warrant”). Additionally, the Company agreed to exchange the 375,629 shares of common stock held in abeyance for the Investor under the terms of the Letter Agreement for a warrant to purchase 375,629 shares of common stock (the “Abeyance Warrant”).</w:t>
      </w:r>
    </w:p>
    <w:p>
      <w:pPr>
        <w:spacing w:after="0" w:line="98" w:lineRule="exact"/>
        <w:rPr>
          <w:sz w:val="20"/>
          <w:szCs w:val="20"/>
          <w:color w:val="auto"/>
        </w:rPr>
      </w:pPr>
    </w:p>
    <w:p>
      <w:pPr>
        <w:jc w:val="both"/>
        <w:ind w:left="900" w:right="900" w:firstLine="384"/>
        <w:spacing w:after="0" w:line="247" w:lineRule="auto"/>
        <w:rPr>
          <w:sz w:val="20"/>
          <w:szCs w:val="20"/>
          <w:color w:val="auto"/>
        </w:rPr>
      </w:pPr>
      <w:r>
        <w:rPr>
          <w:rFonts w:ascii="Times New Roman" w:cs="Times New Roman" w:eastAsia="Times New Roman" w:hAnsi="Times New Roman"/>
          <w:sz w:val="16"/>
          <w:szCs w:val="16"/>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92" w:lineRule="exact"/>
        <w:rPr>
          <w:sz w:val="20"/>
          <w:szCs w:val="20"/>
          <w:color w:val="auto"/>
        </w:rPr>
      </w:pPr>
    </w:p>
    <w:p>
      <w:pPr>
        <w:jc w:val="both"/>
        <w:ind w:left="900" w:right="900" w:firstLine="384"/>
        <w:spacing w:after="0" w:line="237" w:lineRule="auto"/>
        <w:rPr>
          <w:sz w:val="20"/>
          <w:szCs w:val="20"/>
          <w:color w:val="auto"/>
        </w:rPr>
      </w:pPr>
      <w:r>
        <w:rPr>
          <w:rFonts w:ascii="Times New Roman" w:cs="Times New Roman" w:eastAsia="Times New Roman" w:hAnsi="Times New Roman"/>
          <w:sz w:val="16"/>
          <w:szCs w:val="16"/>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102"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6" w:name="page237"/>
    <w:bookmarkEnd w:id="236"/>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AGRIFY CORPORATION</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6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 xml:space="preserve">Note 17 — Subsequent Events </w:t>
      </w:r>
      <w:r>
        <w:rPr>
          <w:rFonts w:ascii="Times New Roman" w:cs="Times New Roman" w:eastAsia="Times New Roman" w:hAnsi="Times New Roman"/>
          <w:sz w:val="16"/>
          <w:szCs w:val="16"/>
          <w:color w:val="auto"/>
        </w:rPr>
        <w:t>(cont.)</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Note Amendment and Secured Promissory Note</w:t>
      </w:r>
    </w:p>
    <w:p>
      <w:pPr>
        <w:spacing w:after="0" w:line="118" w:lineRule="exact"/>
        <w:rPr>
          <w:sz w:val="20"/>
          <w:szCs w:val="20"/>
          <w:color w:val="auto"/>
        </w:rPr>
      </w:pPr>
    </w:p>
    <w:p>
      <w:pPr>
        <w:jc w:val="both"/>
        <w:ind w:left="900" w:right="900" w:firstLine="384"/>
        <w:spacing w:after="0" w:line="243" w:lineRule="auto"/>
        <w:rPr>
          <w:sz w:val="20"/>
          <w:szCs w:val="20"/>
          <w:color w:val="auto"/>
        </w:rPr>
      </w:pPr>
      <w:r>
        <w:rPr>
          <w:rFonts w:ascii="Times New Roman" w:cs="Times New Roman" w:eastAsia="Times New Roman" w:hAnsi="Times New Roman"/>
          <w:sz w:val="16"/>
          <w:szCs w:val="16"/>
          <w:color w:val="auto"/>
        </w:rPr>
        <w:t>On October 27, 2023, GIC and the Company amended and restated the Related Party Note (the “Restated Related Party Note”). Pursuant to the terms of the Restated Related Party Note, the Maturity Date was extended until December 31, 2023 and the Company granted a security interest in the Company’s assets that ranks junior to the Exchange Note and the Convertible Note.</w:t>
      </w:r>
    </w:p>
    <w:p>
      <w:pPr>
        <w:spacing w:after="0" w:line="95" w:lineRule="exact"/>
        <w:rPr>
          <w:sz w:val="20"/>
          <w:szCs w:val="20"/>
          <w:color w:val="auto"/>
        </w:rPr>
      </w:pPr>
    </w:p>
    <w:p>
      <w:pPr>
        <w:jc w:val="both"/>
        <w:ind w:left="900" w:right="920" w:firstLine="384"/>
        <w:spacing w:after="0" w:line="239" w:lineRule="auto"/>
        <w:rPr>
          <w:sz w:val="20"/>
          <w:szCs w:val="20"/>
          <w:color w:val="auto"/>
        </w:rPr>
      </w:pPr>
      <w:r>
        <w:rPr>
          <w:rFonts w:ascii="Times New Roman" w:cs="Times New Roman" w:eastAsia="Times New Roman" w:hAnsi="Times New Roman"/>
          <w:sz w:val="16"/>
          <w:szCs w:val="16"/>
          <w:color w:val="auto"/>
        </w:rPr>
        <w:t>Concurrent with the Restated Related Party Note, the Company issued a junior secured promissory note (the “Junior Secured Note”) to the New Lender. Pursuant to the Junior Secured Note, the New Lender will lend up to $3,000,000 to the Company, of which $ 2,000,000 was drawn. The Junior Secured Note bears interest at a rate of 10% per annum, will mature in full on December 31, 2023, and may be prepaid without any fee or penalty. The Junior Secured Note is a secured obligation of the Company that ranks junior to the notes acquired in the Note Purchase</w:t>
      </w:r>
    </w:p>
    <w:p>
      <w:pPr>
        <w:spacing w:after="0" w:line="101" w:lineRule="exact"/>
        <w:rPr>
          <w:sz w:val="20"/>
          <w:szCs w:val="20"/>
          <w:color w:val="auto"/>
        </w:rPr>
      </w:pPr>
    </w:p>
    <w:p>
      <w:pPr>
        <w:jc w:val="both"/>
        <w:ind w:left="900" w:right="920" w:firstLine="384"/>
        <w:spacing w:after="0" w:line="247" w:lineRule="auto"/>
        <w:rPr>
          <w:sz w:val="20"/>
          <w:szCs w:val="20"/>
          <w:color w:val="auto"/>
        </w:rPr>
      </w:pPr>
      <w:r>
        <w:rPr>
          <w:rFonts w:ascii="Times New Roman" w:cs="Times New Roman" w:eastAsia="Times New Roman" w:hAnsi="Times New Roman"/>
          <w:sz w:val="16"/>
          <w:szCs w:val="16"/>
          <w:color w:val="auto"/>
        </w:rPr>
        <w:t>On December 4, 2023, the New Lender and the Company amended and restated the Junior Secured Note (the “Junior Secured Note Amendment”). Pursuant to the terms of the Junior Secured Note Amendment, the maximum principal amount that may be loaned by CP to the Company was increased to $4,000,000.</w:t>
      </w: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5715</wp:posOffset>
            </wp:positionV>
            <wp:extent cx="457327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7" w:name="page238"/>
    <w:bookmarkEnd w:id="237"/>
    <w:p>
      <w:pPr>
        <w:ind w:left="90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226695</wp:posOffset>
            </wp:positionV>
            <wp:extent cx="457327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000"/>
        <w:spacing w:after="0" w:line="260" w:lineRule="auto"/>
        <w:rPr>
          <w:sz w:val="20"/>
          <w:szCs w:val="20"/>
          <w:color w:val="auto"/>
        </w:rPr>
      </w:pPr>
      <w:r>
        <w:rPr>
          <w:rFonts w:ascii="Times New Roman" w:cs="Times New Roman" w:eastAsia="Times New Roman" w:hAnsi="Times New Roman"/>
          <w:sz w:val="25"/>
          <w:szCs w:val="25"/>
          <w:b w:val="1"/>
          <w:bCs w:val="1"/>
          <w:color w:val="auto"/>
        </w:rPr>
        <w:t>2,760,000 Shares of Common Stock and Pre-Funded Warrants to Purchase 3,963,684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1598295</wp:posOffset>
            </wp:positionV>
            <wp:extent cx="457327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73270" cy="762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478155</wp:posOffset>
            </wp:positionV>
            <wp:extent cx="739140" cy="6172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91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236855</wp:posOffset>
            </wp:positionV>
            <wp:extent cx="457327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ALEXANDER CAPITAL,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February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519430</wp:posOffset>
            </wp:positionV>
            <wp:extent cx="457327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73270" cy="7620"/>
                    </a:xfrm>
                    <a:prstGeom prst="rect">
                      <a:avLst/>
                    </a:prstGeom>
                    <a:noFill/>
                  </pic:spPr>
                </pic:pic>
              </a:graphicData>
            </a:graphic>
          </wp:anchor>
        </w:drawing>
        <w:drawing>
          <wp:anchor simplePos="0" relativeHeight="251657728" behindDoc="1" locked="0" layoutInCell="0" allowOverlap="1">
            <wp:simplePos x="0" y="0"/>
            <wp:positionH relativeFrom="column">
              <wp:posOffset>575310</wp:posOffset>
            </wp:positionH>
            <wp:positionV relativeFrom="paragraph">
              <wp:posOffset>854710</wp:posOffset>
            </wp:positionV>
            <wp:extent cx="457327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73270" cy="7620"/>
                    </a:xfrm>
                    <a:prstGeom prst="rect">
                      <a:avLst/>
                    </a:prstGeom>
                    <a:noFill/>
                  </pic:spPr>
                </pic:pic>
              </a:graphicData>
            </a:graphic>
          </wp:anchor>
        </w:drawing>
      </w:r>
    </w:p>
    <w:p>
      <w:pPr>
        <w:sectPr>
          <w:pgSz w:w="11900" w:h="16840" w:orient="portrait"/>
          <w:cols w:equalWidth="0" w:num="1">
            <w:col w:w="9020"/>
          </w:cols>
          <w:pgMar w:left="1440" w:top="557" w:right="1440" w:bottom="1440" w:gutter="0" w:footer="0" w:header="0"/>
        </w:sectPr>
      </w:pPr>
    </w:p>
    <w:bookmarkStart w:id="238" w:name="page239"/>
    <w:bookmarkEnd w:id="23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1)"/>
      <w:numFmt w:val="lowerRoman"/>
      <w:start w:val="2"/>
    </w:lvl>
  </w:abstractNum>
  <w:abstractNum w:abstractNumId="14">
    <w:nsid w:val="310C50B3"/>
    <w:multiLevelType w:val="hybridMultilevel"/>
    <w:lvl w:ilvl="0">
      <w:lvlJc w:val="left"/>
      <w:lvlText w:val="\emdash "/>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1)"/>
      <w:numFmt w:val="lowerRoman"/>
      <w:start w:val="2"/>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1)"/>
      <w:numFmt w:val="decimal"/>
      <w:start w:val="3"/>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1)"/>
      <w:numFmt w:val="decimal"/>
      <w:start w:val="1"/>
    </w:lvl>
  </w:abstractNum>
  <w:abstractNum w:abstractNumId="33">
    <w:nsid w:val="661E3F1E"/>
    <w:multiLevelType w:val="hybridMultilevel"/>
    <w:lvl w:ilvl="0">
      <w:lvlJc w:val="left"/>
      <w:lvlText w:val="(%1)"/>
      <w:numFmt w:val="decimal"/>
      <w:start w:val="1"/>
    </w:lvl>
  </w:abstractNum>
  <w:abstractNum w:abstractNumId="34">
    <w:nsid w:val="5DC79EA8"/>
    <w:multiLevelType w:val="hybridMultilevel"/>
    <w:lvl w:ilvl="0">
      <w:lvlJc w:val="left"/>
      <w:lvlText w:val="(%1)"/>
      <w:numFmt w:val="decimal"/>
      <w:start w:val="1"/>
    </w:lvl>
  </w:abstractNum>
  <w:abstractNum w:abstractNumId="35">
    <w:nsid w:val="540A471C"/>
    <w:multiLevelType w:val="hybridMultilevel"/>
    <w:lvl w:ilvl="0">
      <w:lvlJc w:val="left"/>
      <w:lvlText w:val="(%1)"/>
      <w:numFmt w:val="decimal"/>
      <w:start w:val="1"/>
    </w:lvl>
  </w:abstractNum>
  <w:abstractNum w:abstractNumId="36">
    <w:nsid w:val="7BD3EE7B"/>
    <w:multiLevelType w:val="hybridMultilevel"/>
    <w:lvl w:ilvl="0">
      <w:lvlJc w:val="left"/>
      <w:lvlText w:val="(%1)"/>
      <w:numFmt w:val="decimal"/>
      <w:start w:val="2"/>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1)"/>
      <w:numFmt w:val="decimal"/>
      <w:start w:val="1"/>
    </w:lvl>
    <w:lvl w:ilvl="1">
      <w:lvlJc w:val="left"/>
      <w:lvlText w:val="(%2)"/>
      <w:numFmt w:val="lowerLetter"/>
      <w:start w:val="1"/>
    </w:lvl>
  </w:abstractNum>
  <w:abstractNum w:abstractNumId="39">
    <w:nsid w:val="BF72B14"/>
    <w:multiLevelType w:val="hybridMultilevel"/>
    <w:lvl w:ilvl="0">
      <w:lvlJc w:val="left"/>
      <w:lvlText w:val="(%1)"/>
      <w:numFmt w:val="decimal"/>
      <w:start w:val="4"/>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a"/>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
      <w:numFmt w:val="bullet"/>
      <w:start w:val="1"/>
    </w:lvl>
  </w:abstractNum>
  <w:abstractNum w:abstractNumId="48">
    <w:nsid w:val="60B6DF70"/>
    <w:multiLevelType w:val="hybridMultilevel"/>
    <w:lvl w:ilvl="0">
      <w:lvlJc w:val="left"/>
      <w:lvlText w:val="•"/>
      <w:numFmt w:val="bullet"/>
      <w:start w:val="1"/>
    </w:lvl>
  </w:abstractNum>
  <w:abstractNum w:abstractNumId="49">
    <w:nsid w:val="6A5EE64"/>
    <w:multiLevelType w:val="hybridMultilevel"/>
    <w:lvl w:ilvl="0">
      <w:lvlJc w:val="left"/>
      <w:lvlText w:val="•"/>
      <w:numFmt w:val="bullet"/>
      <w:start w:val="1"/>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
      <w:numFmt w:val="bullet"/>
      <w:start w:val="1"/>
    </w:lvl>
  </w:abstractNum>
  <w:abstractNum w:abstractNumId="56">
    <w:nsid w:val="6EB5BD4"/>
    <w:multiLevelType w:val="hybridMultilevel"/>
    <w:lvl w:ilvl="0">
      <w:lvlJc w:val="left"/>
      <w:lvlText w:val="(%1)"/>
      <w:numFmt w:val="lowerRoman"/>
      <w:start w:val="4"/>
    </w:lvl>
  </w:abstractNum>
  <w:abstractNum w:abstractNumId="57">
    <w:nsid w:val="6F6DD9AC"/>
    <w:multiLevelType w:val="hybridMultilevel"/>
    <w:lvl w:ilvl="0">
      <w:lvlJc w:val="left"/>
      <w:lvlText w:val="(%1)"/>
      <w:numFmt w:val="decimal"/>
      <w:start w:val="2"/>
    </w:lvl>
  </w:abstractNum>
  <w:abstractNum w:abstractNumId="58">
    <w:nsid w:val="94211F2"/>
    <w:multiLevelType w:val="hybridMultilevel"/>
    <w:lvl w:ilvl="0">
      <w:lvlJc w:val="left"/>
      <w:lvlText w:val="(%1)"/>
      <w:numFmt w:val="lowerRoman"/>
      <w:start w:val="1"/>
    </w:lvl>
  </w:abstractNum>
  <w:abstractNum w:abstractNumId="59">
    <w:nsid w:val="885E1B"/>
    <w:multiLevelType w:val="hybridMultilevel"/>
    <w:lvl w:ilvl="0">
      <w:lvlJc w:val="left"/>
      <w:lvlText w:val="(%1)"/>
      <w:numFmt w:val="lowerRoman"/>
      <w:start w:val="2"/>
    </w:lvl>
  </w:abstractNum>
  <w:abstractNum w:abstractNumId="60">
    <w:nsid w:val="76272110"/>
    <w:multiLevelType w:val="hybridMultilevel"/>
    <w:lvl w:ilvl="0">
      <w:lvlJc w:val="left"/>
      <w:lvlText w:val="•"/>
      <w:numFmt w:val="bullet"/>
      <w:start w:val="1"/>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
      <w:numFmt w:val="bullet"/>
      <w:start w:val="1"/>
    </w:lvl>
  </w:abstractNum>
  <w:abstractNum w:abstractNumId="63">
    <w:nsid w:val="14E17E33"/>
    <w:multiLevelType w:val="hybridMultilevel"/>
    <w:lvl w:ilvl="0">
      <w:lvlJc w:val="left"/>
      <w:lvlText w:val="•"/>
      <w:numFmt w:val="bullet"/>
      <w:start w:val="1"/>
    </w:lvl>
  </w:abstractNum>
  <w:abstractNum w:abstractNumId="64">
    <w:nsid w:val="3222E7CD"/>
    <w:multiLevelType w:val="hybridMultilevel"/>
    <w:lvl w:ilvl="0">
      <w:lvlJc w:val="left"/>
      <w:lvlText w:val="•"/>
      <w:numFmt w:val="bullet"/>
      <w:start w:val="1"/>
    </w:lvl>
  </w:abstractNum>
  <w:abstractNum w:abstractNumId="65">
    <w:nsid w:val="74DE0EE3"/>
    <w:multiLevelType w:val="hybridMultilevel"/>
    <w:lvl w:ilvl="0">
      <w:lvlJc w:val="left"/>
      <w:lvlText w:val="•"/>
      <w:numFmt w:val="bullet"/>
      <w:start w:val="1"/>
    </w:lvl>
  </w:abstractNum>
  <w:abstractNum w:abstractNumId="66">
    <w:nsid w:val="68EBC550"/>
    <w:multiLevelType w:val="hybridMultilevel"/>
    <w:lvl w:ilvl="0">
      <w:lvlJc w:val="left"/>
      <w:lvlText w:val="•"/>
      <w:numFmt w:val="bullet"/>
      <w:start w:val="1"/>
    </w:lvl>
  </w:abstractNum>
  <w:abstractNum w:abstractNumId="67">
    <w:nsid w:val="2DF6D648"/>
    <w:multiLevelType w:val="hybridMultilevel"/>
    <w:lvl w:ilvl="0">
      <w:lvlJc w:val="left"/>
      <w:lvlText w:val="(%1)"/>
      <w:numFmt w:val="lowerRoman"/>
      <w:start w:val="4"/>
    </w:lvl>
  </w:abstractNum>
  <w:abstractNum w:abstractNumId="68">
    <w:nsid w:val="46B7D447"/>
    <w:multiLevelType w:val="hybridMultilevel"/>
    <w:lvl w:ilvl="0">
      <w:lvlJc w:val="left"/>
      <w:lvlText w:val="(%1)"/>
      <w:numFmt w:val="lowerLetter"/>
      <w:start w:val="1"/>
    </w:lvl>
  </w:abstractNum>
  <w:abstractNum w:abstractNumId="69">
    <w:nsid w:val="4A2AC315"/>
    <w:multiLevelType w:val="hybridMultilevel"/>
    <w:lvl w:ilvl="0">
      <w:lvlJc w:val="left"/>
      <w:lvlText w:val="(%1)"/>
      <w:numFmt w:val="lowerLetter"/>
      <w:start w:val="3"/>
    </w:lvl>
  </w:abstractNum>
  <w:abstractNum w:abstractNumId="70">
    <w:nsid w:val="39EE015C"/>
    <w:multiLevelType w:val="hybridMultilevel"/>
    <w:lvl w:ilvl="0">
      <w:lvlJc w:val="left"/>
      <w:lvlText w:val="•"/>
      <w:numFmt w:val="bullet"/>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1)"/>
      <w:numFmt w:val="lowerRoman"/>
      <w:start w:val="1"/>
    </w:lvl>
  </w:abstractNum>
  <w:abstractNum w:abstractNumId="73">
    <w:nsid w:val="43F18422"/>
    <w:multiLevelType w:val="hybridMultilevel"/>
    <w:lvl w:ilvl="0">
      <w:lvlJc w:val="left"/>
      <w:lvlText w:val="•"/>
      <w:numFmt w:val="bullet"/>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
      <w:numFmt w:val="bullet"/>
      <w:start w:val="1"/>
    </w:lvl>
  </w:abstractNum>
  <w:abstractNum w:abstractNumId="76">
    <w:nsid w:val="7F01579B"/>
    <w:multiLevelType w:val="hybridMultilevel"/>
    <w:lvl w:ilvl="0">
      <w:lvlJc w:val="left"/>
      <w:lvlText w:val="(%1)"/>
      <w:numFmt w:val="decimal"/>
      <w:start w:val="1"/>
    </w:lvl>
  </w:abstractNum>
  <w:abstractNum w:abstractNumId="77">
    <w:nsid w:val="49DA307D"/>
    <w:multiLevelType w:val="hybridMultilevel"/>
    <w:lvl w:ilvl="0">
      <w:lvlJc w:val="left"/>
      <w:lvlText w:val="(%1)"/>
      <w:numFmt w:val="decimal"/>
      <w:start w:val="1"/>
    </w:lvl>
  </w:abstractNum>
  <w:abstractNum w:abstractNumId="78">
    <w:nsid w:val="7055A5F5"/>
    <w:multiLevelType w:val="hybridMultilevel"/>
    <w:lvl w:ilvl="0">
      <w:lvlJc w:val="left"/>
      <w:lvlText w:val="\emdash "/>
      <w:numFmt w:val="bullet"/>
      <w:start w:val="1"/>
    </w:lvl>
  </w:abstractNum>
  <w:abstractNum w:abstractNumId="79">
    <w:nsid w:val="5FB8370B"/>
    <w:multiLevelType w:val="hybridMultilevel"/>
    <w:lvl w:ilvl="0">
      <w:lvlJc w:val="left"/>
      <w:lvlText w:val="*"/>
      <w:numFmt w:val="bullet"/>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decimal"/>
      <w:start w:val="1"/>
    </w:lvl>
  </w:abstractNum>
  <w:abstractNum w:abstractNumId="82">
    <w:nsid w:val="5FB8011C"/>
    <w:multiLevelType w:val="hybridMultilevel"/>
    <w:lvl w:ilvl="0">
      <w:lvlJc w:val="left"/>
      <w:lvlText w:val="\emdash "/>
      <w:numFmt w:val="bullet"/>
      <w:start w:val="1"/>
    </w:lvl>
  </w:abstractNum>
  <w:abstractNum w:abstractNumId="83">
    <w:nsid w:val="6AA78F7F"/>
    <w:multiLevelType w:val="hybridMultilevel"/>
    <w:lvl w:ilvl="0">
      <w:lvlJc w:val="left"/>
      <w:lvlText w:val="•"/>
      <w:numFmt w:val="bullet"/>
      <w:start w:val="1"/>
    </w:lvl>
  </w:abstractNum>
  <w:abstractNum w:abstractNumId="84">
    <w:nsid w:val="7672BD23"/>
    <w:multiLevelType w:val="hybridMultilevel"/>
    <w:lvl w:ilvl="0">
      <w:lvlJc w:val="left"/>
      <w:lvlText w:val="(%1)"/>
      <w:numFmt w:val="lowerRoman"/>
      <w:start w:val="1"/>
    </w:lvl>
  </w:abstractNum>
  <w:abstractNum w:abstractNumId="85">
    <w:nsid w:val="6FC75AF8"/>
    <w:multiLevelType w:val="hybridMultilevel"/>
    <w:lvl w:ilvl="0">
      <w:lvlJc w:val="left"/>
      <w:lvlText w:val="(%1)"/>
      <w:numFmt w:val="decimal"/>
      <w:start w:val="1"/>
    </w:lvl>
  </w:abstractNum>
  <w:abstractNum w:abstractNumId="86">
    <w:nsid w:val="6A5F7029"/>
    <w:multiLevelType w:val="hybridMultilevel"/>
    <w:lvl w:ilvl="0">
      <w:lvlJc w:val="left"/>
      <w:lvlText w:val="(%1)"/>
      <w:numFmt w:val="decimal"/>
      <w:start w:val="1"/>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1)"/>
      <w:numFmt w:val="decimal"/>
      <w:start w:val="1"/>
    </w:lvl>
  </w:abstractNum>
  <w:abstractNum w:abstractNumId="90">
    <w:nsid w:val="7DE67713"/>
    <w:multiLevelType w:val="hybridMultilevel"/>
    <w:lvl w:ilvl="0">
      <w:lvlJc w:val="left"/>
      <w:lvlText w:val="\emdash "/>
      <w:numFmt w:val="bullet"/>
      <w:start w:val="1"/>
    </w:lvl>
  </w:abstractNum>
  <w:abstractNum w:abstractNumId="91">
    <w:nsid w:val="555C55B5"/>
    <w:multiLevelType w:val="hybridMultilevel"/>
    <w:lvl w:ilvl="0">
      <w:lvlJc w:val="left"/>
      <w:lvlText w:val="%1"/>
      <w:numFmt w:val="upperLetter"/>
      <w:start w:val="68"/>
    </w:lvl>
  </w:abstractNum>
  <w:abstractNum w:abstractNumId="92">
    <w:nsid w:val="3FA62ACA"/>
    <w:multiLevelType w:val="hybridMultilevel"/>
    <w:lvl w:ilvl="0">
      <w:lvlJc w:val="left"/>
      <w:lvlText w:val="•"/>
      <w:numFmt w:val="bullet"/>
      <w:start w:val="1"/>
    </w:lvl>
  </w:abstractNum>
  <w:abstractNum w:abstractNumId="93">
    <w:nsid w:val="14FCE74E"/>
    <w:multiLevelType w:val="hybridMultilevel"/>
    <w:lvl w:ilvl="0">
      <w:lvlJc w:val="left"/>
      <w:lvlText w:val="\emdash "/>
      <w:numFmt w:val="bullet"/>
      <w:start w:val="1"/>
    </w:lvl>
  </w:abstractNum>
  <w:abstractNum w:abstractNumId="94">
    <w:nsid w:val="6A3DD3E8"/>
    <w:multiLevelType w:val="hybridMultilevel"/>
    <w:lvl w:ilvl="0">
      <w:lvlJc w:val="left"/>
      <w:lvlText w:val="(%1)"/>
      <w:numFmt w:val="decimal"/>
      <w:start w:val="1"/>
    </w:lvl>
  </w:abstractNum>
  <w:abstractNum w:abstractNumId="95">
    <w:nsid w:val="71C91298"/>
    <w:multiLevelType w:val="hybridMultilevel"/>
    <w:lvl w:ilvl="0">
      <w:lvlJc w:val="left"/>
      <w:lvlText w:val="(%1)"/>
      <w:numFmt w:val="decimal"/>
      <w:start w:val="1"/>
    </w:lvl>
  </w:abstractNum>
  <w:abstractNum w:abstractNumId="96">
    <w:nsid w:val="9DAF632"/>
    <w:multiLevelType w:val="hybridMultilevel"/>
    <w:lvl w:ilvl="0">
      <w:lvlJc w:val="left"/>
      <w:lvlText w:val="(%1)"/>
      <w:numFmt w:val="decimal"/>
      <w:start w:val="1"/>
    </w:lvl>
  </w:abstractNum>
  <w:abstractNum w:abstractNumId="97">
    <w:nsid w:val="53299938"/>
    <w:multiLevelType w:val="hybridMultilevel"/>
    <w:lvl w:ilvl="0">
      <w:lvlJc w:val="left"/>
      <w:lvlText w:val="(%1)"/>
      <w:numFmt w:val="decimal"/>
      <w:start w:val="1"/>
    </w:lvl>
  </w:abstractNum>
  <w:abstractNum w:abstractNumId="98">
    <w:nsid w:val="1FBFE8E0"/>
    <w:multiLevelType w:val="hybridMultilevel"/>
    <w:lvl w:ilvl="0">
      <w:lvlJc w:val="left"/>
      <w:lvlText w:val="(%1)"/>
      <w:numFmt w:val="lowerRoman"/>
      <w:start w:val="1"/>
    </w:lvl>
  </w:abstractNum>
  <w:abstractNum w:abstractNumId="99">
    <w:nsid w:val="5092CA79"/>
    <w:multiLevelType w:val="hybridMultilevel"/>
    <w:lvl w:ilvl="0">
      <w:lvlJc w:val="left"/>
      <w:lvlText w:val="*"/>
      <w:numFmt w:val="bullet"/>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emdash "/>
      <w:numFmt w:val="bullet"/>
      <w:start w:val="1"/>
    </w:lvl>
  </w:abstractNum>
  <w:abstractNum w:abstractNumId="102">
    <w:nsid w:val="288F1A34"/>
    <w:multiLevelType w:val="hybridMultilevel"/>
    <w:lvl w:ilvl="0">
      <w:lvlJc w:val="left"/>
      <w:lvlText w:val="•"/>
      <w:numFmt w:val="bullet"/>
      <w:start w:val="1"/>
    </w:lvl>
  </w:abstractNum>
  <w:abstractNum w:abstractNumId="103">
    <w:nsid w:val="2A155DBC"/>
    <w:multiLevelType w:val="hybridMultilevel"/>
    <w:lvl w:ilvl="0">
      <w:lvlJc w:val="left"/>
      <w:lvlText w:val="(%1)"/>
      <w:numFmt w:val="lowerRoman"/>
      <w:start w:val="1"/>
    </w:lvl>
  </w:abstractNum>
  <w:abstractNum w:abstractNumId="104">
    <w:nsid w:val="1D9F6E5F"/>
    <w:multiLevelType w:val="hybridMultilevel"/>
    <w:lvl w:ilvl="0">
      <w:lvlJc w:val="left"/>
      <w:lvlText w:val="(%1)"/>
      <w:numFmt w:val="decimal"/>
      <w:start w:val="1"/>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
      <w:numFmt w:val="bullet"/>
      <w:start w:val="1"/>
    </w:lvl>
  </w:abstractNum>
  <w:abstractNum w:abstractNumId="109">
    <w:nsid w:val="415E286C"/>
    <w:multiLevelType w:val="hybridMultilevel"/>
    <w:lvl w:ilvl="0">
      <w:lvlJc w:val="left"/>
      <w:lvlText w:val="(%1)"/>
      <w:numFmt w:val="decimal"/>
      <w:start w:val="1"/>
    </w:lvl>
  </w:abstractNum>
  <w:abstractNum w:abstractNumId="110">
    <w:nsid w:val="7C58FD05"/>
    <w:multiLevelType w:val="hybridMultilevel"/>
    <w:lvl w:ilvl="0">
      <w:lvlJc w:val="left"/>
      <w:lvlText w:val="(%1)"/>
      <w:numFmt w:val="decimal"/>
      <w:start w:val="1"/>
    </w:lvl>
  </w:abstractNum>
  <w:abstractNum w:abstractNumId="111">
    <w:nsid w:val="23D86AAC"/>
    <w:multiLevelType w:val="hybridMultilevel"/>
    <w:lvl w:ilvl="0">
      <w:lvlJc w:val="left"/>
      <w:lvlText w:val="%1"/>
      <w:numFmt w:val="upperLetter"/>
      <w:start w:val="68"/>
    </w:lvl>
  </w:abstractNum>
  <w:abstractNum w:abstractNumId="112">
    <w:nsid w:val="45E6D486"/>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2024-02-28T14:17:07Z</dcterms:created>
  <dcterms:modified xsi:type="dcterms:W3CDTF">2024-02-28T14:17:07Z</dcterms:modified>
</cp:coreProperties>
</file>