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14,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95"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13,802,042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13,802,042</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13,808,951</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individually and (ii) up to 6,334 shares of Common Stock issuable upon exercise of stock options held by Mr. Chang that are exercisable within 60 days of the date hereof. Does not include 337,743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1,717,051 shares of Common Stock held by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New Junior Note</w:t>
      </w:r>
      <w:r>
        <w:rPr>
          <w:rFonts w:ascii="Times New Roman" w:cs="Times New Roman" w:eastAsia="Times New Roman" w:hAnsi="Times New Roman"/>
          <w:sz w:val="18"/>
          <w:szCs w:val="18"/>
          <w:color w:val="auto"/>
        </w:rPr>
        <w:t>”) due July 1, 2025 described herein with an outstanding principal amount of $1,500,000.00 and a conversion price of $0.2633 (as may be adjusted per the New Junior Note), which pre-funded warrants are exercisable subject to a 49.99% beneficial ownership limitation, (vi) pre-funded warrants to purchase 7,876,712 shares of Common Stock held by CP Acquisitions that are exercisable within 60 days of the date hereof, subject to a 49.99% beneficial ownership limitation, (vii) pre-funded warrants to purchase 7,383,053 shares of Common Stock held by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that are exercisable within 60 days of the date hereof, subject to a 49.99% beneficial ownership limitation, (viii) options to purchase 203 shares of Common Stock that are held by Raymond Chang Jr., Mr. Chang’s son, that are exercisable within 60 days of the date hereof, and (ix) 1,578,947 shares of Common Stock held individually by Chinwei Wang, Mr.</w:t>
      </w:r>
    </w:p>
    <w:p>
      <w:pPr>
        <w:sectPr>
          <w:pgSz w:w="11900" w:h="16922" w:orient="portrait"/>
          <w:cols w:equalWidth="0" w:num="1">
            <w:col w:w="11240"/>
          </w:cols>
          <w:pgMar w:left="320" w:top="806" w:right="339" w:bottom="0" w:gutter="0" w:footer="0" w:header="0"/>
        </w:sectPr>
      </w:pPr>
    </w:p>
    <w:bookmarkStart w:id="2" w:name="page3"/>
    <w:bookmarkEnd w:id="2"/>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Chang’s spouse. Does not include 105,139 shares of Common Stock underlying time-based restricted stock units that will not vest within 60 days of the day hereof granted to Raymond Chang, Jr., under the Plan.</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w:t>
      </w:r>
    </w:p>
    <w:p>
      <w:pPr>
        <w:spacing w:after="0" w:line="81" w:lineRule="exact"/>
        <w:rPr>
          <w:sz w:val="20"/>
          <w:szCs w:val="20"/>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August 14, 2024, plus the shares of Common Stock issuable upon exercise of the warrants and options and conversion of the Convertible Note in footnotes (1) and (2) above, subject to applicable beneficial ownership limitations.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1,948,274</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13.47%</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1,717,051 shares of Common Stock held by RTC3, and (ii) warrants to purchase 231,223 shares of Common Stock held by RTC3 that are exercisable within 60 days of the date hereof, subject to a 9.99% beneficial ownership limitation. Does not include the 1,578,947 shares of Common Stock held individually by Chinwei Wang which may in the future be transferred to RTC3 for estate planning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 plus the shares of Common Stock issuable upon exercise of the warrants described in footnote (1) above, subject to the beneficial ownership limitation described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648</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191"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35"/>
          <w:szCs w:val="35"/>
          <w:color w:val="auto"/>
          <w:vertAlign w:val="subscript"/>
        </w:rPr>
        <w:t>648</w:t>
      </w:r>
      <w:r>
        <w:rPr>
          <w:rFonts w:ascii="Times New Roman" w:cs="Times New Roman" w:eastAsia="Times New Roman" w:hAnsi="Times New Roman"/>
          <w:sz w:val="14"/>
          <w:szCs w:val="14"/>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648 shares of Common Stock held by NXT3J.</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(i) that number of shares of Common Stock issuable to CP Acquisitions, an entity controlled by Mr. Chang, issuable to Mr. Chang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in which case the 49.99% beneficial ownership limitation will apply to each of them individually, (ii) pre-funded warrants to purchase 7,876,712 shares of Common Stock held by CP Acquisitions that are exercisable within 60 days of the date hereof, subject to a 49.99% beneficial ownership limitation, and (iii) that number of shares of Common Stock issuable to CP Acquisitions or, at CP Acquisition’s election, pre-funded warrants to purchase shares of Common Stock issuable to CP Acquisitions upon conversion of the New Junior Note due July 1, 2025 described herein with an outstanding principal amount of $1,500,000.00 and a conversion price of $0.2633 (as may be adjusted per the New Junior Note), which pre-funded warrants are exercisable subject to a 49.99% beneficial ownership limitation.</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 plus the shares of Common Stock issuable upon conversion of the Convertible Note and the shares of Common Stock purchasable upon exercise of the pre-funded warrants described in footnote (1) above, subject to applicable beneficial ownership limitations.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339"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GIC Acquisition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60" w:hanging="774"/>
        <w:spacing w:after="0" w:line="289" w:lineRule="auto"/>
        <w:tabs>
          <w:tab w:leader="none" w:pos="26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802"/>
        <w:spacing w:after="0" w:line="295" w:lineRule="auto"/>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 xml:space="preserve">7,383,053 </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34.16%</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pre-funded warrants to purchase 7,383,053 shares of Common Stock held by GIC Acquisition that are exercisable within 60 days of the date hereof, subject to a 49.99% beneficial ownership limitation.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 plus the shares of Common Stock purchasable upon exercise of the pre-funded warrants described in footnote (1)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203</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203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203 shares of Common Stock issuable upon exercise of stock options held by Mr. Chang, Jr., that are exercisable within 60 days of the date hereof. Does not consist of 105,139 shares of Common Stock underlying time-based restricted stock units that will not vest within 60 days of the day hereof granted to Mr. Chang, Jr. under the Plan.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 plus 203 shares of Common Stock issuable upon exercise of the options described in footnote (1)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Chinwei Wang</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314" w:lineRule="auto"/>
        <w:tabs>
          <w:tab w:leader="none" w:pos="2600" w:val="left"/>
        </w:tabs>
        <w:numPr>
          <w:ilvl w:val="2"/>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Sole Voting Power </w:t>
      </w:r>
      <w:r>
        <w:rPr>
          <w:rFonts w:ascii="Times New Roman" w:cs="Times New Roman" w:eastAsia="Times New Roman" w:hAnsi="Times New Roman"/>
          <w:sz w:val="17"/>
          <w:szCs w:val="17"/>
          <w:color w:val="auto"/>
        </w:rPr>
        <w:t>1,578,947</w:t>
      </w:r>
      <w:r>
        <w:rPr>
          <w:rFonts w:ascii="Times New Roman" w:cs="Times New Roman" w:eastAsia="Times New Roman" w:hAnsi="Times New Roman"/>
          <w:sz w:val="28"/>
          <w:szCs w:val="28"/>
          <w:color w:val="auto"/>
          <w:vertAlign w:val="superscript"/>
        </w:rPr>
        <w:t>(1)</w:t>
      </w:r>
    </w:p>
    <w:p>
      <w:pPr>
        <w:spacing w:after="0" w:line="25"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86" w:lineRule="auto"/>
        <w:tabs>
          <w:tab w:leader="none" w:pos="2600"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1,578,947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1,578,947 shares of Common Stock held individually, which may be transferred to RTC3 for estate planning purposes.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7 to the statement on Schedule 13D (“</w:t>
      </w:r>
      <w:r>
        <w:rPr>
          <w:rFonts w:ascii="Times New Roman" w:cs="Times New Roman" w:eastAsia="Times New Roman" w:hAnsi="Times New Roman"/>
          <w:sz w:val="18"/>
          <w:szCs w:val="18"/>
          <w:i w:val="1"/>
          <w:iCs w:val="1"/>
          <w:color w:val="auto"/>
        </w:rPr>
        <w:t>Amendment No. 7</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Amendment No. 4 filed on March 29, 2024, Amendment No. 5 filed on May 23, 2024, and Amendment No. 6 filed on August 6,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of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NXT3J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Raymond Chang Jr. and Chinwei Wang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7 does not modify any of the information previously reported on the Schedule 13D. Capitalized terms used but not otherwise defined in this Amendment No.7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14,230,447 shares of Common Stock outstanding as of the date hereof. Notwithstanding the foregoing, Mr. Chang hereby disclaims beneficial ownership with respect to the securities held by NXT3J, RTC3, CP Acquisitions, GIC Acquisition and Raymond Chang Jr. except to the extent of his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New Junior Note for CP Acquisitions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14, 2024, Issuer issued a junior secured promissory note (the “</w:t>
      </w:r>
      <w:r>
        <w:rPr>
          <w:rFonts w:ascii="Times New Roman" w:cs="Times New Roman" w:eastAsia="Times New Roman" w:hAnsi="Times New Roman"/>
          <w:sz w:val="18"/>
          <w:szCs w:val="18"/>
          <w:i w:val="1"/>
          <w:iCs w:val="1"/>
          <w:color w:val="auto"/>
        </w:rPr>
        <w:t>New Junior Note</w:t>
      </w:r>
      <w:r>
        <w:rPr>
          <w:rFonts w:ascii="Times New Roman" w:cs="Times New Roman" w:eastAsia="Times New Roman" w:hAnsi="Times New Roman"/>
          <w:sz w:val="18"/>
          <w:szCs w:val="18"/>
          <w:color w:val="auto"/>
        </w:rPr>
        <w:t>”) in favor of CP Acquisitions, an entity affiliated with and controlled by Raymond Chang, the Chief Executive Officer of the Issuer and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 I-Tseng Jenny Chan, a member of the Board. Pursuant to the New Junior Note, CP Acquisitions will lend up to $1,500,000 to the Issuer. The New Junior Note bears interest at a rate of 10% per annum, will mature in full on July 1, 2025, and may be prepaid without any fee or penalty. The New Junior Note is secured by the Issuer’s assets and ranks junior to existing secured indebtedness of the Issuer. The New Junior Note may be converted into common stock of the Company or, at CP Acquisition’s election, pre-funded warrants with an exercise price of $0.001 per share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in each case at a conversion price of $0.2633.</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summaries of the New Junior Note and the form of Pre-Funded Warrant do not purport to be complete, and are qualified in their entirety by reference to copies of the New Junior Note and the form of Pre-Funded Warrant, which are filed as Exhibits 4.1 and 4.2, respectively, to the Issuer’s Current Report on Form 8-K, filed with the SEC on August 14, 2024, which are attached as exhibits 1 and 2, respectively, to this Schedule 13D and are incorporated herein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information provided or incorporated by reference in Item 5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New Junior Note,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2"/>
        <w:spacing w:after="0" w:line="261" w:lineRule="auto"/>
        <w:tabs>
          <w:tab w:leader="none" w:pos="1140" w:val="left"/>
        </w:tabs>
        <w:numPr>
          <w:ilvl w:val="0"/>
          <w:numId w:val="31"/>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Junior Secured Convertible Promissory Note dated as of August 14, 2024 (incorporated by reference to Exhibit 4.1 to the Issuer’s Current</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Report on Form 8-K, filed with the SEC on August 14, 2024).</w:t>
        </w:r>
      </w:hyperlink>
    </w:p>
    <w:p>
      <w:pPr>
        <w:ind w:left="1140" w:hanging="1132"/>
        <w:spacing w:after="0" w:line="260" w:lineRule="auto"/>
        <w:tabs>
          <w:tab w:leader="none" w:pos="1140" w:val="left"/>
        </w:tabs>
        <w:numPr>
          <w:ilvl w:val="0"/>
          <w:numId w:val="32"/>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Form of Pre-Funded Warrant (incorporated by reference to Exhibit 4.2 to the Issuer’s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August 14, 2024).</w:t>
        </w:r>
      </w:hyperlink>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431BD7B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333AB1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2443A8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8EDBDA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4353D0CD"/>
    <w:multiLevelType w:val="hybridMultilevel"/>
    <w:lvl w:ilvl="0">
      <w:lvlJc w:val="left"/>
      <w:lvlText w:val="%1."/>
      <w:numFmt w:val="decimal"/>
      <w:start w:val="1"/>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71F32454"/>
    <w:multiLevelType w:val="hybridMultilevel"/>
    <w:lvl w:ilvl="0">
      <w:lvlJc w:val="left"/>
      <w:lvlText w:val="%1."/>
      <w:numFmt w:val="decimal"/>
      <w:start w:val="1"/>
    </w:lvl>
    <w:lvl w:ilvl="1">
      <w:lvlJc w:val="left"/>
      <w:lvlText w:val="(%2)"/>
      <w:numFmt w:val="lowerLetter"/>
      <w:start w:val="1"/>
    </w:lvl>
  </w:abstractNum>
  <w:abstractNum w:abstractNumId="23">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836C40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7">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8">
    <w:nsid w:val="1E7FF52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9">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737B8DDC"/>
    <w:multiLevelType w:val="hybridMultilevel"/>
    <w:lvl w:ilvl="0">
      <w:lvlJc w:val="left"/>
      <w:lvlText w:val="1"/>
      <w:numFmt w:val="bullet"/>
      <w:start w:val="1"/>
    </w:lvl>
  </w:abstractNum>
  <w:abstractNum w:abstractNumId="31">
    <w:nsid w:val="6CEAF08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29" Type="http://schemas.openxmlformats.org/officeDocument/2006/relationships/hyperlink" Target="http://www.sec.gov/Archives/edgar/data/1800637/000121390024069076/ea021134001ex4-1_agrify.htm" TargetMode="External"/><Relationship Id="rId30" Type="http://schemas.openxmlformats.org/officeDocument/2006/relationships/hyperlink" Target="http://www.sec.gov/Archives/edgar/data/1800637/000121390024045718/ea02066710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2024-08-16T15:44:47Z</dcterms:created>
  <dcterms:modified xsi:type="dcterms:W3CDTF">2024-08-16T15:44:47Z</dcterms:modified>
</cp:coreProperties>
</file>