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30"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27, 2023</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AGRIFY CORPORATION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42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90"/>
              </w:rPr>
              <w:t>Nevada</w:t>
            </w:r>
          </w:p>
        </w:tc>
        <w:tc>
          <w:tcPr>
            <w:tcW w:w="3020" w:type="dxa"/>
            <w:vAlign w:val="bottom"/>
            <w:gridSpan w:val="3"/>
          </w:tcPr>
          <w:p>
            <w:pPr>
              <w:jc w:val="right"/>
              <w:ind w:right="1420"/>
              <w:spacing w:after="0"/>
              <w:rPr>
                <w:sz w:val="20"/>
                <w:szCs w:val="20"/>
                <w:color w:val="auto"/>
              </w:rPr>
            </w:pPr>
            <w:r>
              <w:rPr>
                <w:rFonts w:ascii="Arial" w:cs="Arial" w:eastAsia="Arial" w:hAnsi="Arial"/>
                <w:sz w:val="18"/>
                <w:szCs w:val="18"/>
                <w:b w:val="1"/>
                <w:bCs w:val="1"/>
                <w:color w:val="auto"/>
              </w:rPr>
              <w:t>001-39946</w:t>
            </w:r>
          </w:p>
        </w:tc>
        <w:tc>
          <w:tcPr>
            <w:tcW w:w="200" w:type="dxa"/>
            <w:vAlign w:val="bottom"/>
          </w:tcPr>
          <w:p>
            <w:pPr>
              <w:spacing w:after="0"/>
              <w:rPr>
                <w:sz w:val="20"/>
                <w:szCs w:val="20"/>
                <w:color w:val="auto"/>
              </w:rPr>
            </w:pPr>
          </w:p>
        </w:tc>
        <w:tc>
          <w:tcPr>
            <w:tcW w:w="3600" w:type="dxa"/>
            <w:vAlign w:val="bottom"/>
          </w:tcPr>
          <w:p>
            <w:pPr>
              <w:jc w:val="right"/>
              <w:ind w:right="1270"/>
              <w:spacing w:after="0"/>
              <w:rPr>
                <w:sz w:val="20"/>
                <w:szCs w:val="20"/>
                <w:color w:val="auto"/>
              </w:rPr>
            </w:pPr>
            <w:r>
              <w:rPr>
                <w:rFonts w:ascii="Arial" w:cs="Arial" w:eastAsia="Arial" w:hAnsi="Arial"/>
                <w:sz w:val="18"/>
                <w:szCs w:val="18"/>
                <w:b w:val="1"/>
                <w:bCs w:val="1"/>
                <w:color w:val="auto"/>
              </w:rPr>
              <w:t>30-0943453</w:t>
            </w:r>
          </w:p>
        </w:tc>
      </w:tr>
      <w:tr>
        <w:trPr>
          <w:trHeight w:val="202"/>
        </w:trPr>
        <w:tc>
          <w:tcPr>
            <w:tcW w:w="3620" w:type="dxa"/>
            <w:vAlign w:val="bottom"/>
            <w:tcBorders>
              <w:top w:val="single" w:sz="8" w:color="auto"/>
            </w:tcBorders>
          </w:tcPr>
          <w:p>
            <w:pPr>
              <w:ind w:left="840"/>
              <w:spacing w:after="0" w:line="201" w:lineRule="exact"/>
              <w:rPr>
                <w:sz w:val="20"/>
                <w:szCs w:val="20"/>
                <w:color w:val="auto"/>
              </w:rPr>
            </w:pPr>
            <w:r>
              <w:rPr>
                <w:rFonts w:ascii="Arial" w:cs="Arial" w:eastAsia="Arial" w:hAnsi="Arial"/>
                <w:sz w:val="18"/>
                <w:szCs w:val="18"/>
                <w:color w:val="auto"/>
              </w:rPr>
              <w:t>(State or other jurisdiction</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ind w:left="1240"/>
              <w:spacing w:after="0" w:line="201" w:lineRule="exact"/>
              <w:rPr>
                <w:sz w:val="20"/>
                <w:szCs w:val="20"/>
                <w:color w:val="auto"/>
              </w:rPr>
            </w:pPr>
            <w:r>
              <w:rPr>
                <w:rFonts w:ascii="Arial" w:cs="Arial" w:eastAsia="Arial" w:hAnsi="Arial"/>
                <w:sz w:val="18"/>
                <w:szCs w:val="18"/>
                <w:color w:val="auto"/>
              </w:rPr>
              <w:t>(IRS Employer</w:t>
            </w:r>
          </w:p>
        </w:tc>
      </w:tr>
      <w:tr>
        <w:trPr>
          <w:trHeight w:val="230"/>
        </w:trPr>
        <w:tc>
          <w:tcPr>
            <w:tcW w:w="4420" w:type="dxa"/>
            <w:vAlign w:val="bottom"/>
            <w:gridSpan w:val="3"/>
          </w:tcPr>
          <w:p>
            <w:pPr>
              <w:jc w:val="center"/>
              <w:ind w:right="800"/>
              <w:spacing w:after="0"/>
              <w:rPr>
                <w:sz w:val="20"/>
                <w:szCs w:val="20"/>
                <w:color w:val="auto"/>
              </w:rPr>
            </w:pPr>
            <w:r>
              <w:rPr>
                <w:rFonts w:ascii="Arial" w:cs="Arial" w:eastAsia="Arial" w:hAnsi="Arial"/>
                <w:sz w:val="18"/>
                <w:szCs w:val="18"/>
                <w:color w:val="auto"/>
                <w:w w:val="93"/>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42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3"/>
              </w:rPr>
              <w:t>2468 Industrial Row Drive</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1"/>
        </w:trPr>
        <w:tc>
          <w:tcPr>
            <w:tcW w:w="4420" w:type="dxa"/>
            <w:vAlign w:val="bottom"/>
            <w:tcBorders>
              <w:bottom w:val="single" w:sz="8" w:color="auto"/>
            </w:tcBorders>
            <w:gridSpan w:val="3"/>
          </w:tcPr>
          <w:p>
            <w:pPr>
              <w:jc w:val="center"/>
              <w:ind w:left="1010"/>
              <w:spacing w:after="0"/>
              <w:rPr>
                <w:sz w:val="20"/>
                <w:szCs w:val="20"/>
                <w:color w:val="auto"/>
              </w:rPr>
            </w:pPr>
            <w:r>
              <w:rPr>
                <w:rFonts w:ascii="Arial" w:cs="Arial" w:eastAsia="Arial" w:hAnsi="Arial"/>
                <w:sz w:val="18"/>
                <w:szCs w:val="18"/>
                <w:b w:val="1"/>
                <w:bCs w:val="1"/>
                <w:color w:val="auto"/>
                <w:w w:val="98"/>
              </w:rPr>
              <w:t>Troy, MI</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b w:val="1"/>
                <w:bCs w:val="1"/>
                <w:color w:val="auto"/>
              </w:rPr>
              <w:t>48084</w:t>
            </w:r>
          </w:p>
        </w:tc>
      </w:tr>
      <w:tr>
        <w:trPr>
          <w:trHeight w:val="230"/>
        </w:trPr>
        <w:tc>
          <w:tcPr>
            <w:tcW w:w="4420" w:type="dxa"/>
            <w:vAlign w:val="bottom"/>
            <w:gridSpan w:val="3"/>
          </w:tcPr>
          <w:p>
            <w:pPr>
              <w:jc w:val="center"/>
              <w:ind w:left="1010"/>
              <w:spacing w:after="0"/>
              <w:rPr>
                <w:sz w:val="20"/>
                <w:szCs w:val="20"/>
                <w:color w:val="auto"/>
              </w:rPr>
            </w:pPr>
            <w:r>
              <w:rPr>
                <w:rFonts w:ascii="Arial" w:cs="Arial" w:eastAsia="Arial" w:hAnsi="Arial"/>
                <w:sz w:val="18"/>
                <w:szCs w:val="18"/>
                <w:color w:val="auto"/>
                <w:w w:val="92"/>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896-5243</w:t>
      </w:r>
    </w:p>
    <w:p>
      <w:pPr>
        <w:spacing w:after="0" w:line="229"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AGFY</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Purchase</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October 27, 2023, following the execution of the Modification Agreement (as defined below), CP Acquisitions LLC (the “New Lender”), an entity affiliated with and controlled by Raymond Chang, the Chief Executive Officer of Agrify Corporation (the “Company”) and a member of its Board of Directors, purchased (the “Note Purchase”) from an institutional investor (the “Existing Lender”) the Senior Secured Note issued by the Company to the Existing Lender on August 19, 2022 and the Senior Secured Convertible Note issued by the Company to the Existing Lender on March 10, 2023 (the “Convertible Note”). As a condition to the Note Purchase, the Company and the New Lender entered into an acknowledgment and release (the “Release Agreement”) with the Existing Lender, pursuant to which each of the Company and the New Lender released the Existing Lender from any claims, demands, actions, suits, obligations and causes of action arising on or before the date thereof. In connection with the Note Purchase, the New Lender has agreed to waive any events of default under the acquired notes through December 31, 2023 and to enter into an agreement with the Company to extend the maturity date thereon to December 31, 2025.</w:t>
      </w:r>
    </w:p>
    <w:p>
      <w:pPr>
        <w:spacing w:after="0" w:line="19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foregoing summary of the Release Agreement does not purport to be complete, and is qualified in its entirety by reference to a copy of the Release Agreement that is filed as Exhibit 10.1 hereto.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Issuance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October 27, 2023, as a condition precedent to the Note Purchase, the Company entered into a letter agreement (the “Letter Agreement”) with the Existing Lender. Pursuant to the Letter Agreement, the Company agreed, immediately prior to the Note Purchase, to exchange $3.0 million in principal and approximately $1.1 million in accrued but unpaid interest outstanding under the Senior Secured Note issued by the Company to the Existing Lender on August 19, 2022 for a warrant (the “Exchange Warrant”) to purchase 2,809,669 shares of the Company’s common stock, par value $0.001 per share (“Common Stock”). Additionally, the Company agreed to exchange the 375,629 shares of Common Stock held in abeyance for the Existing Lender under the terms of the letter agreement between the Company and the Existing Lender dated as of April 26, 2023 for a warrant to purchase 375,629 shares of Common Stock (the “Abeyance Warrant”).</w:t>
      </w:r>
    </w:p>
    <w:p>
      <w:pPr>
        <w:spacing w:after="0" w:line="19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Each of the Exchange Warrant and the Abeyance Warrant has an exercise price of $0.001 per share, was exercisable upon issuance, has a term of five years from the date of issuance and is exercisable on a cash basis or on a cashless exercise basis at the Existing Lender’s election.</w:t>
      </w:r>
    </w:p>
    <w:p>
      <w:pPr>
        <w:spacing w:after="0" w:line="14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Exchange Warrant provides that in the event that Raymond Chang or his affiliates acquire securities from the Company, exercise convertible securities or amend the terms of convertible securities at a purchase or conversion price lower than $1.46, then the number of shares of Common Stock underlying Exchange Warrant shall be increased to an amount equal to $3.0 million divided by such purchase or conversion price, subject to proportional adjustment in the event the Exchange Warrant has been partially exercised. Additionally, in the event that the Company has not issued equity securities in exchange for gross proceeds of at least $3.0 million to Mr. Chang or his affiliates (subject to certain offsets) by the third calendar day after the date when the Company receives stockholder approval, then on December 26, 2023, the number of shares of Common Stock underlying Exchange Warrant shall be increased to an amount equal to $3.0 million divided by the Minimum Price as defined under Nasdaq listing rules, subject to proportional adjustment in the event the Exchange Warrant has been partially exercised.</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Letter Agreement requires that the Company issue equity securities to Mr. Chang or his affiliates for aggregate gross proceeds of at least $3.0 million, minus any funds advanced by Mr. Chang to the Company since July 1, 2023.</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summaries of the Letter Agreement, the Exchange Warrant and the Abeyance Warrant do not purport to be complete, and are qualified in their entirety by reference to copies of the Letter Agreement, the Exchange Warrant and the Abeyance Warrant that are filed as Exhibits 10.2, 4.1 and 4.2 hereto, respectively.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color w:val="auto"/>
        </w:rPr>
        <w:t>Mack Molding Modification Agreement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Immediately prior to the Note Purchase on October 27, 2023, and with an effective date as of October 18, 2023, the Company entered into a Modification and Settlement Agreement (the “Modification Agreement”) with Mack Molding Company (“Mack”). Pursuant to the Modification Agreement, the Company and Mack agreed to settle an outstanding dispute of approximately $8.24 million under the Supply Agreement between the parties dated December 7, 2020 (the “Supply Agreement”) by reducing the aggregate amount due to Mack and extending the timeline for payment. The Modification Agreement requires the Company to make payments of $500,000 and $250,000 to Mack on or before November 1, 2023 and February 15, 2024, respectively. Following the November 1, 2023 payment, the Company will be entitled to take possession of certain Vertical Farming Units (“VFUs”) that were assembled under the Supply Agreement. The Modification Agreement also requires the Company to purchase from Mack a minimum of 25 VFUs per quarter for each quarter during 2024 and a minimum of 50 VFUs per quarter for the six quarters beginning with the first quarter of 2025. The Company is required to pay a storage fee of $25,000 per month for VFUs subject to the Modification Agreement.</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Additionally, as part of the Modification Agreement, the Company agreed to issue to Mack a warrant (the “Mack Warrant”) to purchase 750,000 shares of the Company’s Common Stock. The Mack Warrant has an exercise price of $4.00 per share, was exercisable upon issuance, has a term of three years from the date of issuance and is exercisable on a cash basis unless at the time of exercise there is no effective registration statement for the resale of the underlying shares, in which case the Mack Warrant may be exercised on a cashless exercise basis at Mack’s election.</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foregoing summaries of the Modification Agreement and the Mack Warrant do not purport to be complete, and are qualified in their entirety by reference to copies of the Modification Agreement and the Mack Warrant that are filed as Exhibits 10.3 and 4.3 hereto,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Amendment and Secured Promissory Note</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previously reported, on July 12, 2023, the Company issued an unsecured promissory note (the “Note”) in favor of GIC Acquisition, LLC (“GIC”), an entity that is owned and managed by Raymond Chang, the Company’s Chairman and Chief Executive Officer. On October 27, 2023, GIC and the Company amended and restated the Note (the “Restated Note”). Pursuant to the terms of the Restated Note, the Maturity Date was extended until December 31, 2023 and the Company granted a security interest in the Company’s assets that ranks junior to the notes acquired in the Note Purchase.</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Concurrently with the Restated Note, the Company issued a junior secured promissory note (the “Junior Secured Note”) to the New Lender. Pursuant to the Junior Secured Note, the New Lender will lend up to $3,000,000 to the Company, of which $2,000,000 has been drawn. The Junior Secured Note bears interest at a rate of 10% per annum, will mature in full on December 31, 2023, and may be prepaid without any fee or penalty. The Junior Secured Note is a secured obligation of the Company that ranks junior to the notes acquired in the Note Purchase</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foregoing summaries of the Restated Note and the Junior Secured Note do not purport to be complete, and are qualified in their entirety by reference to copies of the Restated Note and the Junior Secured Note that are filed as Exhibits 4.4 and 4.5 hereto,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set forth in Item 1.01 of this Current Report on Form 8-K regarding the Note is incorporated herein by reference into this Item 2.03.</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3.02. Unregistered Sales of Securities.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set forth in Item 1.01 of this Current Report on Form 8-K regarding the issuance of the Mack Warrant, the Exchange Warrant, the Abeyance Warrant, the Junior Secured Note and the Restated Note is incorporated herein by reference into this Item 3.02.</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Mack Warrant, the Exchange Warrant, the Abeyance Warrant and the shares of Common Stock underlying such warrants, and the Restated Note and the Junior Secured Note (collectively, the “</w:t>
      </w:r>
      <w:r>
        <w:rPr>
          <w:rFonts w:ascii="Arial" w:cs="Arial" w:eastAsia="Arial" w:hAnsi="Arial"/>
          <w:sz w:val="16"/>
          <w:szCs w:val="16"/>
          <w:u w:val="single" w:color="auto"/>
          <w:color w:val="auto"/>
        </w:rPr>
        <w:t>Securities</w:t>
      </w:r>
      <w:r>
        <w:rPr>
          <w:rFonts w:ascii="Arial" w:cs="Arial" w:eastAsia="Arial" w:hAnsi="Arial"/>
          <w:sz w:val="16"/>
          <w:szCs w:val="16"/>
          <w:color w:val="auto"/>
        </w:rPr>
        <w:t>”) were, and will be, offered and sold to the Existing Lender in a transaction exempt from registration under the Securities Act in reliance on Section 4(a)(2) thereof and Rule 506(b) of Regulation D thereunder. The Exchange Lender is an “accredited investor,” as defined in Regulation D, and is acquiring the Securities for investment only and not with a view towards, or for resale in connection with, the public sale or distribution thereof. Accordingly, the Securities will not be registered under the Securities Act and the Securities may not be offered or sold in the United States absent registration or an exemption from registration under the Securities Act and any applicable state securities laws.</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Neither this Current Report on Form 8-K nor the exhibits attached hereto is an offer to sell or the solicitation of an offer to buy shares of Common Stock, notes, warrants or any other securities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October 30, 2023, the Company issued a press release announcing the Note Purchase and the issuance of the Exchange Warrant and the Abeyance Warrant. A copy of the press release is attached as Exhibit 99.1 to this Current Report on Form 8-K and is incorporated herein by reference.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hereby files or furnishes, as applicable, the following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100" w:type="dxa"/>
            <w:vAlign w:val="bottom"/>
            <w:gridSpan w:val="9"/>
          </w:tcPr>
          <w:p>
            <w:pPr>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4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7"/>
                <w:szCs w:val="17"/>
                <w:color w:val="auto"/>
              </w:rPr>
            </w:pPr>
          </w:p>
        </w:tc>
        <w:tc>
          <w:tcPr>
            <w:tcW w:w="10100" w:type="dxa"/>
            <w:vAlign w:val="bottom"/>
            <w:gridSpan w:val="9"/>
            <w:shd w:val="clear" w:color="auto" w:fill="CCEEFF"/>
          </w:tcPr>
          <w:p>
            <w:pPr>
              <w:spacing w:after="0" w:line="176" w:lineRule="exact"/>
              <w:rPr>
                <w:sz w:val="20"/>
                <w:szCs w:val="20"/>
                <w:color w:val="auto"/>
              </w:rPr>
            </w:pPr>
            <w:r>
              <w:rPr>
                <w:rFonts w:ascii="Arial" w:cs="Arial" w:eastAsia="Arial" w:hAnsi="Arial"/>
                <w:sz w:val="18"/>
                <w:szCs w:val="18"/>
                <w:color w:val="0000EE"/>
              </w:rPr>
              <w:t>Exchange Warrant</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44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7"/>
                <w:szCs w:val="17"/>
                <w:color w:val="auto"/>
              </w:rPr>
            </w:pPr>
          </w:p>
        </w:tc>
        <w:tc>
          <w:tcPr>
            <w:tcW w:w="10100" w:type="dxa"/>
            <w:vAlign w:val="bottom"/>
            <w:gridSpan w:val="9"/>
            <w:shd w:val="clear" w:color="auto" w:fill="CCEEFF"/>
          </w:tcPr>
          <w:p>
            <w:pPr>
              <w:spacing w:after="0" w:line="176" w:lineRule="exact"/>
              <w:rPr>
                <w:sz w:val="20"/>
                <w:szCs w:val="20"/>
                <w:color w:val="auto"/>
              </w:rPr>
            </w:pPr>
            <w:r>
              <w:rPr>
                <w:rFonts w:ascii="Arial" w:cs="Arial" w:eastAsia="Arial" w:hAnsi="Arial"/>
                <w:sz w:val="18"/>
                <w:szCs w:val="18"/>
                <w:color w:val="0000EE"/>
              </w:rPr>
              <w:t>Abeyance Warrant</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44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7"/>
                <w:szCs w:val="17"/>
                <w:color w:val="auto"/>
              </w:rPr>
            </w:pPr>
          </w:p>
        </w:tc>
        <w:tc>
          <w:tcPr>
            <w:tcW w:w="10100" w:type="dxa"/>
            <w:vAlign w:val="bottom"/>
            <w:gridSpan w:val="9"/>
            <w:shd w:val="clear" w:color="auto" w:fill="CCEEFF"/>
          </w:tcPr>
          <w:p>
            <w:pPr>
              <w:spacing w:after="0" w:line="176" w:lineRule="exact"/>
              <w:rPr>
                <w:sz w:val="20"/>
                <w:szCs w:val="20"/>
                <w:color w:val="auto"/>
              </w:rPr>
            </w:pPr>
            <w:r>
              <w:rPr>
                <w:rFonts w:ascii="Arial" w:cs="Arial" w:eastAsia="Arial" w:hAnsi="Arial"/>
                <w:sz w:val="18"/>
                <w:szCs w:val="18"/>
                <w:color w:val="0000EE"/>
              </w:rPr>
              <w:t>Common Stock Purchase Warrant issued to Mack Molding Company</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44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7"/>
                <w:szCs w:val="17"/>
                <w:color w:val="auto"/>
              </w:rPr>
            </w:pPr>
          </w:p>
        </w:tc>
        <w:tc>
          <w:tcPr>
            <w:tcW w:w="10100" w:type="dxa"/>
            <w:vAlign w:val="bottom"/>
            <w:gridSpan w:val="9"/>
            <w:shd w:val="clear" w:color="auto" w:fill="CCEEFF"/>
          </w:tcPr>
          <w:p>
            <w:pPr>
              <w:spacing w:after="0" w:line="176" w:lineRule="exact"/>
              <w:rPr>
                <w:sz w:val="20"/>
                <w:szCs w:val="20"/>
                <w:color w:val="auto"/>
              </w:rPr>
            </w:pPr>
            <w:r>
              <w:rPr>
                <w:rFonts w:ascii="Arial" w:cs="Arial" w:eastAsia="Arial" w:hAnsi="Arial"/>
                <w:sz w:val="18"/>
                <w:szCs w:val="18"/>
                <w:color w:val="0000EE"/>
              </w:rPr>
              <w:t>Amended and Restated Junior Secured Promissory Note</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44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7"/>
                <w:szCs w:val="17"/>
                <w:color w:val="auto"/>
              </w:rPr>
            </w:pPr>
          </w:p>
        </w:tc>
        <w:tc>
          <w:tcPr>
            <w:tcW w:w="10100" w:type="dxa"/>
            <w:vAlign w:val="bottom"/>
            <w:gridSpan w:val="9"/>
            <w:shd w:val="clear" w:color="auto" w:fill="CCEEFF"/>
          </w:tcPr>
          <w:p>
            <w:pPr>
              <w:spacing w:after="0" w:line="176" w:lineRule="exact"/>
              <w:rPr>
                <w:sz w:val="20"/>
                <w:szCs w:val="20"/>
                <w:color w:val="auto"/>
              </w:rPr>
            </w:pPr>
            <w:r>
              <w:rPr>
                <w:rFonts w:ascii="Arial" w:cs="Arial" w:eastAsia="Arial" w:hAnsi="Arial"/>
                <w:sz w:val="18"/>
                <w:szCs w:val="18"/>
                <w:color w:val="0000EE"/>
              </w:rPr>
              <w:t>Junior Secured Promissory Note</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44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7"/>
                <w:szCs w:val="17"/>
                <w:color w:val="auto"/>
              </w:rPr>
            </w:pPr>
          </w:p>
        </w:tc>
        <w:tc>
          <w:tcPr>
            <w:tcW w:w="10100" w:type="dxa"/>
            <w:vAlign w:val="bottom"/>
            <w:gridSpan w:val="9"/>
            <w:shd w:val="clear" w:color="auto" w:fill="CCEEFF"/>
          </w:tcPr>
          <w:p>
            <w:pPr>
              <w:spacing w:after="0" w:line="176" w:lineRule="exact"/>
              <w:rPr>
                <w:sz w:val="20"/>
                <w:szCs w:val="20"/>
                <w:color w:val="auto"/>
              </w:rPr>
            </w:pPr>
            <w:r>
              <w:rPr>
                <w:rFonts w:ascii="Arial" w:cs="Arial" w:eastAsia="Arial" w:hAnsi="Arial"/>
                <w:sz w:val="18"/>
                <w:szCs w:val="18"/>
                <w:color w:val="0000EE"/>
              </w:rPr>
              <w:t>Company and Investor Acknowledgment and Release, dated as of October 27, 2023</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44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7"/>
                <w:szCs w:val="17"/>
                <w:color w:val="auto"/>
              </w:rPr>
            </w:pPr>
          </w:p>
        </w:tc>
        <w:tc>
          <w:tcPr>
            <w:tcW w:w="10100" w:type="dxa"/>
            <w:vAlign w:val="bottom"/>
            <w:gridSpan w:val="9"/>
            <w:shd w:val="clear" w:color="auto" w:fill="CCEEFF"/>
          </w:tcPr>
          <w:p>
            <w:pPr>
              <w:spacing w:after="0" w:line="176" w:lineRule="exact"/>
              <w:rPr>
                <w:sz w:val="20"/>
                <w:szCs w:val="20"/>
                <w:color w:val="auto"/>
              </w:rPr>
            </w:pPr>
            <w:r>
              <w:rPr>
                <w:rFonts w:ascii="Arial" w:cs="Arial" w:eastAsia="Arial" w:hAnsi="Arial"/>
                <w:sz w:val="18"/>
                <w:szCs w:val="18"/>
                <w:color w:val="0000EE"/>
              </w:rPr>
              <w:t>Letter Agreement, dated as of October 27, 2023</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44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10.3†*</w:t>
            </w:r>
          </w:p>
        </w:tc>
        <w:tc>
          <w:tcPr>
            <w:tcW w:w="10100" w:type="dxa"/>
            <w:vAlign w:val="bottom"/>
            <w:gridSpan w:val="9"/>
            <w:shd w:val="clear" w:color="auto" w:fill="CCEEFF"/>
          </w:tcPr>
          <w:p>
            <w:pPr>
              <w:spacing w:after="0" w:line="176" w:lineRule="exact"/>
              <w:rPr>
                <w:sz w:val="20"/>
                <w:szCs w:val="20"/>
                <w:color w:val="auto"/>
              </w:rPr>
            </w:pPr>
            <w:r>
              <w:rPr>
                <w:rFonts w:ascii="Arial" w:cs="Arial" w:eastAsia="Arial" w:hAnsi="Arial"/>
                <w:sz w:val="18"/>
                <w:szCs w:val="18"/>
                <w:color w:val="0000EE"/>
              </w:rPr>
              <w:t>Modification Agreement, effective as of October 18, 2023, between Agrify Corporation and Mack Molding Company</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440" w:type="dxa"/>
            <w:vAlign w:val="bottom"/>
            <w:tcBorders>
              <w:top w:val="single" w:sz="8" w:color="0000EE"/>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20" w:type="dxa"/>
            <w:vAlign w:val="bottom"/>
            <w:shd w:val="clear" w:color="auto" w:fill="CCEEFF"/>
          </w:tcPr>
          <w:p>
            <w:pPr>
              <w:spacing w:after="0"/>
              <w:rPr>
                <w:sz w:val="17"/>
                <w:szCs w:val="17"/>
                <w:color w:val="auto"/>
              </w:rPr>
            </w:pPr>
          </w:p>
        </w:tc>
        <w:tc>
          <w:tcPr>
            <w:tcW w:w="10100" w:type="dxa"/>
            <w:vAlign w:val="bottom"/>
            <w:gridSpan w:val="9"/>
            <w:shd w:val="clear" w:color="auto" w:fill="CCEEFF"/>
          </w:tcPr>
          <w:p>
            <w:pPr>
              <w:spacing w:after="0" w:line="176" w:lineRule="exact"/>
              <w:rPr>
                <w:sz w:val="20"/>
                <w:szCs w:val="20"/>
                <w:color w:val="auto"/>
              </w:rPr>
            </w:pPr>
            <w:r>
              <w:rPr>
                <w:rFonts w:ascii="Arial" w:cs="Arial" w:eastAsia="Arial" w:hAnsi="Arial"/>
                <w:sz w:val="18"/>
                <w:szCs w:val="18"/>
                <w:color w:val="0000EE"/>
              </w:rPr>
              <w:t>Press Release of Agrify Corporation, dated October 30, 2023</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44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8"/>
                <w:szCs w:val="18"/>
                <w:color w:val="auto"/>
              </w:rPr>
            </w:pPr>
          </w:p>
        </w:tc>
        <w:tc>
          <w:tcPr>
            <w:tcW w:w="1010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2"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Certain confidential portions of this exhibit were omitted pursuant to Item 601(b)(2)(ii) of Regulation S-K because the identified confidential portions</w:t>
      </w:r>
    </w:p>
    <w:p>
      <w:pPr>
        <w:spacing w:after="0" w:line="46"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(i) are not material and (ii) are customarily and actually treated as private or confidential by the Company.</w:t>
      </w:r>
    </w:p>
    <w:p>
      <w:pPr>
        <w:spacing w:after="0" w:line="211" w:lineRule="exact"/>
        <w:rPr>
          <w:sz w:val="20"/>
          <w:szCs w:val="20"/>
          <w:color w:val="auto"/>
        </w:rPr>
      </w:pPr>
    </w:p>
    <w:p>
      <w:pPr>
        <w:ind w:left="3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Schedules and exhibits have been omitted pursuant to Item 601(a)(5) of Regulation S-K. The registrant hereby undertakes to furnish copies of any of the omitted schedules and exhibits upon request by the U.S. Securities and Exchange Commission.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2"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AGRIFY CORPORATION</w:t>
      </w:r>
    </w:p>
    <w:p>
      <w:pPr>
        <w:spacing w:after="0" w:line="229" w:lineRule="exact"/>
        <w:rPr>
          <w:sz w:val="20"/>
          <w:szCs w:val="20"/>
          <w:color w:val="auto"/>
        </w:rPr>
      </w:pPr>
    </w:p>
    <w:p>
      <w:pPr>
        <w:ind w:left="60"/>
        <w:spacing w:after="0"/>
        <w:tabs>
          <w:tab w:leader="none" w:pos="6740" w:val="left"/>
          <w:tab w:leader="none" w:pos="7180" w:val="left"/>
        </w:tabs>
        <w:rPr>
          <w:sz w:val="20"/>
          <w:szCs w:val="20"/>
          <w:color w:val="auto"/>
        </w:rPr>
      </w:pPr>
      <w:r>
        <w:rPr>
          <w:rFonts w:ascii="Arial" w:cs="Arial" w:eastAsia="Arial" w:hAnsi="Arial"/>
          <w:sz w:val="18"/>
          <w:szCs w:val="18"/>
          <w:color w:val="auto"/>
        </w:rPr>
        <w:t>Date: October 30,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Raymond Nobu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Raymond Nobu Chang</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Warrant No.: </w:t>
      </w:r>
      <w:r>
        <w:rPr>
          <w:rFonts w:ascii="Arial" w:cs="Arial" w:eastAsia="Arial" w:hAnsi="Arial"/>
          <w:sz w:val="18"/>
          <w:szCs w:val="18"/>
          <w:u w:val="single" w:color="auto"/>
          <w:color w:val="auto"/>
        </w:rPr>
        <w:t>HTCS-4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Common Stock: 2,809,669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October 27, 2023 (“</w:t>
      </w:r>
      <w:r>
        <w:rPr>
          <w:rFonts w:ascii="Arial" w:cs="Arial" w:eastAsia="Arial" w:hAnsi="Arial"/>
          <w:sz w:val="18"/>
          <w:szCs w:val="18"/>
          <w:b w:val="1"/>
          <w:bCs w:val="1"/>
          <w:color w:val="auto"/>
        </w:rPr>
        <w:t>Issuance Date</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Agrify Corporation, a corporation organized under the laws of Nevada (the “</w:t>
      </w:r>
      <w:r>
        <w:rPr>
          <w:rFonts w:ascii="Arial" w:cs="Arial" w:eastAsia="Arial" w:hAnsi="Arial"/>
          <w:sz w:val="17"/>
          <w:szCs w:val="17"/>
          <w:b w:val="1"/>
          <w:bCs w:val="1"/>
          <w:color w:val="auto"/>
        </w:rPr>
        <w:t>Company</w:t>
      </w:r>
      <w:r>
        <w:rPr>
          <w:rFonts w:ascii="Arial" w:cs="Arial" w:eastAsia="Arial" w:hAnsi="Arial"/>
          <w:sz w:val="17"/>
          <w:szCs w:val="17"/>
          <w:color w:val="auto"/>
        </w:rPr>
        <w:t>”), hereby certifies that, for good and valuable consideration, the receipt and sufficiency of which are hereby acknowledged, High Trail Special Situations LLC, the registered holder hereof or its permitted assigns (the “</w:t>
      </w:r>
      <w:r>
        <w:rPr>
          <w:rFonts w:ascii="Arial" w:cs="Arial" w:eastAsia="Arial" w:hAnsi="Arial"/>
          <w:sz w:val="17"/>
          <w:szCs w:val="17"/>
          <w:b w:val="1"/>
          <w:bCs w:val="1"/>
          <w:color w:val="auto"/>
        </w:rPr>
        <w:t>Holder</w:t>
      </w:r>
      <w:r>
        <w:rPr>
          <w:rFonts w:ascii="Arial" w:cs="Arial" w:eastAsia="Arial" w:hAnsi="Arial"/>
          <w:sz w:val="17"/>
          <w:szCs w:val="17"/>
          <w:color w:val="auto"/>
        </w:rPr>
        <w:t>”), is entitled, subject to the terms set forth below, to purchase from the Company, at the Exercise Price (as defined below) then in effect, at any time or times on or after the Issuance Date (the “</w:t>
      </w:r>
      <w:r>
        <w:rPr>
          <w:rFonts w:ascii="Arial" w:cs="Arial" w:eastAsia="Arial" w:hAnsi="Arial"/>
          <w:sz w:val="17"/>
          <w:szCs w:val="17"/>
          <w:b w:val="1"/>
          <w:bCs w:val="1"/>
          <w:color w:val="auto"/>
        </w:rPr>
        <w:t>Initial Exercisability Date</w:t>
      </w:r>
      <w:r>
        <w:rPr>
          <w:rFonts w:ascii="Arial" w:cs="Arial" w:eastAsia="Arial" w:hAnsi="Arial"/>
          <w:sz w:val="17"/>
          <w:szCs w:val="17"/>
          <w:color w:val="auto"/>
        </w:rPr>
        <w:t>”), but not after 11:59 p.m., New York time, on the Expiration Date (as defined below), two million eight hundred nine thousand six hundred sixty-nine (2,809,669) duly authorized, validly issued, fully paid and non-assessable shares of Common Stock (as defined below), subject to adjustment as provided herein (the “</w:t>
      </w:r>
      <w:r>
        <w:rPr>
          <w:rFonts w:ascii="Arial" w:cs="Arial" w:eastAsia="Arial" w:hAnsi="Arial"/>
          <w:sz w:val="17"/>
          <w:szCs w:val="17"/>
          <w:b w:val="1"/>
          <w:bCs w:val="1"/>
          <w:color w:val="auto"/>
        </w:rPr>
        <w:t>Warrant Shares</w:t>
      </w:r>
      <w:r>
        <w:rPr>
          <w:rFonts w:ascii="Arial" w:cs="Arial" w:eastAsia="Arial" w:hAnsi="Arial"/>
          <w:sz w:val="17"/>
          <w:szCs w:val="17"/>
          <w:color w:val="auto"/>
        </w:rPr>
        <w:t>”). Except as otherwise defined herein, capitalized terms in this Warrant to Purchase Common Stock (including any Warrants to Purchase Common Stock issued in exchange, transfer or replacement hereof, this “</w:t>
      </w:r>
      <w:r>
        <w:rPr>
          <w:rFonts w:ascii="Arial" w:cs="Arial" w:eastAsia="Arial" w:hAnsi="Arial"/>
          <w:sz w:val="17"/>
          <w:szCs w:val="17"/>
          <w:b w:val="1"/>
          <w:bCs w:val="1"/>
          <w:color w:val="auto"/>
        </w:rPr>
        <w:t>Warrant</w:t>
      </w:r>
      <w:r>
        <w:rPr>
          <w:rFonts w:ascii="Arial" w:cs="Arial" w:eastAsia="Arial" w:hAnsi="Arial"/>
          <w:sz w:val="17"/>
          <w:szCs w:val="17"/>
          <w:color w:val="auto"/>
        </w:rPr>
        <w:t xml:space="preserve">”), shall have the meanings set forth in </w:t>
      </w:r>
      <w:r>
        <w:rPr>
          <w:rFonts w:ascii="Arial" w:cs="Arial" w:eastAsia="Arial" w:hAnsi="Arial"/>
          <w:sz w:val="17"/>
          <w:szCs w:val="17"/>
          <w:u w:val="single" w:color="auto"/>
          <w:color w:val="auto"/>
        </w:rPr>
        <w:t>Section 19</w:t>
      </w:r>
      <w:r>
        <w:rPr>
          <w:rFonts w:ascii="Arial" w:cs="Arial" w:eastAsia="Arial" w:hAnsi="Arial"/>
          <w:sz w:val="17"/>
          <w:szCs w:val="17"/>
          <w:color w:val="auto"/>
        </w:rPr>
        <w:t>. This Warrant is one of the Warrants to Purchase Common Stock (the “</w:t>
      </w:r>
      <w:r>
        <w:rPr>
          <w:rFonts w:ascii="Arial" w:cs="Arial" w:eastAsia="Arial" w:hAnsi="Arial"/>
          <w:sz w:val="17"/>
          <w:szCs w:val="17"/>
          <w:b w:val="1"/>
          <w:bCs w:val="1"/>
          <w:color w:val="auto"/>
        </w:rPr>
        <w:t>Warrants</w:t>
      </w:r>
      <w:r>
        <w:rPr>
          <w:rFonts w:ascii="Arial" w:cs="Arial" w:eastAsia="Arial" w:hAnsi="Arial"/>
          <w:sz w:val="17"/>
          <w:szCs w:val="17"/>
          <w:color w:val="auto"/>
        </w:rPr>
        <w:t>”) issued pursuant to that certain Letter Agreement re Partial Debt Conversion (the “</w:t>
      </w:r>
      <w:r>
        <w:rPr>
          <w:rFonts w:ascii="Arial" w:cs="Arial" w:eastAsia="Arial" w:hAnsi="Arial"/>
          <w:sz w:val="17"/>
          <w:szCs w:val="17"/>
          <w:b w:val="1"/>
          <w:bCs w:val="1"/>
          <w:color w:val="auto"/>
        </w:rPr>
        <w:t>Letter Agreement</w:t>
      </w:r>
      <w:r>
        <w:rPr>
          <w:rFonts w:ascii="Arial" w:cs="Arial" w:eastAsia="Arial" w:hAnsi="Arial"/>
          <w:sz w:val="17"/>
          <w:szCs w:val="17"/>
          <w:color w:val="auto"/>
        </w:rPr>
        <w:t>”), dated as of October 27, 2023 (the “</w:t>
      </w:r>
      <w:r>
        <w:rPr>
          <w:rFonts w:ascii="Arial" w:cs="Arial" w:eastAsia="Arial" w:hAnsi="Arial"/>
          <w:sz w:val="17"/>
          <w:szCs w:val="17"/>
          <w:b w:val="1"/>
          <w:bCs w:val="1"/>
          <w:color w:val="auto"/>
        </w:rPr>
        <w:t>Subscription Date</w:t>
      </w:r>
      <w:r>
        <w:rPr>
          <w:rFonts w:ascii="Arial" w:cs="Arial" w:eastAsia="Arial" w:hAnsi="Arial"/>
          <w:sz w:val="17"/>
          <w:szCs w:val="17"/>
          <w:color w:val="auto"/>
        </w:rPr>
        <w:t>”) by and among the Company and 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ind w:left="1480" w:hanging="176"/>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EXERCISE OF WARRANT.</w:t>
      </w:r>
    </w:p>
    <w:p>
      <w:pPr>
        <w:spacing w:after="0" w:line="225" w:lineRule="exact"/>
        <w:rPr>
          <w:rFonts w:ascii="Arial" w:cs="Arial" w:eastAsia="Arial" w:hAnsi="Arial"/>
          <w:sz w:val="18"/>
          <w:szCs w:val="18"/>
          <w:color w:val="auto"/>
        </w:rPr>
      </w:pPr>
    </w:p>
    <w:p>
      <w:pPr>
        <w:jc w:val="both"/>
        <w:ind w:firstLine="1952"/>
        <w:spacing w:after="0" w:line="283" w:lineRule="auto"/>
        <w:tabs>
          <w:tab w:leader="none" w:pos="2188" w:val="left"/>
        </w:tabs>
        <w:numPr>
          <w:ilvl w:val="1"/>
          <w:numId w:val="4"/>
        </w:numPr>
        <w:rPr>
          <w:rFonts w:ascii="Arial" w:cs="Arial" w:eastAsia="Arial" w:hAnsi="Arial"/>
          <w:sz w:val="16"/>
          <w:szCs w:val="16"/>
          <w:color w:val="auto"/>
        </w:rPr>
      </w:pPr>
      <w:r>
        <w:rPr>
          <w:rFonts w:ascii="Arial" w:cs="Arial" w:eastAsia="Arial" w:hAnsi="Arial"/>
          <w:sz w:val="16"/>
          <w:szCs w:val="16"/>
          <w:u w:val="single" w:color="auto"/>
          <w:color w:val="auto"/>
        </w:rPr>
        <w:t>Mechanics of Exercise</w:t>
      </w:r>
      <w:r>
        <w:rPr>
          <w:rFonts w:ascii="Arial" w:cs="Arial" w:eastAsia="Arial" w:hAnsi="Arial"/>
          <w:sz w:val="16"/>
          <w:szCs w:val="16"/>
          <w:color w:val="auto"/>
        </w:rPr>
        <w:t xml:space="preserve">. Subject to the terms and conditions hereof (including, without limitation, the limitations set forth in </w:t>
      </w:r>
      <w:r>
        <w:rPr>
          <w:rFonts w:ascii="Arial" w:cs="Arial" w:eastAsia="Arial" w:hAnsi="Arial"/>
          <w:sz w:val="16"/>
          <w:szCs w:val="16"/>
          <w:u w:val="single" w:color="auto"/>
          <w:color w:val="auto"/>
        </w:rPr>
        <w:t>Section 1(f)</w:t>
      </w:r>
      <w:r>
        <w:rPr>
          <w:rFonts w:ascii="Arial" w:cs="Arial" w:eastAsia="Arial" w:hAnsi="Arial"/>
          <w:sz w:val="16"/>
          <w:szCs w:val="16"/>
          <w:color w:val="auto"/>
        </w:rPr>
        <w:t xml:space="preserve">, this Warrant may be exercised by the Holder at any time or times on or after the Initial Exercisability Date, in whole or in part, by delivery (whether via electronic mail or otherwise) of a duly completed and executed written notice,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Exercise</w:t>
      </w:r>
      <w:r>
        <w:rPr>
          <w:rFonts w:ascii="Arial" w:cs="Arial" w:eastAsia="Arial" w:hAnsi="Arial"/>
          <w:sz w:val="16"/>
          <w:szCs w:val="16"/>
          <w:color w:val="auto"/>
        </w:rPr>
        <w:t xml:space="preserve"> </w:t>
      </w:r>
      <w:r>
        <w:rPr>
          <w:rFonts w:ascii="Arial" w:cs="Arial" w:eastAsia="Arial" w:hAnsi="Arial"/>
          <w:sz w:val="16"/>
          <w:szCs w:val="16"/>
          <w:b w:val="1"/>
          <w:bCs w:val="1"/>
          <w:color w:val="auto"/>
        </w:rPr>
        <w:t>Notice</w:t>
      </w:r>
      <w:r>
        <w:rPr>
          <w:rFonts w:ascii="Arial" w:cs="Arial" w:eastAsia="Arial" w:hAnsi="Arial"/>
          <w:sz w:val="16"/>
          <w:szCs w:val="16"/>
          <w:color w:val="auto"/>
        </w:rPr>
        <w:t>”), of the Holder’s election to exercise this Warrant. Unless the Holder elects to conduct a Cashless Exercise (as defined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1(d)</w:t>
      </w:r>
      <w:r>
        <w:rPr>
          <w:rFonts w:ascii="Arial" w:cs="Arial" w:eastAsia="Arial" w:hAnsi="Arial"/>
          <w:sz w:val="16"/>
          <w:szCs w:val="16"/>
          <w:color w:val="auto"/>
        </w:rPr>
        <w:t>)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1(d) hereof,</w:t>
      </w:r>
      <w:r>
        <w:rPr>
          <w:rFonts w:ascii="Arial" w:cs="Arial" w:eastAsia="Arial" w:hAnsi="Arial"/>
          <w:sz w:val="16"/>
          <w:szCs w:val="16"/>
          <w:color w:val="auto"/>
        </w:rPr>
        <w:t xml:space="preserve"> within two (2) Trading Days following the delivery of the Exercise Notice, the Holder shall make payment to the Company of an amount equal to the Exercise Price in effect on the date of such exercise multiplied by the number of Warrant Shares as to which this Warrant is being exercised (the “</w:t>
      </w:r>
      <w:r>
        <w:rPr>
          <w:rFonts w:ascii="Arial" w:cs="Arial" w:eastAsia="Arial" w:hAnsi="Arial"/>
          <w:sz w:val="16"/>
          <w:szCs w:val="16"/>
          <w:b w:val="1"/>
          <w:bCs w:val="1"/>
          <w:color w:val="auto"/>
        </w:rPr>
        <w:t>Aggregate Exercise Price</w:t>
      </w:r>
      <w:r>
        <w:rPr>
          <w:rFonts w:ascii="Arial" w:cs="Arial" w:eastAsia="Arial" w:hAnsi="Arial"/>
          <w:sz w:val="16"/>
          <w:szCs w:val="16"/>
          <w:color w:val="auto"/>
        </w:rPr>
        <w:t xml:space="preserve">”) in cash by wire transfer of immediately available funds. If, however, the provisions of </w:t>
      </w:r>
      <w:r>
        <w:rPr>
          <w:rFonts w:ascii="Arial" w:cs="Arial" w:eastAsia="Arial" w:hAnsi="Arial"/>
          <w:sz w:val="16"/>
          <w:szCs w:val="16"/>
          <w:u w:val="single" w:color="auto"/>
          <w:color w:val="auto"/>
        </w:rPr>
        <w:t>Section 1(d)</w:t>
      </w:r>
      <w:r>
        <w:rPr>
          <w:rFonts w:ascii="Arial" w:cs="Arial" w:eastAsia="Arial" w:hAnsi="Arial"/>
          <w:sz w:val="16"/>
          <w:szCs w:val="16"/>
          <w:color w:val="auto"/>
        </w:rPr>
        <w:t xml:space="preserve"> are elected by the Holder, then the Holder shall instead notify the Company that this Warrant is being exercised pursuant to a Cashless Exercise. The Holder shall not be required to deliver the original Warrant in order to effect an exercise hereunder, nor shall any ink-original signature or medallion guarantee (or other type of guarantee or notarization) with respect to any Exercise Notice be required. Execution and delivery of the Exercise Notice with respect to less than all of the Warrant Shares shall have the same effect as cancellation of the original Warrant and issuance of a new Warrant evidencing the right to purchase the remaining number of Warrant Shares and the Holder shall not be required to physically surrender this Warrant to the Company until the Holder has purchased all of the Warrant Shares available hereunder and this Warrant has been exercised in full, in which case, the Holder shall surrender this Warrant to the Company for cancellation within three (3) Trading Days of the date on which the final Exercise Notice is delivered to the Company. On or before the</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first (1</w:t>
      </w:r>
      <w:r>
        <w:rPr>
          <w:rFonts w:ascii="Arial" w:cs="Arial" w:eastAsia="Arial" w:hAnsi="Arial"/>
          <w:sz w:val="26"/>
          <w:szCs w:val="26"/>
          <w:color w:val="auto"/>
          <w:vertAlign w:val="superscript"/>
        </w:rPr>
        <w:t>st</w:t>
      </w:r>
      <w:r>
        <w:rPr>
          <w:rFonts w:ascii="Arial" w:cs="Arial" w:eastAsia="Arial" w:hAnsi="Arial"/>
          <w:sz w:val="16"/>
          <w:szCs w:val="16"/>
          <w:color w:val="auto"/>
        </w:rPr>
        <w:t>) Trading Day following the date on which the Holder has delivered the applicable Exercise Notice, the Company shall transmit by electronic mail a duly executed and completed acknowledgment of confirmation of receipt of the Exercise Notice, in the form attached to the Exercise Notice, to the Holder and the Company’s transfer agent (the “</w:t>
      </w:r>
      <w:r>
        <w:rPr>
          <w:rFonts w:ascii="Arial" w:cs="Arial" w:eastAsia="Arial" w:hAnsi="Arial"/>
          <w:sz w:val="16"/>
          <w:szCs w:val="16"/>
          <w:b w:val="1"/>
          <w:bCs w:val="1"/>
          <w:color w:val="auto"/>
        </w:rPr>
        <w:t>Transfer Agent</w:t>
      </w:r>
      <w:r>
        <w:rPr>
          <w:rFonts w:ascii="Arial" w:cs="Arial" w:eastAsia="Arial" w:hAnsi="Arial"/>
          <w:sz w:val="16"/>
          <w:szCs w:val="16"/>
          <w:color w:val="auto"/>
        </w:rPr>
        <w:t>”). So long as the Holder delivers the Aggregate Exercise Price (or notice of a Cashless Exercise, if applicable) on or prior to the first (1</w:t>
      </w:r>
      <w:r>
        <w:rPr>
          <w:rFonts w:ascii="Arial" w:cs="Arial" w:eastAsia="Arial" w:hAnsi="Arial"/>
          <w:sz w:val="26"/>
          <w:szCs w:val="26"/>
          <w:color w:val="auto"/>
          <w:vertAlign w:val="superscript"/>
        </w:rPr>
        <w:t>st</w:t>
      </w:r>
      <w:r>
        <w:rPr>
          <w:rFonts w:ascii="Arial" w:cs="Arial" w:eastAsia="Arial" w:hAnsi="Arial"/>
          <w:sz w:val="16"/>
          <w:szCs w:val="16"/>
          <w:color w:val="auto"/>
        </w:rPr>
        <w:t>) Trading Day following the date on which the Exercise Notice has been delivered (or deemed to have</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been delivered) to the Company, then on or prior to the earlier of (i) the second (2</w:t>
      </w:r>
      <w:r>
        <w:rPr>
          <w:rFonts w:ascii="Arial" w:cs="Arial" w:eastAsia="Arial" w:hAnsi="Arial"/>
          <w:sz w:val="26"/>
          <w:szCs w:val="26"/>
          <w:color w:val="auto"/>
          <w:vertAlign w:val="superscript"/>
        </w:rPr>
        <w:t>nd</w:t>
      </w:r>
      <w:r>
        <w:rPr>
          <w:rFonts w:ascii="Arial" w:cs="Arial" w:eastAsia="Arial" w:hAnsi="Arial"/>
          <w:sz w:val="16"/>
          <w:szCs w:val="16"/>
          <w:color w:val="auto"/>
        </w:rPr>
        <w:t>) Trading Day and (ii) the number of Trading Days comprising the Standard Settlement Period, in each case following the date on which the Exercise Notice has been delivered (or deemed to have been delivered) to the</w:t>
      </w:r>
    </w:p>
    <w:p>
      <w:pPr>
        <w:jc w:val="both"/>
        <w:spacing w:after="0" w:line="234" w:lineRule="auto"/>
        <w:rPr>
          <w:sz w:val="20"/>
          <w:szCs w:val="20"/>
          <w:color w:val="auto"/>
        </w:rPr>
      </w:pPr>
      <w:r>
        <w:rPr>
          <w:rFonts w:ascii="Arial" w:cs="Arial" w:eastAsia="Arial" w:hAnsi="Arial"/>
          <w:sz w:val="16"/>
          <w:szCs w:val="16"/>
          <w:color w:val="auto"/>
        </w:rPr>
        <w:t>Company, or, if the Holder does not deliver the Aggregate Exercise Price (or notice of a Cashless Exercise, if applicable) on or prior to the first (1</w:t>
      </w:r>
      <w:r>
        <w:rPr>
          <w:rFonts w:ascii="Arial" w:cs="Arial" w:eastAsia="Arial" w:hAnsi="Arial"/>
          <w:sz w:val="26"/>
          <w:szCs w:val="26"/>
          <w:color w:val="auto"/>
          <w:vertAlign w:val="superscript"/>
        </w:rPr>
        <w:t>st</w:t>
      </w:r>
      <w:r>
        <w:rPr>
          <w:rFonts w:ascii="Arial" w:cs="Arial" w:eastAsia="Arial" w:hAnsi="Arial"/>
          <w:sz w:val="16"/>
          <w:szCs w:val="16"/>
          <w:color w:val="auto"/>
        </w:rPr>
        <w:t>) Trading Day following the date on which the Exercise Notice has been delivered (or deemed to have been delivered) to the Company, then on or prior to</w:t>
      </w:r>
    </w:p>
    <w:p>
      <w:pPr>
        <w:spacing w:after="0" w:line="2"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first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Trading Day following the date on which the Aggregate Exercise Price (or notice of a Cashless Exercise, if applicable) is delivered (such earlier date, or if later, the earliest day on which the Company is required to deliver Warrant Shares pursuant to this </w:t>
      </w:r>
      <w:r>
        <w:rPr>
          <w:rFonts w:ascii="Arial" w:cs="Arial" w:eastAsia="Arial" w:hAnsi="Arial"/>
          <w:sz w:val="16"/>
          <w:szCs w:val="16"/>
          <w:u w:val="single" w:color="auto"/>
          <w:color w:val="auto"/>
        </w:rPr>
        <w:t>Section 1(a)</w:t>
      </w:r>
      <w:r>
        <w:rPr>
          <w:rFonts w:ascii="Arial" w:cs="Arial" w:eastAsia="Arial" w:hAnsi="Arial"/>
          <w:sz w:val="16"/>
          <w:szCs w:val="16"/>
          <w:color w:val="auto"/>
        </w:rPr>
        <w:t>, the “</w:t>
      </w:r>
      <w:r>
        <w:rPr>
          <w:rFonts w:ascii="Arial" w:cs="Arial" w:eastAsia="Arial" w:hAnsi="Arial"/>
          <w:sz w:val="16"/>
          <w:szCs w:val="16"/>
          <w:b w:val="1"/>
          <w:bCs w:val="1"/>
          <w:color w:val="auto"/>
        </w:rPr>
        <w:t>Share Delivery</w:t>
      </w:r>
      <w:r>
        <w:rPr>
          <w:rFonts w:ascii="Arial" w:cs="Arial" w:eastAsia="Arial" w:hAnsi="Arial"/>
          <w:sz w:val="16"/>
          <w:szCs w:val="16"/>
          <w:color w:val="auto"/>
        </w:rPr>
        <w:t xml:space="preserve"> </w:t>
      </w:r>
      <w:r>
        <w:rPr>
          <w:rFonts w:ascii="Arial" w:cs="Arial" w:eastAsia="Arial" w:hAnsi="Arial"/>
          <w:sz w:val="16"/>
          <w:szCs w:val="16"/>
          <w:b w:val="1"/>
          <w:bCs w:val="1"/>
          <w:color w:val="auto"/>
        </w:rPr>
        <w:t>Date</w:t>
      </w:r>
      <w:r>
        <w:rPr>
          <w:rFonts w:ascii="Arial" w:cs="Arial" w:eastAsia="Arial" w:hAnsi="Arial"/>
          <w:sz w:val="16"/>
          <w:szCs w:val="16"/>
          <w:color w:val="auto"/>
        </w:rPr>
        <w:t>”), the Company shall (X) provided that the Transfer Agent is participating in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Fast Automated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 Program (“</w:t>
      </w:r>
      <w:r>
        <w:rPr>
          <w:rFonts w:ascii="Arial" w:cs="Arial" w:eastAsia="Arial" w:hAnsi="Arial"/>
          <w:sz w:val="16"/>
          <w:szCs w:val="16"/>
          <w:b w:val="1"/>
          <w:bCs w:val="1"/>
          <w:color w:val="auto"/>
        </w:rPr>
        <w:t>FAST</w:t>
      </w:r>
      <w:r>
        <w:rPr>
          <w:rFonts w:ascii="Arial" w:cs="Arial" w:eastAsia="Arial" w:hAnsi="Arial"/>
          <w:sz w:val="16"/>
          <w:szCs w:val="16"/>
          <w:color w:val="auto"/>
        </w:rPr>
        <w:t xml:space="preserve">”), credit such aggregate number of Warrant Shares to which the Holder is entitled pursuant to such exercise to the Holder’s or its designee’s balance account with DTC through its Deposit / Withdrawal At Custodian system, or (Y) if the Transfer Agent is not participating in FAST, issue and dispatch by overnight courier to the address as specified in the Exercise Notice, a certificate, registered in the name of the Holder or its designee, for the number of Warrant Shares to which the Holder is entitled pursuant to such exercise. The Company shall be responsible for all fees and expenses of the Transfer Agent and all fees and expenses with respect to the issuance of Warrant Shares via DTC, if any, including without limitation for same day processing. Upon delivery (or deemed delivery) of the Exercise Notice, the Holder shall be deemed for all corporate purposes to have become the holder of record and beneficial owner of the Warrant Shares with respect to which this Warrant has been exercised, irrespective of the date such Warrant Shares are credited to the Holder’s DTC account or the date of delivery of the certificates evidencing such Warrant Shares, as the case may be. If this Warrant is physically delivered to the Company in connection with any exercise pursuant to this </w:t>
      </w:r>
      <w:r>
        <w:rPr>
          <w:rFonts w:ascii="Arial" w:cs="Arial" w:eastAsia="Arial" w:hAnsi="Arial"/>
          <w:sz w:val="16"/>
          <w:szCs w:val="16"/>
          <w:u w:val="single" w:color="auto"/>
          <w:color w:val="auto"/>
        </w:rPr>
        <w:t>Section 1(a)</w:t>
      </w:r>
      <w:r>
        <w:rPr>
          <w:rFonts w:ascii="Arial" w:cs="Arial" w:eastAsia="Arial" w:hAnsi="Arial"/>
          <w:sz w:val="16"/>
          <w:szCs w:val="16"/>
          <w:color w:val="auto"/>
        </w:rPr>
        <w:t xml:space="preserve"> and the number of Warrant Shares represented by this Warrant submitted for exercise is greater than the number of Warrant Shares being acquired upon an exercise, then the Company shall as soon as practicable and in no event later than three (3) Trading Days after any exercise and at its own expense, issue and deliver to the Holder (or its designee) a new Warrant (in accordance with </w:t>
      </w:r>
      <w:r>
        <w:rPr>
          <w:rFonts w:ascii="Arial" w:cs="Arial" w:eastAsia="Arial" w:hAnsi="Arial"/>
          <w:sz w:val="16"/>
          <w:szCs w:val="16"/>
          <w:u w:val="single" w:color="auto"/>
          <w:color w:val="auto"/>
        </w:rPr>
        <w:t>Section 7(d)</w:t>
      </w:r>
      <w:r>
        <w:rPr>
          <w:rFonts w:ascii="Arial" w:cs="Arial" w:eastAsia="Arial" w:hAnsi="Arial"/>
          <w:sz w:val="16"/>
          <w:szCs w:val="16"/>
          <w:color w:val="auto"/>
        </w:rPr>
        <w:t xml:space="preserve">) representing the right to purchase the number of Warrant Shares issuable immediately prior to such exercise under this Warrant, less the number of Warrant Shares with respect to which this Warrant is exercised. No fractional Warrant Shares are to be issued upon the exercise of this Warrant, but rather the number of Warrant Shares to be issued shall be rounded to the nearest whole number. The Company shall pay any and all transfer, stamp, issuance and similar taxes, costs and expenses (including, without limitation, fees and expenses of the Transfer Agent) which may be payable with respect to the issuance and delivery of Warrant Shares upon exercise of this Warrant; provided, that the Company shall not be required to pay any tax or governmental charge that may be imposed with respect to any applicable withholding or the issuance or delivery of the Warrant Shares to any Person other than the Holder, and no such issuance or delivery shall be made unless and until the Person requesting such issuance has paid to the Company the amount of any such tax, or has established to the satisfaction of the Company that such tax has been paid. The Company’s obligations to issue and deliver Warrant Shares in accordance with the terms and subject to the conditions hereof are absolute and unconditional, irrespective of any action or inaction by the Holder to enforce the same, any waiver or consent with respect to any provision hereof (except for consents and waivers provided pursuant to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the recovery of any judgment against any Person or any action to enforce the same, or any setoff, counterclaim, recoupment, limitation or termination;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required to deliver Warrant Shares with respect to an exercise prior to the Holder’s delivery of the Aggregate Exercise Price (or notice of a Cashless Exercise) with respect to such exercise.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jc w:val="both"/>
        <w:ind w:firstLine="1952"/>
        <w:spacing w:after="0" w:line="266" w:lineRule="auto"/>
        <w:tabs>
          <w:tab w:leader="none" w:pos="2226"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For purposes of this Warrant, “</w:t>
      </w:r>
      <w:r>
        <w:rPr>
          <w:rFonts w:ascii="Arial" w:cs="Arial" w:eastAsia="Arial" w:hAnsi="Arial"/>
          <w:sz w:val="18"/>
          <w:szCs w:val="18"/>
          <w:b w:val="1"/>
          <w:bCs w:val="1"/>
          <w:color w:val="auto"/>
        </w:rPr>
        <w:t>Exercise Price</w:t>
      </w:r>
      <w:r>
        <w:rPr>
          <w:rFonts w:ascii="Arial" w:cs="Arial" w:eastAsia="Arial" w:hAnsi="Arial"/>
          <w:sz w:val="18"/>
          <w:szCs w:val="18"/>
          <w:color w:val="auto"/>
        </w:rPr>
        <w:t>” means $0.001 per share (without giving effect to any combination or reverse stock split occurring after the Issuance Date which would otherwise increase the exercise price), subject to adjustment as provided herein.</w:t>
      </w:r>
    </w:p>
    <w:p>
      <w:pPr>
        <w:spacing w:after="0" w:line="179" w:lineRule="exact"/>
        <w:rPr>
          <w:rFonts w:ascii="Arial" w:cs="Arial" w:eastAsia="Arial" w:hAnsi="Arial"/>
          <w:sz w:val="18"/>
          <w:szCs w:val="18"/>
          <w:color w:val="auto"/>
        </w:rPr>
      </w:pPr>
    </w:p>
    <w:p>
      <w:pPr>
        <w:jc w:val="both"/>
        <w:ind w:firstLine="1952"/>
        <w:spacing w:after="0" w:line="282" w:lineRule="auto"/>
        <w:tabs>
          <w:tab w:leader="none" w:pos="2188"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Company’s Failure to Timely Deliver Securities</w:t>
      </w:r>
      <w:r>
        <w:rPr>
          <w:rFonts w:ascii="Arial" w:cs="Arial" w:eastAsia="Arial" w:hAnsi="Arial"/>
          <w:sz w:val="16"/>
          <w:szCs w:val="16"/>
          <w:color w:val="auto"/>
        </w:rPr>
        <w:t>. If the Company shall fail for any reason or for no reason on or prior to the applicable Share Delivery Date, if (x) the Transfer Agent is not participating in FAST, to issue to the Holder a certificate for the number of shares of Common Stock to which the Holder is entitled and register such Common Stock on the Company’s share register or (y) the Transfer Agent is participating in FAST, to credit the Holder’s balance account with DTC, for such number of shares of Common Stock to which the Holder is entitled upon the Holder’s exercise of this Warrant (such shares to which Holder is entitled being, the “</w:t>
      </w:r>
      <w:r>
        <w:rPr>
          <w:rFonts w:ascii="Arial" w:cs="Arial" w:eastAsia="Arial" w:hAnsi="Arial"/>
          <w:sz w:val="16"/>
          <w:szCs w:val="16"/>
          <w:b w:val="1"/>
          <w:bCs w:val="1"/>
          <w:color w:val="auto"/>
        </w:rPr>
        <w:t>Exercise Notice Warrant Shares</w:t>
      </w:r>
      <w:r>
        <w:rPr>
          <w:rFonts w:ascii="Arial" w:cs="Arial" w:eastAsia="Arial" w:hAnsi="Arial"/>
          <w:sz w:val="16"/>
          <w:szCs w:val="16"/>
          <w:color w:val="auto"/>
        </w:rPr>
        <w:t>”), then, in addition to all other remedies available to the Holder, if on or prior to the applicable Share Delivery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Arial" w:cs="Arial" w:eastAsia="Arial" w:hAnsi="Arial"/>
          <w:sz w:val="16"/>
          <w:szCs w:val="16"/>
          <w:b w:val="1"/>
          <w:bCs w:val="1"/>
          <w:color w:val="auto"/>
        </w:rPr>
        <w:t>Buy-In</w:t>
      </w:r>
      <w:r>
        <w:rPr>
          <w:rFonts w:ascii="Arial" w:cs="Arial" w:eastAsia="Arial" w:hAnsi="Arial"/>
          <w:sz w:val="16"/>
          <w:szCs w:val="16"/>
          <w:color w:val="auto"/>
        </w:rPr>
        <w:t xml:space="preserve">”), then the Company shall, within five (5) Trading Days after the Holder’s request,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by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the Warrant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written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 As of the Issuance Date, the Company’s current transfer agent participates in FAST. In the event that the Company changes transfer agents while this Warrant is outstanding, the Company shall use commercially reasonable efforts to select a transfer agent that participates in FAST. While this Warrant is outstanding, the Company shall request its transfer agent to participate in FAST with respect to this Warrant. In addition to the foregoing rights, if the Company fails to deliver the applicable number of Warrant Shares upon an exercise pursuant to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by the applicable Share Delivery Date, then the Holder shall have the right to rescind such exercise in whole or in part and retain and/or have the Company return, as the case may be, any portion of this Warrant that has not been exercised pursuant to such Exercise Notice; provided that the rescission of an exercise shall not affect the Company’s obligation to make any payments that have accrued prior to the date of such notice pursuant to this </w:t>
      </w:r>
      <w:r>
        <w:rPr>
          <w:rFonts w:ascii="Arial" w:cs="Arial" w:eastAsia="Arial" w:hAnsi="Arial"/>
          <w:sz w:val="16"/>
          <w:szCs w:val="16"/>
          <w:u w:val="single" w:color="auto"/>
          <w:color w:val="auto"/>
        </w:rPr>
        <w:t>Section 1(c)</w:t>
      </w:r>
      <w:r>
        <w:rPr>
          <w:rFonts w:ascii="Arial" w:cs="Arial" w:eastAsia="Arial" w:hAnsi="Arial"/>
          <w:sz w:val="16"/>
          <w:szCs w:val="16"/>
          <w:color w:val="auto"/>
        </w:rPr>
        <w:t xml:space="preserve"> or otherwise. In addition to the foregoing, if the Company fails for any reason to deliver to the Holder the Warrant</w:t>
      </w:r>
    </w:p>
    <w:p>
      <w:pPr>
        <w:spacing w:after="0" w:line="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Shares subject to an Exercise Notice by the second (2</w:t>
      </w:r>
      <w:r>
        <w:rPr>
          <w:rFonts w:ascii="Arial" w:cs="Arial" w:eastAsia="Arial" w:hAnsi="Arial"/>
          <w:sz w:val="26"/>
          <w:szCs w:val="26"/>
          <w:color w:val="auto"/>
          <w:vertAlign w:val="superscript"/>
        </w:rPr>
        <w:t>nd</w:t>
      </w:r>
      <w:r>
        <w:rPr>
          <w:rFonts w:ascii="Arial" w:cs="Arial" w:eastAsia="Arial" w:hAnsi="Arial"/>
          <w:sz w:val="16"/>
          <w:szCs w:val="16"/>
          <w:color w:val="auto"/>
        </w:rPr>
        <w:t>) Trading Day following the Share Delivery Date, the Company shall pay to the Holder, in cash, as liquidated damages and not as a penalty, for each $1,000 of Warrant Shares subject to such exercise (based on the Weighted Average Price of the Common Stock on the date of the applicable Exercise Notice), $10 per Trading Day (increasing to $20 per Trading Day on the fifth Trading Day after such liquidated damages begin to accrue) for each Trading Day after the Share Delivery Date until such Warrant Shares are delivered or Holder rescinds such exercise.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ind w:firstLine="1952"/>
        <w:spacing w:after="0" w:line="286" w:lineRule="auto"/>
        <w:tabs>
          <w:tab w:leader="none" w:pos="2199"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Cashless Exercise</w:t>
      </w:r>
      <w:r>
        <w:rPr>
          <w:rFonts w:ascii="Arial" w:cs="Arial" w:eastAsia="Arial" w:hAnsi="Arial"/>
          <w:sz w:val="17"/>
          <w:szCs w:val="17"/>
          <w:color w:val="auto"/>
        </w:rPr>
        <w:t>. Notwithstanding anything contained herein to the contrary, in lieu of making the cash payment otherwise contemplated to be made to the Company upon such exercise in payment of the Aggregate Exercise Price, the Holder may elect to receive upon such exercise the “Net Number” of shares of Common Stock determined according to the following formula (a “</w:t>
      </w:r>
      <w:r>
        <w:rPr>
          <w:rFonts w:ascii="Arial" w:cs="Arial" w:eastAsia="Arial" w:hAnsi="Arial"/>
          <w:sz w:val="17"/>
          <w:szCs w:val="17"/>
          <w:b w:val="1"/>
          <w:bCs w:val="1"/>
          <w:color w:val="auto"/>
        </w:rPr>
        <w:t>Cashless Exercise</w:t>
      </w:r>
      <w:r>
        <w:rPr>
          <w:rFonts w:ascii="Arial" w:cs="Arial" w:eastAsia="Arial" w:hAnsi="Arial"/>
          <w:sz w:val="17"/>
          <w:szCs w:val="17"/>
          <w:color w:val="auto"/>
        </w:rPr>
        <w:t>”):</w:t>
      </w:r>
    </w:p>
    <w:p>
      <w:pPr>
        <w:spacing w:after="0" w:line="16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 xml:space="preserve">Net Number = </w:t>
      </w:r>
      <w:r>
        <w:rPr>
          <w:rFonts w:ascii="Arial" w:cs="Arial" w:eastAsia="Arial" w:hAnsi="Arial"/>
          <w:sz w:val="18"/>
          <w:szCs w:val="18"/>
          <w:u w:val="single" w:color="auto"/>
          <w:color w:val="auto"/>
        </w:rPr>
        <w:t>(A x B) - (A x C)</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For purposes of the foregoing formula: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the total number of shares with respect to which this Warrant is then being exercised.</w:t>
      </w:r>
    </w:p>
    <w:p>
      <w:pPr>
        <w:spacing w:after="0" w:line="225" w:lineRule="exact"/>
        <w:rPr>
          <w:sz w:val="20"/>
          <w:szCs w:val="20"/>
          <w:color w:val="auto"/>
        </w:rPr>
      </w:pPr>
    </w:p>
    <w:p>
      <w:pPr>
        <w:jc w:val="both"/>
        <w:ind w:left="1620" w:hanging="319"/>
        <w:spacing w:after="0" w:line="269" w:lineRule="auto"/>
        <w:tabs>
          <w:tab w:leader="none" w:pos="1600" w:val="left"/>
        </w:tabs>
        <w:rPr>
          <w:sz w:val="20"/>
          <w:szCs w:val="20"/>
          <w:color w:val="auto"/>
        </w:rPr>
      </w:pPr>
      <w:r>
        <w:rPr>
          <w:rFonts w:ascii="Arial" w:cs="Arial" w:eastAsia="Arial" w:hAnsi="Arial"/>
          <w:sz w:val="17"/>
          <w:szCs w:val="17"/>
          <w:color w:val="auto"/>
        </w:rPr>
        <w:t>B=</w:t>
        <w:tab/>
        <w:t xml:space="preserve">as applicable: (i) the Closing Sale Price of the Common Stock on the Trading Day immediately preceding the date of the applicable Exercise Notice if such Exercise Notice is (1) both executed and delivered pursuant to </w:t>
      </w:r>
      <w:r>
        <w:rPr>
          <w:rFonts w:ascii="Arial" w:cs="Arial" w:eastAsia="Arial" w:hAnsi="Arial"/>
          <w:sz w:val="17"/>
          <w:szCs w:val="17"/>
          <w:u w:val="single" w:color="auto"/>
          <w:color w:val="auto"/>
        </w:rPr>
        <w:t>Section 1(a)</w:t>
      </w:r>
      <w:r>
        <w:rPr>
          <w:rFonts w:ascii="Arial" w:cs="Arial" w:eastAsia="Arial" w:hAnsi="Arial"/>
          <w:sz w:val="17"/>
          <w:szCs w:val="17"/>
          <w:color w:val="auto"/>
        </w:rPr>
        <w:t xml:space="preserve"> hereof on a day that is not a Trading Day or (2) both executed and delivered pursuant to </w:t>
      </w:r>
      <w:r>
        <w:rPr>
          <w:rFonts w:ascii="Arial" w:cs="Arial" w:eastAsia="Arial" w:hAnsi="Arial"/>
          <w:sz w:val="17"/>
          <w:szCs w:val="17"/>
          <w:u w:val="single" w:color="auto"/>
          <w:color w:val="auto"/>
        </w:rPr>
        <w:t>Section 1(a)</w:t>
      </w:r>
      <w:r>
        <w:rPr>
          <w:rFonts w:ascii="Arial" w:cs="Arial" w:eastAsia="Arial" w:hAnsi="Arial"/>
          <w:sz w:val="17"/>
          <w:szCs w:val="17"/>
          <w:color w:val="auto"/>
        </w:rPr>
        <w:t xml:space="preserve"> hereof on a Trading Day prior to the opening of “regular trading hours” (as defined in Rule 600(b)(77) of Regulation NMS promulgated under the federal securities laws) on such Trading Day, (ii) at the option of the Holder, either (y) the Weighted Average Price on the Trading Day immediately preceding the date of the applicable Exercise Notice or (z) the Bid Price of the Common Stock as of the time of the Holder’s execution of the applicable Exercise Notice if such Exercise Notice is executed during “regular trading hours” on a Trading Day and is delivered within two (2) hours thereafter (including until two (2) hours after the close of “regular trading hours” on a Trading Day) pursuant to </w:t>
      </w:r>
      <w:r>
        <w:rPr>
          <w:rFonts w:ascii="Arial" w:cs="Arial" w:eastAsia="Arial" w:hAnsi="Arial"/>
          <w:sz w:val="17"/>
          <w:szCs w:val="17"/>
          <w:u w:val="single" w:color="auto"/>
          <w:color w:val="auto"/>
        </w:rPr>
        <w:t>Section 1(a)</w:t>
      </w:r>
      <w:r>
        <w:rPr>
          <w:rFonts w:ascii="Arial" w:cs="Arial" w:eastAsia="Arial" w:hAnsi="Arial"/>
          <w:sz w:val="17"/>
          <w:szCs w:val="17"/>
          <w:color w:val="auto"/>
        </w:rPr>
        <w:t xml:space="preserve"> hereof or (iii) the Closing Sale Price of the Common Stock on the date of the applicable Exercise Notice if the date of such Exercise Notice is a Trading Day and such Exercise Notice is both executed and delivered pursuant to </w:t>
      </w:r>
      <w:r>
        <w:rPr>
          <w:rFonts w:ascii="Arial" w:cs="Arial" w:eastAsia="Arial" w:hAnsi="Arial"/>
          <w:sz w:val="17"/>
          <w:szCs w:val="17"/>
          <w:u w:val="single" w:color="auto"/>
          <w:color w:val="auto"/>
        </w:rPr>
        <w:t>Section 1(a)</w:t>
      </w:r>
      <w:r>
        <w:rPr>
          <w:rFonts w:ascii="Arial" w:cs="Arial" w:eastAsia="Arial" w:hAnsi="Arial"/>
          <w:sz w:val="17"/>
          <w:szCs w:val="17"/>
          <w:color w:val="auto"/>
        </w:rPr>
        <w:t xml:space="preserve"> hereof after the close of “regular trading hours” on such Trading Day.</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 the Exercise Price then in effect for the applicable Warrant Shares at the time of such exercise.</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If Warrant Shares are issued in such a cashless exercise, the Company acknowledges and agrees that in accordance with Section 3(a)(9) of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xml:space="preserve">”), the Warrant Shares shall take on the registered characteristics of the Warrants being exercised, and the holding period of the Warrants being exercised (and any prior securities that were exchanged for the Warrants in accordance with Section 3(a)(9)) may be tacked on to the holding period of the Warrant Shares. The Company agrees not to take any position contrary to this </w:t>
      </w:r>
      <w:r>
        <w:rPr>
          <w:rFonts w:ascii="Arial" w:cs="Arial" w:eastAsia="Arial" w:hAnsi="Arial"/>
          <w:sz w:val="17"/>
          <w:szCs w:val="17"/>
          <w:u w:val="single" w:color="auto"/>
          <w:color w:val="auto"/>
        </w:rPr>
        <w:t>Section 1(d)</w:t>
      </w:r>
      <w:r>
        <w:rPr>
          <w:rFonts w:ascii="Arial" w:cs="Arial" w:eastAsia="Arial" w:hAnsi="Arial"/>
          <w:sz w:val="17"/>
          <w:szCs w:val="17"/>
          <w:color w:val="auto"/>
        </w:rPr>
        <w:t xml:space="preserve">. Without limiting the rights of a Holder to receive Warrant Shares on a “cashless exercise,” and to receive the cash payments contemplated pursuant to </w:t>
      </w:r>
      <w:r>
        <w:rPr>
          <w:rFonts w:ascii="Arial" w:cs="Arial" w:eastAsia="Arial" w:hAnsi="Arial"/>
          <w:sz w:val="17"/>
          <w:szCs w:val="17"/>
          <w:u w:val="single" w:color="auto"/>
          <w:color w:val="auto"/>
        </w:rPr>
        <w:t>Sections 1(c)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4(b)</w:t>
      </w:r>
      <w:r>
        <w:rPr>
          <w:rFonts w:ascii="Arial" w:cs="Arial" w:eastAsia="Arial" w:hAnsi="Arial"/>
          <w:sz w:val="17"/>
          <w:szCs w:val="17"/>
          <w:color w:val="auto"/>
        </w:rPr>
        <w:t>, in no event will the Company be required to net cash settle a Warrant exercise. Any Cashless Exercise of this Warrant shall have the effect of lowering the outstanding number of Warrant Shares purchasable hereunder by an amount equal to the number of Warrant Shares that would be issuable upon exercise of this Warrant in accordance with the terms of this Warrant if such exercise were by means of a cash exercise rather than a Cashless Exercise and not the number of Warrant Shares actually received by the Holder.</w:t>
      </w:r>
    </w:p>
    <w:p>
      <w:pPr>
        <w:spacing w:after="0" w:line="181" w:lineRule="exact"/>
        <w:rPr>
          <w:sz w:val="20"/>
          <w:szCs w:val="20"/>
          <w:color w:val="auto"/>
        </w:rPr>
      </w:pPr>
    </w:p>
    <w:p>
      <w:pPr>
        <w:jc w:val="both"/>
        <w:ind w:firstLine="1952"/>
        <w:spacing w:after="0" w:line="263" w:lineRule="auto"/>
        <w:tabs>
          <w:tab w:leader="none" w:pos="2188"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Disputes</w:t>
      </w:r>
      <w:r>
        <w:rPr>
          <w:rFonts w:ascii="Arial" w:cs="Arial" w:eastAsia="Arial" w:hAnsi="Arial"/>
          <w:sz w:val="18"/>
          <w:szCs w:val="18"/>
          <w:color w:val="auto"/>
        </w:rPr>
        <w:t xml:space="preserve">. In the case of a dispute as to the determination of the Exercise Price or the arithmetic calculation of the Warrant Shares, the Company shall promptly issue to the Holder the number of Warrant Shares that are not disputed and resolve such dispute in accordance with </w:t>
      </w:r>
      <w:r>
        <w:rPr>
          <w:rFonts w:ascii="Arial" w:cs="Arial" w:eastAsia="Arial" w:hAnsi="Arial"/>
          <w:sz w:val="18"/>
          <w:szCs w:val="18"/>
          <w:u w:val="single" w:color="auto"/>
          <w:color w:val="auto"/>
        </w:rPr>
        <w:t>Section 11</w:t>
      </w:r>
      <w:r>
        <w:rPr>
          <w:rFonts w:ascii="Arial" w:cs="Arial" w:eastAsia="Arial" w:hAnsi="Arial"/>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jc w:val="both"/>
        <w:ind w:firstLine="1952"/>
        <w:spacing w:after="0" w:line="282" w:lineRule="auto"/>
        <w:tabs>
          <w:tab w:leader="none" w:pos="2182"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Beneficial Ownership Limitation</w:t>
      </w:r>
      <w:r>
        <w:rPr>
          <w:rFonts w:ascii="Arial" w:cs="Arial" w:eastAsia="Arial" w:hAnsi="Arial"/>
          <w:sz w:val="16"/>
          <w:szCs w:val="16"/>
          <w:color w:val="auto"/>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the aggregate in excess of 4.99% (the “</w:t>
      </w:r>
      <w:r>
        <w:rPr>
          <w:rFonts w:ascii="Arial" w:cs="Arial" w:eastAsia="Arial" w:hAnsi="Arial"/>
          <w:sz w:val="16"/>
          <w:szCs w:val="16"/>
          <w:b w:val="1"/>
          <w:bCs w:val="1"/>
          <w:color w:val="auto"/>
        </w:rPr>
        <w:t>Maximum</w:t>
      </w:r>
      <w:r>
        <w:rPr>
          <w:rFonts w:ascii="Arial" w:cs="Arial" w:eastAsia="Arial" w:hAnsi="Arial"/>
          <w:sz w:val="16"/>
          <w:szCs w:val="16"/>
          <w:color w:val="auto"/>
        </w:rPr>
        <w:t xml:space="preserve"> </w:t>
      </w:r>
      <w:r>
        <w:rPr>
          <w:rFonts w:ascii="Arial" w:cs="Arial" w:eastAsia="Arial" w:hAnsi="Arial"/>
          <w:sz w:val="16"/>
          <w:szCs w:val="16"/>
          <w:b w:val="1"/>
          <w:bCs w:val="1"/>
          <w:color w:val="auto"/>
        </w:rPr>
        <w:t>Percentage</w:t>
      </w:r>
      <w:r>
        <w:rPr>
          <w:rFonts w:ascii="Arial" w:cs="Arial" w:eastAsia="Arial" w:hAnsi="Arial"/>
          <w:sz w:val="16"/>
          <w:szCs w:val="16"/>
          <w:color w:val="auto"/>
        </w:rPr>
        <w:t>”) of the number of shares of Common Stock outstanding immediately after giving effect to such exercise. For purposes of the foregoing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including any other Warrants) beneficially owned by the Holder or any other Attribution Party subject to a limitation on conversion or exercise analogous to the limitation contained in this </w:t>
      </w:r>
      <w:r>
        <w:rPr>
          <w:rFonts w:ascii="Arial" w:cs="Arial" w:eastAsia="Arial" w:hAnsi="Arial"/>
          <w:sz w:val="16"/>
          <w:szCs w:val="16"/>
          <w:u w:val="single" w:color="auto"/>
          <w:color w:val="auto"/>
        </w:rPr>
        <w:t>Section 1(f)</w:t>
      </w:r>
      <w:r>
        <w:rPr>
          <w:rFonts w:ascii="Arial" w:cs="Arial" w:eastAsia="Arial" w:hAnsi="Arial"/>
          <w:sz w:val="16"/>
          <w:szCs w:val="16"/>
          <w:color w:val="auto"/>
        </w:rPr>
        <w:t xml:space="preserve">. For purposes of this </w:t>
      </w:r>
      <w:r>
        <w:rPr>
          <w:rFonts w:ascii="Arial" w:cs="Arial" w:eastAsia="Arial" w:hAnsi="Arial"/>
          <w:sz w:val="16"/>
          <w:szCs w:val="16"/>
          <w:u w:val="single" w:color="auto"/>
          <w:color w:val="auto"/>
        </w:rPr>
        <w:t>Section 1(f)</w:t>
      </w:r>
      <w:r>
        <w:rPr>
          <w:rFonts w:ascii="Arial" w:cs="Arial" w:eastAsia="Arial" w:hAnsi="Arial"/>
          <w:sz w:val="16"/>
          <w:szCs w:val="16"/>
          <w:color w:val="auto"/>
        </w:rPr>
        <w:t>, beneficial ownership shall be calculated in accordance with Section 13(d) of the Securities Exchange Act of 1934, as amended (the “</w:t>
      </w:r>
      <w:r>
        <w:rPr>
          <w:rFonts w:ascii="Arial" w:cs="Arial" w:eastAsia="Arial" w:hAnsi="Arial"/>
          <w:sz w:val="16"/>
          <w:szCs w:val="16"/>
          <w:b w:val="1"/>
          <w:bCs w:val="1"/>
          <w:color w:val="auto"/>
        </w:rPr>
        <w:t>1934 Act</w:t>
      </w:r>
      <w:r>
        <w:rPr>
          <w:rFonts w:ascii="Arial" w:cs="Arial" w:eastAsia="Arial" w:hAnsi="Arial"/>
          <w:sz w:val="16"/>
          <w:szCs w:val="16"/>
          <w:color w:val="auto"/>
        </w:rPr>
        <w:t>”).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Current Reports on Form 8-K or other public filing with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as the case may be, (y) a more recent public announcement by the Company or (z) any other written notice by the Company or the Transfer Agent setting forth the number of shares of Common Stock outstanding (the “</w:t>
      </w:r>
      <w:r>
        <w:rPr>
          <w:rFonts w:ascii="Arial" w:cs="Arial" w:eastAsia="Arial" w:hAnsi="Arial"/>
          <w:sz w:val="16"/>
          <w:szCs w:val="16"/>
          <w:b w:val="1"/>
          <w:bCs w:val="1"/>
          <w:color w:val="auto"/>
        </w:rPr>
        <w:t>Reported Outstanding Share Number</w:t>
      </w:r>
      <w:r>
        <w:rPr>
          <w:rFonts w:ascii="Arial" w:cs="Arial" w:eastAsia="Arial" w:hAnsi="Arial"/>
          <w:sz w:val="16"/>
          <w:szCs w:val="16"/>
          <w:color w:val="auto"/>
        </w:rPr>
        <w:t xml:space="preserve">”).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w:t>
      </w:r>
      <w:r>
        <w:rPr>
          <w:rFonts w:ascii="Arial" w:cs="Arial" w:eastAsia="Arial" w:hAnsi="Arial"/>
          <w:sz w:val="16"/>
          <w:szCs w:val="16"/>
          <w:u w:val="single" w:color="auto"/>
          <w:color w:val="auto"/>
        </w:rPr>
        <w:t>Section 1(f)</w:t>
      </w:r>
      <w:r>
        <w:rPr>
          <w:rFonts w:ascii="Arial" w:cs="Arial" w:eastAsia="Arial" w:hAnsi="Arial"/>
          <w:sz w:val="16"/>
          <w:szCs w:val="16"/>
          <w:color w:val="auto"/>
        </w:rPr>
        <w:t>, to exceed the Maximum Percentage, the Holder must notify the Company of a reduced number of Warrant Shares to be purchased pursuant to such Exercise Notice (the number of shares by which such purchase is reduced, the “</w:t>
      </w:r>
      <w:r>
        <w:rPr>
          <w:rFonts w:ascii="Arial" w:cs="Arial" w:eastAsia="Arial" w:hAnsi="Arial"/>
          <w:sz w:val="16"/>
          <w:szCs w:val="16"/>
          <w:b w:val="1"/>
          <w:bCs w:val="1"/>
          <w:color w:val="auto"/>
        </w:rPr>
        <w:t>Reduction Shares</w:t>
      </w:r>
      <w:r>
        <w:rPr>
          <w:rFonts w:ascii="Arial" w:cs="Arial" w:eastAsia="Arial" w:hAnsi="Arial"/>
          <w:sz w:val="16"/>
          <w:szCs w:val="16"/>
          <w:color w:val="auto"/>
        </w:rPr>
        <w:t>”) and (ii) 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1934 Act), the number of shares so issued by which the Holder’s and the other Attribution Parties’ aggregate beneficial ownership exceeds the Maximum Percentage (the “</w:t>
      </w:r>
      <w:r>
        <w:rPr>
          <w:rFonts w:ascii="Arial" w:cs="Arial" w:eastAsia="Arial" w:hAnsi="Arial"/>
          <w:sz w:val="16"/>
          <w:szCs w:val="16"/>
          <w:b w:val="1"/>
          <w:bCs w:val="1"/>
          <w:color w:val="auto"/>
        </w:rPr>
        <w:t>Excess Shares</w:t>
      </w:r>
      <w:r>
        <w:rPr>
          <w:rFonts w:ascii="Arial" w:cs="Arial" w:eastAsia="Arial" w:hAnsi="Arial"/>
          <w:sz w:val="16"/>
          <w:szCs w:val="16"/>
          <w:color w:val="auto"/>
        </w:rPr>
        <w:t>”)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or decrease the Maximum Percentage to any other percentage not in excess</w:t>
      </w:r>
    </w:p>
    <w:p>
      <w:pPr>
        <w:spacing w:after="0" w:line="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of 9.99% as specified in such notice; provided that (i) any such increase in the Maximum Percentage will not be effective until the sixty-first (61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day after such notice is delivered to the Company and (ii) any such increase or decrease will apply only to the Holder and the other Attribution Parties and not to any other holder of Warrants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1934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1(f) to the extent necessary to correct this paragraph or any portion of this paragraph which may be defective or inconsistent with the intended beneficial ownership limitation contained in this </w:t>
      </w:r>
      <w:r>
        <w:rPr>
          <w:rFonts w:ascii="Arial" w:cs="Arial" w:eastAsia="Arial" w:hAnsi="Arial"/>
          <w:sz w:val="16"/>
          <w:szCs w:val="16"/>
          <w:u w:val="single" w:color="auto"/>
          <w:color w:val="auto"/>
        </w:rPr>
        <w:t>Section 1(f)</w:t>
      </w:r>
      <w:r>
        <w:rPr>
          <w:rFonts w:ascii="Arial" w:cs="Arial" w:eastAsia="Arial" w:hAnsi="Arial"/>
          <w:sz w:val="16"/>
          <w:szCs w:val="16"/>
          <w:color w:val="auto"/>
        </w:rPr>
        <w:t xml:space="preserve"> or to make changes or supplements necessary or desirable to properly give effect to such limitation. The limitation contained in this paragraph may not be waived and shall apply to a successor holder of this Warrant. The Holder hereby acknowledges and agrees that the Company shall be entitled to rely on the representations and other information set forth in any Exercise Notice and shall not be required to independently verify whether any exercise of this Warrant would cause the Holder (together with the other Attribution Parties) to collectively beneficially own in excess of the Maximum Percentage of the number of shares of Common Stock outstanding after giving effect to such exercise or otherwise trigger the provisions of this </w:t>
      </w:r>
      <w:r>
        <w:rPr>
          <w:rFonts w:ascii="Arial" w:cs="Arial" w:eastAsia="Arial" w:hAnsi="Arial"/>
          <w:sz w:val="16"/>
          <w:szCs w:val="16"/>
          <w:u w:val="single" w:color="auto"/>
          <w:color w:val="auto"/>
        </w:rPr>
        <w:t>Section 1(f)</w:t>
      </w:r>
      <w:r>
        <w:rPr>
          <w:rFonts w:ascii="Arial" w:cs="Arial" w:eastAsia="Arial" w:hAnsi="Arial"/>
          <w:sz w:val="16"/>
          <w:szCs w:val="16"/>
          <w:color w:val="auto"/>
        </w:rPr>
        <w: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jc w:val="both"/>
        <w:ind w:firstLine="1952"/>
        <w:spacing w:after="0" w:line="268" w:lineRule="auto"/>
        <w:tabs>
          <w:tab w:leader="none" w:pos="2212"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Required Reserve Amount</w:t>
      </w:r>
      <w:r>
        <w:rPr>
          <w:rFonts w:ascii="Arial" w:cs="Arial" w:eastAsia="Arial" w:hAnsi="Arial"/>
          <w:sz w:val="17"/>
          <w:szCs w:val="17"/>
          <w:color w:val="auto"/>
        </w:rPr>
        <w:t>. So long as this Warrant remains outstanding, the Company shall at all times keep reserved for issuance under this Warrant a number of shares of Common Stock at least equal to 100% of the maximum number of shares of Common Stock as shall be necessary to satisfy the Company’s obligation to issue shares of Common Stock under the Warrants then outstanding (without regard to any limitations on exercise) (the “</w:t>
      </w:r>
      <w:r>
        <w:rPr>
          <w:rFonts w:ascii="Arial" w:cs="Arial" w:eastAsia="Arial" w:hAnsi="Arial"/>
          <w:sz w:val="17"/>
          <w:szCs w:val="17"/>
          <w:b w:val="1"/>
          <w:bCs w:val="1"/>
          <w:color w:val="auto"/>
        </w:rPr>
        <w:t>Required Reserve Amount</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no time shall the number of shares of Common Stock reserved pursuant to this </w:t>
      </w:r>
      <w:r>
        <w:rPr>
          <w:rFonts w:ascii="Arial" w:cs="Arial" w:eastAsia="Arial" w:hAnsi="Arial"/>
          <w:sz w:val="17"/>
          <w:szCs w:val="17"/>
          <w:u w:val="single" w:color="auto"/>
          <w:color w:val="auto"/>
        </w:rPr>
        <w:t>Section 1(g)</w:t>
      </w:r>
      <w:r>
        <w:rPr>
          <w:rFonts w:ascii="Arial" w:cs="Arial" w:eastAsia="Arial" w:hAnsi="Arial"/>
          <w:sz w:val="17"/>
          <w:szCs w:val="17"/>
          <w:color w:val="auto"/>
        </w:rPr>
        <w:t xml:space="preserve"> be reduced other than in connection with any exercise of Warrants or such other event covered by </w:t>
      </w:r>
      <w:r>
        <w:rPr>
          <w:rFonts w:ascii="Arial" w:cs="Arial" w:eastAsia="Arial" w:hAnsi="Arial"/>
          <w:sz w:val="17"/>
          <w:szCs w:val="17"/>
          <w:u w:val="single" w:color="auto"/>
          <w:color w:val="auto"/>
        </w:rPr>
        <w:t>Section 2(b)</w:t>
      </w:r>
      <w:r>
        <w:rPr>
          <w:rFonts w:ascii="Arial" w:cs="Arial" w:eastAsia="Arial" w:hAnsi="Arial"/>
          <w:sz w:val="17"/>
          <w:szCs w:val="17"/>
          <w:color w:val="auto"/>
        </w:rPr>
        <w:t>. The Required Reserve Amount (including, without limitation, each increase in the number of shares so reserved) shall be allocated pro rata among the holders of the Warrants based on the number of shares of Common Stock issuable upon exercise of Warrants held by each holder thereof on the Issuance Date (without regard to any limitations on exercise) (the “</w:t>
      </w:r>
      <w:r>
        <w:rPr>
          <w:rFonts w:ascii="Arial" w:cs="Arial" w:eastAsia="Arial" w:hAnsi="Arial"/>
          <w:sz w:val="17"/>
          <w:szCs w:val="17"/>
          <w:b w:val="1"/>
          <w:bCs w:val="1"/>
          <w:color w:val="auto"/>
        </w:rPr>
        <w:t>Authorized Share Allocation</w:t>
      </w:r>
      <w:r>
        <w:rPr>
          <w:rFonts w:ascii="Arial" w:cs="Arial" w:eastAsia="Arial" w:hAnsi="Arial"/>
          <w:sz w:val="17"/>
          <w:szCs w:val="17"/>
          <w:color w:val="auto"/>
        </w:rPr>
        <w:t>”). In the event that a Holder shall sell or otherwise transfer any of such holder’s Warrants, each transferee shall be allocated a pro rata portion of such Holder’s Authorized Share Allocation. Any shares of Common Stock reserved and allocated to any Person which ceases to hold any Warrants shall be allocated to the remaining holders of Warrants, pro rata based on the number of shares of Common Stock issuable upon exercise of the Warrants then held by such holders thereof (without regard to any limitations on exercise). Each share of Common Stock delivered upon exercise of this Warrant will be a newly issued or treasury share and will be duly and validly issued, fully paid, non-assessable, free from preemptive rights and free of any lien or adverse claim (except to the extent of any lien or adverse claim created by the action or inaction of the Holder or the Person to whom such share will be delivered). If the Common Stock is then listed on any securities exchange, or quoted on any inter-dealer quotation system, then the Company will cause each share of Common Stock issued upon exercise of this Warrant, when delivered upon such exercise, to be admitted for listing on such exchange or quotation on such system.</w:t>
      </w:r>
    </w:p>
    <w:p>
      <w:pPr>
        <w:spacing w:after="0" w:line="179" w:lineRule="exact"/>
        <w:rPr>
          <w:rFonts w:ascii="Arial" w:cs="Arial" w:eastAsia="Arial" w:hAnsi="Arial"/>
          <w:sz w:val="17"/>
          <w:szCs w:val="17"/>
          <w:color w:val="auto"/>
        </w:rPr>
      </w:pPr>
    </w:p>
    <w:p>
      <w:pPr>
        <w:jc w:val="both"/>
        <w:ind w:firstLine="1952"/>
        <w:spacing w:after="0" w:line="284" w:lineRule="auto"/>
        <w:tabs>
          <w:tab w:leader="none" w:pos="2199"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Insufficient Authorized Shares</w:t>
      </w:r>
      <w:r>
        <w:rPr>
          <w:rFonts w:ascii="Arial" w:cs="Arial" w:eastAsia="Arial" w:hAnsi="Arial"/>
          <w:sz w:val="16"/>
          <w:szCs w:val="16"/>
          <w:color w:val="auto"/>
        </w:rPr>
        <w:t>. If at any time while this Warrant remains outstanding the Company does not have a sufficient number of authorized and unreserved shares of Common Stock to satisfy its obligation to reserve for issuance the Required Reserve Amount (an “</w:t>
      </w:r>
      <w:r>
        <w:rPr>
          <w:rFonts w:ascii="Arial" w:cs="Arial" w:eastAsia="Arial" w:hAnsi="Arial"/>
          <w:sz w:val="16"/>
          <w:szCs w:val="16"/>
          <w:b w:val="1"/>
          <w:bCs w:val="1"/>
          <w:color w:val="auto"/>
        </w:rPr>
        <w:t>Authorized Share Failure</w:t>
      </w:r>
      <w:r>
        <w:rPr>
          <w:rFonts w:ascii="Arial" w:cs="Arial" w:eastAsia="Arial" w:hAnsi="Arial"/>
          <w:sz w:val="16"/>
          <w:szCs w:val="16"/>
          <w:color w:val="auto"/>
        </w:rPr>
        <w:t>”), then the Company shall promptly take all action reasonably necessary to increase the Company’s authorized shares of Common Stock to an amount sufficient to allow the Company to reserve the Required Reserve Amount for this Warrant then outstanding. Without limiting the generality of the foregoing sentence, as soon as practicable after the date of the occurrence of an Authorized Share Failure, but in no event later than ninety (90)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the Company’s management shall recommend to the Company’s Board of Directors that it recommend to the stockholders that they approve such proposal. Notwithstanding the foregoing, if at any such time of an Authorized Share Failure, the Company is able to obtain the written consent of a majority of the shares of its issued and outstanding shares of Common Stock to approve the increase in the number of authorized shares of Common Stock, the Company may satisfy this obligation by obtaining such consent and submitting for filing with the SEC an Information Statement on Schedule 14C. In addition to the foregoing, in the event of any Authorized Share Failure that results in the failure of the Company to deliver any shares of Common Stock that would have otherwise been deliverable pursuant to an Exercise Notice (such shares the “</w:t>
      </w:r>
      <w:r>
        <w:rPr>
          <w:rFonts w:ascii="Arial" w:cs="Arial" w:eastAsia="Arial" w:hAnsi="Arial"/>
          <w:sz w:val="16"/>
          <w:szCs w:val="16"/>
          <w:b w:val="1"/>
          <w:bCs w:val="1"/>
          <w:color w:val="auto"/>
        </w:rPr>
        <w:t>Authorized Shares Failure Shares</w:t>
      </w:r>
      <w:r>
        <w:rPr>
          <w:rFonts w:ascii="Arial" w:cs="Arial" w:eastAsia="Arial" w:hAnsi="Arial"/>
          <w:sz w:val="16"/>
          <w:szCs w:val="16"/>
          <w:color w:val="auto"/>
        </w:rPr>
        <w:t>”), (1) the Company will promptly pay to the Holder, as liquidated damages and not as a penalty, cash in an amount equal (i) to the product of (x) the number of such Authorized Shares Failure Shares; and (y) the Daily VWAP per share of Common Stock on the date the Holder delivered the applicable Exercise Notice hereunder (or, if such date is not a VWAP Trading Day, the immediately preceding VWAP Trading Day), minus (ii) if such exercise is not a cashless exercise the Aggregate Exercise Price applicable to such Authorized Shares Failure Shares, to the extent not previously paid; and (2) to the extent the Holder purchases (in an open market transaction or otherwise) shares of Common Stock to deliver in settlement of a sale by the Holder of such Authorized Shares Failure Shares, the Company will reimburse the Holder for (x) any brokerage commissions and other out-of-pocket expenses, if any, of the Holder incurred in connection with such purchases and (y) the excess, if any, of (A) the aggregate purchase price of such purchases over (B) an amount equal to (i) the product of (I) the number of such Authorized Shares Failure Shares purchased by the Holder; and (II) the Daily VWAP per share of Common Stock on the date the Holder delivered the applicable Exercise Notice hereunder (or, if such date is not a VWAP Trading Day, the immediately preceding VWAP Trading Day), minus (ii) if such exercise is not a cashless exercise the Aggregate Exercise Price applicable to such Authorized Shares Failure Shares, to the extent not previously paid.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ind w:firstLine="1304"/>
        <w:spacing w:after="0" w:line="277" w:lineRule="auto"/>
        <w:tabs>
          <w:tab w:leader="none" w:pos="1476"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ADJUSTMENT OF EXERCISE PRICE AND NUMBER OF WARRANT SHARES</w:t>
      </w:r>
      <w:r>
        <w:rPr>
          <w:rFonts w:ascii="Arial" w:cs="Arial" w:eastAsia="Arial" w:hAnsi="Arial"/>
          <w:sz w:val="18"/>
          <w:szCs w:val="18"/>
          <w:color w:val="auto"/>
        </w:rPr>
        <w:t>. The Exercise Price and the number of Warrant Shares shall be adjusted from time to time as follows:</w:t>
      </w:r>
    </w:p>
    <w:p>
      <w:pPr>
        <w:spacing w:after="0" w:line="170" w:lineRule="exact"/>
        <w:rPr>
          <w:rFonts w:ascii="Arial" w:cs="Arial" w:eastAsia="Arial" w:hAnsi="Arial"/>
          <w:sz w:val="18"/>
          <w:szCs w:val="18"/>
          <w:color w:val="auto"/>
        </w:rPr>
      </w:pPr>
    </w:p>
    <w:p>
      <w:pPr>
        <w:ind w:firstLine="1952"/>
        <w:spacing w:after="0" w:line="277" w:lineRule="auto"/>
        <w:tabs>
          <w:tab w:leader="none" w:pos="2188" w:val="left"/>
        </w:tabs>
        <w:numPr>
          <w:ilvl w:val="1"/>
          <w:numId w:val="10"/>
        </w:numPr>
        <w:rPr>
          <w:rFonts w:ascii="Arial" w:cs="Arial" w:eastAsia="Arial" w:hAnsi="Arial"/>
          <w:sz w:val="18"/>
          <w:szCs w:val="18"/>
          <w:color w:val="auto"/>
        </w:rPr>
      </w:pPr>
      <w:r>
        <w:rPr>
          <w:rFonts w:ascii="Arial" w:cs="Arial" w:eastAsia="Arial" w:hAnsi="Arial"/>
          <w:sz w:val="18"/>
          <w:szCs w:val="18"/>
          <w:u w:val="single" w:color="auto"/>
          <w:color w:val="auto"/>
        </w:rPr>
        <w:t>Voluntary Adjustment by Company</w:t>
      </w:r>
      <w:r>
        <w:rPr>
          <w:rFonts w:ascii="Arial" w:cs="Arial" w:eastAsia="Arial" w:hAnsi="Arial"/>
          <w:sz w:val="18"/>
          <w:szCs w:val="18"/>
          <w:color w:val="auto"/>
        </w:rPr>
        <w:t>. The Company may at any time during the term of this Warrant reduce the then-current Exercise Price to any amount and for any period of time deemed appropriate by the Board of Directors of the Company.</w:t>
      </w:r>
    </w:p>
    <w:p>
      <w:pPr>
        <w:spacing w:after="0" w:line="170" w:lineRule="exact"/>
        <w:rPr>
          <w:rFonts w:ascii="Arial" w:cs="Arial" w:eastAsia="Arial" w:hAnsi="Arial"/>
          <w:sz w:val="18"/>
          <w:szCs w:val="18"/>
          <w:color w:val="auto"/>
        </w:rPr>
      </w:pPr>
    </w:p>
    <w:p>
      <w:pPr>
        <w:jc w:val="both"/>
        <w:ind w:firstLine="1952"/>
        <w:spacing w:after="0" w:line="254" w:lineRule="auto"/>
        <w:tabs>
          <w:tab w:leader="none" w:pos="2199" w:val="left"/>
        </w:tabs>
        <w:numPr>
          <w:ilvl w:val="1"/>
          <w:numId w:val="10"/>
        </w:numPr>
        <w:rPr>
          <w:rFonts w:ascii="Arial" w:cs="Arial" w:eastAsia="Arial" w:hAnsi="Arial"/>
          <w:sz w:val="18"/>
          <w:szCs w:val="18"/>
          <w:color w:val="auto"/>
        </w:rPr>
      </w:pPr>
      <w:r>
        <w:rPr>
          <w:rFonts w:ascii="Arial" w:cs="Arial" w:eastAsia="Arial" w:hAnsi="Arial"/>
          <w:sz w:val="18"/>
          <w:szCs w:val="18"/>
          <w:u w:val="single" w:color="auto"/>
          <w:color w:val="auto"/>
        </w:rPr>
        <w:t>Adjustment Upon Subdivision or Combination of Common Stock</w:t>
      </w:r>
      <w:r>
        <w:rPr>
          <w:rFonts w:ascii="Arial" w:cs="Arial" w:eastAsia="Arial" w:hAnsi="Arial"/>
          <w:sz w:val="18"/>
          <w:szCs w:val="18"/>
          <w:color w:val="auto"/>
        </w:rPr>
        <w:t xml:space="preserve">. If the Company at any time on or after the Subscription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If the Company at any time on or after the Subscription Date combines (by combination, reverse stock split or otherwise) one or more classes of its outstanding shares of Common Stock into a smaller number of shares, the number of Warrant Shares will be proportionately decreased. Any adjustment under this </w:t>
      </w:r>
      <w:r>
        <w:rPr>
          <w:rFonts w:ascii="Arial" w:cs="Arial" w:eastAsia="Arial" w:hAnsi="Arial"/>
          <w:sz w:val="18"/>
          <w:szCs w:val="18"/>
          <w:u w:val="single" w:color="auto"/>
          <w:color w:val="auto"/>
        </w:rPr>
        <w:t>Section 2(b)</w:t>
      </w:r>
      <w:r>
        <w:rPr>
          <w:rFonts w:ascii="Arial" w:cs="Arial" w:eastAsia="Arial" w:hAnsi="Arial"/>
          <w:sz w:val="18"/>
          <w:szCs w:val="18"/>
          <w:color w:val="auto"/>
        </w:rPr>
        <w:t xml:space="preserve"> shall become effective at the close of business on the date the subdivision or combination becomes effective.</w:t>
      </w:r>
    </w:p>
    <w:p>
      <w:pPr>
        <w:spacing w:after="0" w:line="194" w:lineRule="exact"/>
        <w:rPr>
          <w:rFonts w:ascii="Arial" w:cs="Arial" w:eastAsia="Arial" w:hAnsi="Arial"/>
          <w:sz w:val="18"/>
          <w:szCs w:val="18"/>
          <w:color w:val="auto"/>
        </w:rPr>
      </w:pPr>
    </w:p>
    <w:p>
      <w:pPr>
        <w:jc w:val="both"/>
        <w:ind w:firstLine="1952"/>
        <w:spacing w:after="0" w:line="283" w:lineRule="auto"/>
        <w:tabs>
          <w:tab w:leader="none" w:pos="2188" w:val="left"/>
        </w:tabs>
        <w:numPr>
          <w:ilvl w:val="1"/>
          <w:numId w:val="10"/>
        </w:numPr>
        <w:rPr>
          <w:rFonts w:ascii="Arial" w:cs="Arial" w:eastAsia="Arial" w:hAnsi="Arial"/>
          <w:sz w:val="16"/>
          <w:szCs w:val="16"/>
          <w:color w:val="auto"/>
        </w:rPr>
      </w:pPr>
      <w:r>
        <w:rPr>
          <w:rFonts w:ascii="Arial" w:cs="Arial" w:eastAsia="Arial" w:hAnsi="Arial"/>
          <w:sz w:val="16"/>
          <w:szCs w:val="16"/>
          <w:u w:val="single" w:color="auto"/>
          <w:color w:val="auto"/>
        </w:rPr>
        <w:t>Adjustment to Number of Warrant Shares Issuable</w:t>
      </w:r>
      <w:r>
        <w:rPr>
          <w:rFonts w:ascii="Arial" w:cs="Arial" w:eastAsia="Arial" w:hAnsi="Arial"/>
          <w:sz w:val="16"/>
          <w:szCs w:val="16"/>
          <w:color w:val="auto"/>
        </w:rPr>
        <w:t>. Upon the consummation of any Subsequent Equity Event to occur at any time on or prior to the later to occur of (i) the twenty-four (24) month anniversary of the Subscription Date and (ii) the date upon which no notes originally issued by the Company to the Holder or any of its Affiliates remain outstanding, the number of Warrant Shares shall be adjusted to be equal to, rounded up to the next whole number, the quotient of (A) the product of (x) three million (3,000,000) and (y) the percentage of the Warrant Shares initially issuable under this Warrant for which Warrant Shares have not been issued at the time such Subsequent Equity Event was consummated (the “</w:t>
      </w:r>
      <w:r>
        <w:rPr>
          <w:rFonts w:ascii="Arial" w:cs="Arial" w:eastAsia="Arial" w:hAnsi="Arial"/>
          <w:sz w:val="16"/>
          <w:szCs w:val="16"/>
          <w:b w:val="1"/>
          <w:bCs w:val="1"/>
          <w:color w:val="auto"/>
        </w:rPr>
        <w:t>Adjustment</w:t>
      </w:r>
      <w:r>
        <w:rPr>
          <w:rFonts w:ascii="Arial" w:cs="Arial" w:eastAsia="Arial" w:hAnsi="Arial"/>
          <w:sz w:val="16"/>
          <w:szCs w:val="16"/>
          <w:color w:val="auto"/>
        </w:rPr>
        <w:t xml:space="preserve"> </w:t>
      </w:r>
      <w:r>
        <w:rPr>
          <w:rFonts w:ascii="Arial" w:cs="Arial" w:eastAsia="Arial" w:hAnsi="Arial"/>
          <w:sz w:val="16"/>
          <w:szCs w:val="16"/>
          <w:b w:val="1"/>
          <w:bCs w:val="1"/>
          <w:color w:val="auto"/>
        </w:rPr>
        <w:t>Amount</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divided by</w:t>
      </w:r>
      <w:r>
        <w:rPr>
          <w:rFonts w:ascii="Arial" w:cs="Arial" w:eastAsia="Arial" w:hAnsi="Arial"/>
          <w:sz w:val="16"/>
          <w:szCs w:val="16"/>
          <w:b w:val="1"/>
          <w:bCs w:val="1"/>
          <w:color w:val="auto"/>
        </w:rPr>
        <w:t xml:space="preserve"> </w:t>
      </w:r>
      <w:r>
        <w:rPr>
          <w:rFonts w:ascii="Arial" w:cs="Arial" w:eastAsia="Arial" w:hAnsi="Arial"/>
          <w:sz w:val="16"/>
          <w:szCs w:val="16"/>
          <w:color w:val="auto"/>
        </w:rPr>
        <w:t>(B) the price per share of Common Stock paid or payable by the acquirers in such transaction (or, if securities convertible into</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are issued in such Subsequent Equity Event, the lowest price per underlying share of Common Stock payable by the acquirers in such transaction in connection with the acquisition of an underlying share of Common Stock) (the “</w:t>
      </w:r>
      <w:r>
        <w:rPr>
          <w:rFonts w:ascii="Arial" w:cs="Arial" w:eastAsia="Arial" w:hAnsi="Arial"/>
          <w:sz w:val="16"/>
          <w:szCs w:val="16"/>
          <w:b w:val="1"/>
          <w:bCs w:val="1"/>
          <w:color w:val="auto"/>
        </w:rPr>
        <w:t>Adjustment Price</w:t>
      </w:r>
      <w:r>
        <w:rPr>
          <w:rFonts w:ascii="Arial" w:cs="Arial" w:eastAsia="Arial" w:hAnsi="Arial"/>
          <w:sz w:val="16"/>
          <w:szCs w:val="16"/>
          <w:color w:val="auto"/>
        </w:rPr>
        <w:t>”). In the event that after the date hereof the Company has not issued equity securities in exchange for gross proceeds to the Company of at least $3,000,000 (minus any funds advanced to the Company since July 1, 2023 by the Company’s Chief Executive Officer (as of the date hereof) and/or his Affiliates under one or more promissory notes; provided that such promissory notes are converted into shares of the Company’s Common Stock at a conversion price of no less than $1.46 per share by no</w:t>
      </w:r>
    </w:p>
    <w:p>
      <w:pPr>
        <w:spacing w:after="0" w:line="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later than the third (3</w:t>
      </w:r>
      <w:r>
        <w:rPr>
          <w:rFonts w:ascii="Arial" w:cs="Arial" w:eastAsia="Arial" w:hAnsi="Arial"/>
          <w:sz w:val="28"/>
          <w:szCs w:val="28"/>
          <w:color w:val="auto"/>
          <w:vertAlign w:val="superscript"/>
        </w:rPr>
        <w:t>rd</w:t>
      </w:r>
      <w:r>
        <w:rPr>
          <w:rFonts w:ascii="Arial" w:cs="Arial" w:eastAsia="Arial" w:hAnsi="Arial"/>
          <w:sz w:val="17"/>
          <w:szCs w:val="17"/>
          <w:color w:val="auto"/>
        </w:rPr>
        <w:t>) calendar day after the Stockholder Meeting, then, on December 26, 2023 the number of Warrant Shares shall be adjusted to be equal to, rounded up to the next whole number, (i) the quotient of (A) the Adjustment Amount divided by (B) the Nasdaq Minimum Price (as defined in Nasdaq Rule 5635(d)) as of December 26, 2023. If any Option and/or Convertible Security and/or Adjustment Right is issued in a Subsequent Equity Event in connection with the issuance or sale or deemed issuance or sale of any other securities of the Company (as determined by the Holder, the “</w:t>
      </w:r>
      <w:r>
        <w:rPr>
          <w:rFonts w:ascii="Arial" w:cs="Arial" w:eastAsia="Arial" w:hAnsi="Arial"/>
          <w:sz w:val="17"/>
          <w:szCs w:val="17"/>
          <w:b w:val="1"/>
          <w:bCs w:val="1"/>
          <w:color w:val="auto"/>
        </w:rPr>
        <w:t>Primary</w:t>
      </w:r>
      <w:r>
        <w:rPr>
          <w:rFonts w:ascii="Arial" w:cs="Arial" w:eastAsia="Arial" w:hAnsi="Arial"/>
          <w:sz w:val="17"/>
          <w:szCs w:val="17"/>
          <w:color w:val="auto"/>
        </w:rPr>
        <w:t xml:space="preserve"> </w:t>
      </w:r>
      <w:r>
        <w:rPr>
          <w:rFonts w:ascii="Arial" w:cs="Arial" w:eastAsia="Arial" w:hAnsi="Arial"/>
          <w:sz w:val="17"/>
          <w:szCs w:val="17"/>
          <w:b w:val="1"/>
          <w:bCs w:val="1"/>
          <w:color w:val="auto"/>
        </w:rPr>
        <w:t>Security</w:t>
      </w:r>
      <w:r>
        <w:rPr>
          <w:rFonts w:ascii="Arial" w:cs="Arial" w:eastAsia="Arial" w:hAnsi="Arial"/>
          <w:sz w:val="17"/>
          <w:szCs w:val="17"/>
          <w:color w:val="auto"/>
        </w:rPr>
        <w:t>”, and such Option and/or Convertible Security and/or Adjustment Right, the “</w:t>
      </w:r>
      <w:r>
        <w:rPr>
          <w:rFonts w:ascii="Arial" w:cs="Arial" w:eastAsia="Arial" w:hAnsi="Arial"/>
          <w:sz w:val="17"/>
          <w:szCs w:val="17"/>
          <w:b w:val="1"/>
          <w:bCs w:val="1"/>
          <w:color w:val="auto"/>
        </w:rPr>
        <w:t>Secondary Securities</w:t>
      </w:r>
      <w:r>
        <w:rPr>
          <w:rFonts w:ascii="Arial" w:cs="Arial" w:eastAsia="Arial" w:hAnsi="Arial"/>
          <w:sz w:val="17"/>
          <w:szCs w:val="17"/>
          <w:color w:val="auto"/>
        </w:rPr>
        <w:t>”), then in addition to any adjustment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pursuant to this Section 2(c), the Holder shall also be granted, for no additional consideration, an amount of such Secondary Securities equal to (x) the number of Warrant Shares issuable pursuant to this Warrant (after giving effect to any adjustment pursuant to this </w:t>
      </w:r>
      <w:r>
        <w:rPr>
          <w:rFonts w:ascii="Arial" w:cs="Arial" w:eastAsia="Arial" w:hAnsi="Arial"/>
          <w:sz w:val="17"/>
          <w:szCs w:val="17"/>
          <w:u w:val="single" w:color="auto"/>
          <w:color w:val="auto"/>
        </w:rPr>
        <w:t>Section 2(c)</w:t>
      </w:r>
      <w:r>
        <w:rPr>
          <w:rFonts w:ascii="Arial" w:cs="Arial" w:eastAsia="Arial" w:hAnsi="Arial"/>
          <w:sz w:val="17"/>
          <w:szCs w:val="17"/>
          <w:color w:val="auto"/>
        </w:rPr>
        <w:t xml:space="preserve">, including proportional reduction to reflect the prior issuance of any Warrant Shares), multiplied by (y) the number of such Secondary Securities issued in connection with each issuance of one Primary Security in such Subsequent Equity Event. Any Secondary Securities issued to the Holder pursuant to the immediately preceding sentence shall contain beneficial ownership limitations with respect to the Holder and the other Attribution Parties substantially similar in all material respects to that which is contained in Section 1(f) hereof. Any adjustment under this </w:t>
      </w:r>
      <w:r>
        <w:rPr>
          <w:rFonts w:ascii="Arial" w:cs="Arial" w:eastAsia="Arial" w:hAnsi="Arial"/>
          <w:sz w:val="17"/>
          <w:szCs w:val="17"/>
          <w:u w:val="single" w:color="auto"/>
          <w:color w:val="auto"/>
        </w:rPr>
        <w:t>Section 2(c)</w:t>
      </w:r>
      <w:r>
        <w:rPr>
          <w:rFonts w:ascii="Arial" w:cs="Arial" w:eastAsia="Arial" w:hAnsi="Arial"/>
          <w:sz w:val="17"/>
          <w:szCs w:val="17"/>
          <w:color w:val="auto"/>
        </w:rPr>
        <w:t xml:space="preserve"> as a result of a Subsequent Equity Event shall become effective at the close of business on the date the Subsequent Equity Event, as applicable, is consummated. Notwithstanding the foregoing, under no circumstances shall the number of Warrant Shares be reduced as a result of the adjustments pursuant to this </w:t>
      </w:r>
      <w:r>
        <w:rPr>
          <w:rFonts w:ascii="Arial" w:cs="Arial" w:eastAsia="Arial" w:hAnsi="Arial"/>
          <w:sz w:val="17"/>
          <w:szCs w:val="17"/>
          <w:u w:val="single" w:color="auto"/>
          <w:color w:val="auto"/>
        </w:rPr>
        <w:t>Section 2(c)</w:t>
      </w:r>
      <w:r>
        <w:rPr>
          <w:rFonts w:ascii="Arial" w:cs="Arial" w:eastAsia="Arial" w:hAnsi="Arial"/>
          <w:sz w:val="17"/>
          <w:szCs w:val="17"/>
          <w:color w:val="auto"/>
        </w:rPr>
        <w:t xml:space="preserve"> and no adjustment or issuance pursuant to this </w:t>
      </w:r>
      <w:r>
        <w:rPr>
          <w:rFonts w:ascii="Arial" w:cs="Arial" w:eastAsia="Arial" w:hAnsi="Arial"/>
          <w:sz w:val="17"/>
          <w:szCs w:val="17"/>
          <w:u w:val="single" w:color="auto"/>
          <w:color w:val="auto"/>
        </w:rPr>
        <w:t>Section 2(c)</w:t>
      </w:r>
      <w:r>
        <w:rPr>
          <w:rFonts w:ascii="Arial" w:cs="Arial" w:eastAsia="Arial" w:hAnsi="Arial"/>
          <w:sz w:val="17"/>
          <w:szCs w:val="17"/>
          <w:color w:val="auto"/>
        </w:rPr>
        <w:t xml:space="preserve"> shall become effective unless and until the Requisite Stockholder Approval (as defined in the Letter Agreement) has been obtained.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jc w:val="both"/>
        <w:ind w:firstLine="1304"/>
        <w:spacing w:after="0" w:line="268" w:lineRule="auto"/>
        <w:tabs>
          <w:tab w:leader="none" w:pos="1476"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RIGHTS UPON DISTRIBUTION OF ASSETS</w:t>
      </w:r>
      <w:r>
        <w:rPr>
          <w:rFonts w:ascii="Arial" w:cs="Arial" w:eastAsia="Arial" w:hAnsi="Arial"/>
          <w:sz w:val="17"/>
          <w:szCs w:val="17"/>
          <w:color w:val="auto"/>
        </w:rPr>
        <w:t xml:space="preserve">. In addition to any adjustments pursuant to </w:t>
      </w:r>
      <w:r>
        <w:rPr>
          <w:rFonts w:ascii="Arial" w:cs="Arial" w:eastAsia="Arial" w:hAnsi="Arial"/>
          <w:sz w:val="17"/>
          <w:szCs w:val="17"/>
          <w:u w:val="single" w:color="auto"/>
          <w:color w:val="auto"/>
        </w:rPr>
        <w:t>Section 2</w:t>
      </w:r>
      <w:r>
        <w:rPr>
          <w:rFonts w:ascii="Arial" w:cs="Arial" w:eastAsia="Arial" w:hAnsi="Arial"/>
          <w:sz w:val="17"/>
          <w:szCs w:val="17"/>
          <w:color w:val="auto"/>
        </w:rPr>
        <w:t>, if, on or after the Subscription Date and on or prior to the Expiration Date,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spin-off, reclassification, corporate rearrangement, scheme of arrangement or other similar transaction) (a “</w:t>
      </w:r>
      <w:r>
        <w:rPr>
          <w:rFonts w:ascii="Arial" w:cs="Arial" w:eastAsia="Arial" w:hAnsi="Arial"/>
          <w:sz w:val="17"/>
          <w:szCs w:val="17"/>
          <w:b w:val="1"/>
          <w:bCs w:val="1"/>
          <w:color w:val="auto"/>
        </w:rPr>
        <w:t>Distribution</w:t>
      </w:r>
      <w:r>
        <w:rPr>
          <w:rFonts w:ascii="Arial" w:cs="Arial" w:eastAsia="Arial" w:hAnsi="Arial"/>
          <w:sz w:val="17"/>
          <w:szCs w:val="17"/>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shares of Common Stock as a result of such Distribution (and beneficial ownership) to such extent) and the portion of such Distribution shall be held in abeyance for the benefit of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79" w:lineRule="exact"/>
        <w:rPr>
          <w:rFonts w:ascii="Arial" w:cs="Arial" w:eastAsia="Arial" w:hAnsi="Arial"/>
          <w:sz w:val="17"/>
          <w:szCs w:val="17"/>
          <w:color w:val="auto"/>
        </w:rPr>
      </w:pPr>
    </w:p>
    <w:p>
      <w:pPr>
        <w:ind w:left="1480" w:hanging="176"/>
        <w:spacing w:after="0"/>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PURCHASE RIGHTS; FUNDAMENTAL TRANSACTIONS.</w:t>
      </w:r>
    </w:p>
    <w:p>
      <w:pPr>
        <w:spacing w:after="0" w:line="225" w:lineRule="exact"/>
        <w:rPr>
          <w:rFonts w:ascii="Arial" w:cs="Arial" w:eastAsia="Arial" w:hAnsi="Arial"/>
          <w:sz w:val="18"/>
          <w:szCs w:val="18"/>
          <w:color w:val="auto"/>
        </w:rPr>
      </w:pPr>
    </w:p>
    <w:p>
      <w:pPr>
        <w:jc w:val="both"/>
        <w:ind w:firstLine="1952"/>
        <w:spacing w:after="0" w:line="268" w:lineRule="auto"/>
        <w:tabs>
          <w:tab w:leader="none" w:pos="2188" w:val="left"/>
        </w:tabs>
        <w:numPr>
          <w:ilvl w:val="1"/>
          <w:numId w:val="11"/>
        </w:numPr>
        <w:rPr>
          <w:rFonts w:ascii="Arial" w:cs="Arial" w:eastAsia="Arial" w:hAnsi="Arial"/>
          <w:sz w:val="17"/>
          <w:szCs w:val="17"/>
          <w:color w:val="auto"/>
        </w:rPr>
      </w:pPr>
      <w:r>
        <w:rPr>
          <w:rFonts w:ascii="Arial" w:cs="Arial" w:eastAsia="Arial" w:hAnsi="Arial"/>
          <w:sz w:val="17"/>
          <w:szCs w:val="17"/>
          <w:u w:val="single" w:color="auto"/>
          <w:color w:val="auto"/>
        </w:rPr>
        <w:t>Purchase Rights</w:t>
      </w:r>
      <w:r>
        <w:rPr>
          <w:rFonts w:ascii="Arial" w:cs="Arial" w:eastAsia="Arial" w:hAnsi="Arial"/>
          <w:sz w:val="17"/>
          <w:szCs w:val="17"/>
          <w:color w:val="auto"/>
        </w:rPr>
        <w:t xml:space="preserve">. In addition to any adjustments pursuant to </w:t>
      </w:r>
      <w:r>
        <w:rPr>
          <w:rFonts w:ascii="Arial" w:cs="Arial" w:eastAsia="Arial" w:hAnsi="Arial"/>
          <w:sz w:val="17"/>
          <w:szCs w:val="17"/>
          <w:u w:val="single" w:color="auto"/>
          <w:color w:val="auto"/>
        </w:rPr>
        <w:t>Section 2</w:t>
      </w:r>
      <w:r>
        <w:rPr>
          <w:rFonts w:ascii="Arial" w:cs="Arial" w:eastAsia="Arial" w:hAnsi="Arial"/>
          <w:sz w:val="17"/>
          <w:szCs w:val="17"/>
          <w:color w:val="auto"/>
        </w:rPr>
        <w:t>, if at any time on or after the Subscription Date and on or prior to the Expiration Date the Company grants, issues or sells any Options, Convertible Securities or rights to purchase stock, warrants, securities or other property pro rata to the record holders of any class of Common Stock (the “</w:t>
      </w:r>
      <w:r>
        <w:rPr>
          <w:rFonts w:ascii="Arial" w:cs="Arial" w:eastAsia="Arial" w:hAnsi="Arial"/>
          <w:sz w:val="17"/>
          <w:szCs w:val="17"/>
          <w:b w:val="1"/>
          <w:bCs w:val="1"/>
          <w:color w:val="auto"/>
        </w:rPr>
        <w:t>Purchase Rights</w:t>
      </w:r>
      <w:r>
        <w:rPr>
          <w:rFonts w:ascii="Arial" w:cs="Arial" w:eastAsia="Arial" w:hAnsi="Arial"/>
          <w:sz w:val="17"/>
          <w:szCs w:val="17"/>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Common Stock are to be determined for the grant, issuance or sale of such Purchase Rights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Common Stock as a result of such Purchase Right (and beneficial ownership) to such extent) and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jc w:val="both"/>
        <w:ind w:firstLine="1952"/>
        <w:spacing w:after="0" w:line="283" w:lineRule="auto"/>
        <w:tabs>
          <w:tab w:leader="none" w:pos="2199"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Fundamental Transaction</w:t>
      </w:r>
      <w:r>
        <w:rPr>
          <w:rFonts w:ascii="Arial" w:cs="Arial" w:eastAsia="Arial" w:hAnsi="Arial"/>
          <w:sz w:val="16"/>
          <w:szCs w:val="16"/>
          <w:color w:val="auto"/>
        </w:rPr>
        <w:t xml:space="preserve">. The Company shall not enter into or be party to a Fundamental Transaction unless the Successor Entity assumes in writing all of the obligations of the Company under this Warrant in accordance with the provisions of this </w:t>
      </w:r>
      <w:r>
        <w:rPr>
          <w:rFonts w:ascii="Arial" w:cs="Arial" w:eastAsia="Arial" w:hAnsi="Arial"/>
          <w:sz w:val="16"/>
          <w:szCs w:val="16"/>
          <w:u w:val="single" w:color="auto"/>
          <w:color w:val="auto"/>
        </w:rPr>
        <w:t>Section 4(b)</w:t>
      </w:r>
      <w:r>
        <w:rPr>
          <w:rFonts w:ascii="Arial" w:cs="Arial" w:eastAsia="Arial" w:hAnsi="Arial"/>
          <w:sz w:val="16"/>
          <w:szCs w:val="16"/>
          <w:color w:val="auto"/>
        </w:rPr>
        <w:t xml:space="preserve">,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Upon the consummation of each Fundamental Transaction, the Successor Entity shall succeed to, and be substituted for the Company (so that from and after the date of the applicable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 of the shares of Common Stock (or other securities, cash, assets or other property (except such items still issuable under </w:t>
      </w:r>
      <w:r>
        <w:rPr>
          <w:rFonts w:ascii="Arial" w:cs="Arial" w:eastAsia="Arial" w:hAnsi="Arial"/>
          <w:sz w:val="16"/>
          <w:szCs w:val="16"/>
          <w:u w:val="single" w:color="auto"/>
          <w:color w:val="auto"/>
        </w:rPr>
        <w:t>Sections 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4(a)</w:t>
      </w:r>
      <w:r>
        <w:rPr>
          <w:rFonts w:ascii="Arial" w:cs="Arial" w:eastAsia="Arial" w:hAnsi="Arial"/>
          <w:sz w:val="16"/>
          <w:szCs w:val="16"/>
          <w:color w:val="auto"/>
        </w:rPr>
        <w:t xml:space="preserve">, which shall continue to be receivable thereafter)) issuable upon the exercise of this Warrant prior to the applicable Fundamental Transaction, such shares of common stock (or its equivalent) of the Successor Entity (including its Parent Entity) which the Holder would have been entitled to receive upon the happening of the applicable Fundamental Transaction had this Warrant been exercised immediately prior to the applicable Fundamental Transaction (without regard to any limitations on the exercise of this Warrant), as adjusted in accordance with the provisions of this Warrant. Notwithstanding the foregoing, and without limiting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1(f)</w:t>
      </w:r>
      <w:r>
        <w:rPr>
          <w:rFonts w:ascii="Arial" w:cs="Arial" w:eastAsia="Arial" w:hAnsi="Arial"/>
          <w:sz w:val="16"/>
          <w:szCs w:val="16"/>
          <w:color w:val="auto"/>
        </w:rPr>
        <w:t xml:space="preserve"> hereof, the Holder may elect, at its sole option, by delivery of written notice to the Company to waive this </w:t>
      </w:r>
      <w:r>
        <w:rPr>
          <w:rFonts w:ascii="Arial" w:cs="Arial" w:eastAsia="Arial" w:hAnsi="Arial"/>
          <w:sz w:val="16"/>
          <w:szCs w:val="16"/>
          <w:u w:val="single" w:color="auto"/>
          <w:color w:val="auto"/>
        </w:rPr>
        <w:t>Section 4(b)</w:t>
      </w:r>
      <w:r>
        <w:rPr>
          <w:rFonts w:ascii="Arial" w:cs="Arial" w:eastAsia="Arial" w:hAnsi="Arial"/>
          <w:sz w:val="16"/>
          <w:szCs w:val="16"/>
          <w:color w:val="auto"/>
        </w:rPr>
        <w:t xml:space="preserve"> to permit the Fundamental Transaction without the assumption of this Warrant. 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Arial" w:cs="Arial" w:eastAsia="Arial" w:hAnsi="Arial"/>
          <w:sz w:val="16"/>
          <w:szCs w:val="16"/>
          <w:b w:val="1"/>
          <w:bCs w:val="1"/>
          <w:color w:val="auto"/>
        </w:rPr>
        <w:t>Corporate Event</w:t>
      </w:r>
      <w:r>
        <w:rPr>
          <w:rFonts w:ascii="Arial" w:cs="Arial" w:eastAsia="Arial" w:hAnsi="Arial"/>
          <w:sz w:val="16"/>
          <w:szCs w:val="16"/>
          <w:color w:val="auto"/>
        </w:rPr>
        <w:t xml:space="preserve">”),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w:t>
      </w:r>
      <w:r>
        <w:rPr>
          <w:rFonts w:ascii="Arial" w:cs="Arial" w:eastAsia="Arial" w:hAnsi="Arial"/>
          <w:sz w:val="16"/>
          <w:szCs w:val="16"/>
          <w:u w:val="single" w:color="auto"/>
          <w:color w:val="auto"/>
        </w:rPr>
        <w:t>Sections 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4(a)</w:t>
      </w:r>
      <w:r>
        <w:rPr>
          <w:rFonts w:ascii="Arial" w:cs="Arial" w:eastAsia="Arial" w:hAnsi="Arial"/>
          <w:sz w:val="16"/>
          <w:szCs w:val="16"/>
          <w:color w:val="auto"/>
        </w:rPr>
        <w:t xml:space="preser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The provision made pursuant to the preceding sentence shall be in a form and substance reasonably satisfactory to the Holder. The provisions of this </w:t>
      </w:r>
      <w:r>
        <w:rPr>
          <w:rFonts w:ascii="Arial" w:cs="Arial" w:eastAsia="Arial" w:hAnsi="Arial"/>
          <w:sz w:val="16"/>
          <w:szCs w:val="16"/>
          <w:u w:val="single" w:color="auto"/>
          <w:color w:val="auto"/>
        </w:rPr>
        <w:t>Section 4(b)</w:t>
      </w:r>
      <w:r>
        <w:rPr>
          <w:rFonts w:ascii="Arial" w:cs="Arial" w:eastAsia="Arial" w:hAnsi="Arial"/>
          <w:sz w:val="16"/>
          <w:szCs w:val="16"/>
          <w:color w:val="auto"/>
        </w:rPr>
        <w:t xml:space="preserve"> shall apply similarly and equally to successive Fundamental Transactions and Corporate Events.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jc w:val="both"/>
        <w:ind w:firstLine="1304"/>
        <w:spacing w:after="0" w:line="269" w:lineRule="auto"/>
        <w:tabs>
          <w:tab w:leader="none" w:pos="1489"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NONCIRCUMVENTION</w:t>
      </w:r>
      <w:r>
        <w:rPr>
          <w:rFonts w:ascii="Arial" w:cs="Arial" w:eastAsia="Arial" w:hAnsi="Arial"/>
          <w:sz w:val="17"/>
          <w:szCs w:val="17"/>
          <w:color w:val="auto"/>
        </w:rPr>
        <w:t>. The Company hereby covenants and agrees that the Company will not, by amendment of its Articles of Incorporation or Bylaws,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exercise of this Warrant, and (iii) shall, so long as any of the Warrants are outstanding, take all action necessary to reserve and keep available out of its authorized and unissued shares of Common Stock, solely for the purpose of effecting the exercise of the Warrants, the number of shares of Common Stock as shall from time to time be necessary to effect the exercise of the Warrants then outstanding (without regard to any limitations on exercise).</w:t>
      </w:r>
    </w:p>
    <w:p>
      <w:pPr>
        <w:spacing w:after="0" w:line="185" w:lineRule="exact"/>
        <w:rPr>
          <w:rFonts w:ascii="Arial" w:cs="Arial" w:eastAsia="Arial" w:hAnsi="Arial"/>
          <w:sz w:val="17"/>
          <w:szCs w:val="17"/>
          <w:color w:val="auto"/>
        </w:rPr>
      </w:pPr>
    </w:p>
    <w:p>
      <w:pPr>
        <w:jc w:val="both"/>
        <w:ind w:firstLine="1304"/>
        <w:spacing w:after="0" w:line="288" w:lineRule="auto"/>
        <w:tabs>
          <w:tab w:leader="none" w:pos="1476"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WARRANT HOLDER NOT DEEMED A STOCKHOLDER</w:t>
      </w:r>
      <w:r>
        <w:rPr>
          <w:rFonts w:ascii="Arial" w:cs="Arial" w:eastAsia="Arial" w:hAnsi="Arial"/>
          <w:sz w:val="16"/>
          <w:szCs w:val="16"/>
          <w:color w:val="auto"/>
        </w:rPr>
        <w:t xml:space="preserve">. Except as otherwise specifically provided herein, the Holder, solely in such Person’s capacity as a holder of this Warrant, shall not be entitled to vote or receive dividends or be deemed the holder of capital stock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w:t>
      </w:r>
      <w:r>
        <w:rPr>
          <w:rFonts w:ascii="Arial" w:cs="Arial" w:eastAsia="Arial" w:hAnsi="Arial"/>
          <w:sz w:val="16"/>
          <w:szCs w:val="16"/>
          <w:u w:val="single" w:color="auto"/>
          <w:color w:val="auto"/>
        </w:rPr>
        <w:t>Section 6</w:t>
      </w:r>
      <w:r>
        <w:rPr>
          <w:rFonts w:ascii="Arial" w:cs="Arial" w:eastAsia="Arial" w:hAnsi="Arial"/>
          <w:sz w:val="16"/>
          <w:szCs w:val="16"/>
          <w:color w:val="auto"/>
        </w:rPr>
        <w:t>, the Company shall provide the Holder with copies of the same notices and other information given to the stockholders of the Company generally, contemporaneously with the giving thereof to the stockholders.</w:t>
      </w:r>
    </w:p>
    <w:p>
      <w:pPr>
        <w:spacing w:after="0" w:line="168" w:lineRule="exact"/>
        <w:rPr>
          <w:rFonts w:ascii="Arial" w:cs="Arial" w:eastAsia="Arial" w:hAnsi="Arial"/>
          <w:sz w:val="16"/>
          <w:szCs w:val="16"/>
          <w:color w:val="auto"/>
        </w:rPr>
      </w:pPr>
    </w:p>
    <w:p>
      <w:pPr>
        <w:ind w:left="1480" w:hanging="176"/>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REISSUANCE OF WARRANTS.</w:t>
      </w:r>
    </w:p>
    <w:p>
      <w:pPr>
        <w:spacing w:after="0" w:line="225" w:lineRule="exact"/>
        <w:rPr>
          <w:rFonts w:ascii="Arial" w:cs="Arial" w:eastAsia="Arial" w:hAnsi="Arial"/>
          <w:sz w:val="18"/>
          <w:szCs w:val="18"/>
          <w:color w:val="auto"/>
        </w:rPr>
      </w:pPr>
    </w:p>
    <w:p>
      <w:pPr>
        <w:jc w:val="both"/>
        <w:ind w:firstLine="1952"/>
        <w:spacing w:after="0" w:line="254" w:lineRule="auto"/>
        <w:tabs>
          <w:tab w:leader="none" w:pos="2188"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Transfer of Warrant</w:t>
      </w:r>
      <w:r>
        <w:rPr>
          <w:rFonts w:ascii="Arial" w:cs="Arial" w:eastAsia="Arial" w:hAnsi="Arial"/>
          <w:sz w:val="18"/>
          <w:szCs w:val="18"/>
          <w:color w:val="auto"/>
        </w:rPr>
        <w:t xml:space="preserve">. If this Warrant is to be transferred, the Holder shall notify the Company and surrender this Warrant to the Company, whereupon the Company will forthwith issue and deliver upon the order of the Holder a new Warrant (in accordance with </w:t>
      </w:r>
      <w:r>
        <w:rPr>
          <w:rFonts w:ascii="Arial" w:cs="Arial" w:eastAsia="Arial" w:hAnsi="Arial"/>
          <w:sz w:val="18"/>
          <w:szCs w:val="18"/>
          <w:u w:val="single" w:color="auto"/>
          <w:color w:val="auto"/>
        </w:rPr>
        <w:t>Section 7(d)</w:t>
      </w:r>
      <w:r>
        <w:rPr>
          <w:rFonts w:ascii="Arial" w:cs="Arial" w:eastAsia="Arial" w:hAnsi="Arial"/>
          <w:sz w:val="18"/>
          <w:szCs w:val="18"/>
          <w:color w:val="auto"/>
        </w:rPr>
        <w:t xml:space="preserve">), registered as the Holder may request, representing the right to purchase the number of Warrant Shares being transferred by the Holder and, if less than the total number of Warrant Shares then underlying this Warrant is being transferred, a new Warrant (in accordance with </w:t>
      </w:r>
      <w:r>
        <w:rPr>
          <w:rFonts w:ascii="Arial" w:cs="Arial" w:eastAsia="Arial" w:hAnsi="Arial"/>
          <w:sz w:val="18"/>
          <w:szCs w:val="18"/>
          <w:u w:val="single" w:color="auto"/>
          <w:color w:val="auto"/>
        </w:rPr>
        <w:t>Section 7(d)</w:t>
      </w:r>
      <w:r>
        <w:rPr>
          <w:rFonts w:ascii="Arial" w:cs="Arial" w:eastAsia="Arial" w:hAnsi="Arial"/>
          <w:sz w:val="18"/>
          <w:szCs w:val="18"/>
          <w:color w:val="auto"/>
        </w:rPr>
        <w:t>) to the Holder representing the right to purchase the number of Warrant Shares not being transferred. The Company shall not be obligated to pay any tax which may be payable with respect to any transfer (or deemed transfer) arising in connection with the registration of any certificates for Warrant Shares or Warrants in the name of any Person other than the Holder.</w:t>
      </w:r>
    </w:p>
    <w:p>
      <w:pPr>
        <w:spacing w:after="0" w:line="194" w:lineRule="exact"/>
        <w:rPr>
          <w:rFonts w:ascii="Arial" w:cs="Arial" w:eastAsia="Arial" w:hAnsi="Arial"/>
          <w:sz w:val="18"/>
          <w:szCs w:val="18"/>
          <w:color w:val="auto"/>
        </w:rPr>
      </w:pPr>
    </w:p>
    <w:p>
      <w:pPr>
        <w:jc w:val="both"/>
        <w:ind w:firstLine="1952"/>
        <w:spacing w:after="0" w:line="257" w:lineRule="auto"/>
        <w:tabs>
          <w:tab w:leader="none" w:pos="2199"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Lost, Stolen or Mutilated Warrant</w:t>
      </w:r>
      <w:r>
        <w:rPr>
          <w:rFonts w:ascii="Arial" w:cs="Arial" w:eastAsia="Arial" w:hAnsi="Arial"/>
          <w:sz w:val="18"/>
          <w:szCs w:val="18"/>
          <w:color w:val="auto"/>
        </w:rPr>
        <w:t xml:space="preserve">. Upon receipt by the Company of evidence reasonably satisfactory to the Company of the loss, theft, destruction or mutilation of this Warrant, and, in the case of loss, theft or destruction, of any indemnification undertaking by the Holder to the Company in customary form (but without the obligation to post a bond) and, in the case of mutilation, upon surrender and cancellation of this Warrant, the Company shall execute and deliver to the Holder a new Warrant (in accordance with </w:t>
      </w:r>
      <w:r>
        <w:rPr>
          <w:rFonts w:ascii="Arial" w:cs="Arial" w:eastAsia="Arial" w:hAnsi="Arial"/>
          <w:sz w:val="18"/>
          <w:szCs w:val="18"/>
          <w:u w:val="single" w:color="auto"/>
          <w:color w:val="auto"/>
        </w:rPr>
        <w:t>Section 7(d)</w:t>
      </w:r>
      <w:r>
        <w:rPr>
          <w:rFonts w:ascii="Arial" w:cs="Arial" w:eastAsia="Arial" w:hAnsi="Arial"/>
          <w:sz w:val="18"/>
          <w:szCs w:val="18"/>
          <w:color w:val="auto"/>
        </w:rPr>
        <w:t>) representing the right to purchase the Warrant Shares then underlying this Warrant.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jc w:val="both"/>
        <w:ind w:left="-20" w:firstLine="1952"/>
        <w:spacing w:after="0" w:line="259" w:lineRule="auto"/>
        <w:tabs>
          <w:tab w:leader="none" w:pos="2168"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Exchangeable for Multiple Warrants</w:t>
      </w:r>
      <w:r>
        <w:rPr>
          <w:rFonts w:ascii="Arial" w:cs="Arial" w:eastAsia="Arial" w:hAnsi="Arial"/>
          <w:sz w:val="18"/>
          <w:szCs w:val="18"/>
          <w:color w:val="auto"/>
        </w:rPr>
        <w:t xml:space="preserve">. This Warrant is exchangeable, upon the surrender hereof by the Holder at the principal office of the Company, for a new Warrant or Warrants (in accordance with </w:t>
      </w:r>
      <w:r>
        <w:rPr>
          <w:rFonts w:ascii="Arial" w:cs="Arial" w:eastAsia="Arial" w:hAnsi="Arial"/>
          <w:sz w:val="18"/>
          <w:szCs w:val="18"/>
          <w:u w:val="single" w:color="auto"/>
          <w:color w:val="auto"/>
        </w:rPr>
        <w:t>Section 7(d)</w:t>
      </w:r>
      <w:r>
        <w:rPr>
          <w:rFonts w:ascii="Arial" w:cs="Arial" w:eastAsia="Arial" w:hAnsi="Arial"/>
          <w:sz w:val="18"/>
          <w:szCs w:val="18"/>
          <w:color w:val="auto"/>
        </w:rPr>
        <w:t>) representing in the aggregate the right to purchase the number of Warrant Shares then underlying this Warrant, and each such new Warrant will represent the right to purchase such portion of such Warrant Shares as is designated by the Holder at the time of such surrender.</w:t>
      </w:r>
    </w:p>
    <w:p>
      <w:pPr>
        <w:spacing w:after="0" w:line="186" w:lineRule="exact"/>
        <w:rPr>
          <w:rFonts w:ascii="Arial" w:cs="Arial" w:eastAsia="Arial" w:hAnsi="Arial"/>
          <w:sz w:val="18"/>
          <w:szCs w:val="18"/>
          <w:color w:val="auto"/>
        </w:rPr>
      </w:pPr>
    </w:p>
    <w:p>
      <w:pPr>
        <w:jc w:val="both"/>
        <w:ind w:left="-20" w:firstLine="1952"/>
        <w:spacing w:after="0" w:line="293" w:lineRule="auto"/>
        <w:tabs>
          <w:tab w:leader="none" w:pos="2179" w:val="left"/>
        </w:tabs>
        <w:numPr>
          <w:ilvl w:val="1"/>
          <w:numId w:val="14"/>
        </w:numPr>
        <w:rPr>
          <w:rFonts w:ascii="Arial" w:cs="Arial" w:eastAsia="Arial" w:hAnsi="Arial"/>
          <w:sz w:val="16"/>
          <w:szCs w:val="16"/>
          <w:color w:val="auto"/>
        </w:rPr>
      </w:pPr>
      <w:r>
        <w:rPr>
          <w:rFonts w:ascii="Arial" w:cs="Arial" w:eastAsia="Arial" w:hAnsi="Arial"/>
          <w:sz w:val="16"/>
          <w:szCs w:val="16"/>
          <w:u w:val="single" w:color="auto"/>
          <w:color w:val="auto"/>
        </w:rPr>
        <w:t>Issuance of New Warrants</w:t>
      </w:r>
      <w:r>
        <w:rPr>
          <w:rFonts w:ascii="Arial" w:cs="Arial" w:eastAsia="Arial" w:hAnsi="Arial"/>
          <w:sz w:val="16"/>
          <w:szCs w:val="16"/>
          <w:color w:val="auto"/>
        </w:rPr>
        <w:t xml:space="preserve">.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w:t>
      </w:r>
      <w:r>
        <w:rPr>
          <w:rFonts w:ascii="Arial" w:cs="Arial" w:eastAsia="Arial" w:hAnsi="Arial"/>
          <w:sz w:val="16"/>
          <w:szCs w:val="16"/>
          <w:u w:val="single" w:color="auto"/>
          <w:color w:val="auto"/>
        </w:rPr>
        <w:t>Section 7(a)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7(c)</w:t>
      </w:r>
      <w:r>
        <w:rPr>
          <w:rFonts w:ascii="Arial" w:cs="Arial" w:eastAsia="Arial" w:hAnsi="Arial"/>
          <w:sz w:val="16"/>
          <w:szCs w:val="16"/>
          <w:color w:val="auto"/>
        </w:rPr>
        <w:t>,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164" w:lineRule="exact"/>
        <w:rPr>
          <w:rFonts w:ascii="Arial" w:cs="Arial" w:eastAsia="Arial" w:hAnsi="Arial"/>
          <w:sz w:val="16"/>
          <w:szCs w:val="16"/>
          <w:color w:val="auto"/>
        </w:rPr>
      </w:pPr>
    </w:p>
    <w:p>
      <w:pPr>
        <w:jc w:val="both"/>
        <w:ind w:left="-20" w:firstLine="1304"/>
        <w:spacing w:after="0" w:line="270" w:lineRule="auto"/>
        <w:tabs>
          <w:tab w:leader="none" w:pos="1483"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xml:space="preserve">. Whenever notice is required to be given under this Warrant, including, without limitation, an Exercise Notice, unless otherwise provided herein, such notice shall be given in writing, (i) if delivered (a) from within the domestic United States, by first-class registered or certified airmail, or nationally recognized overnight express courier, postage prepaid or electronic mail or (b) from outside the United States, by International Federal Express or electronic mail, and (ii) will be deemed given (A) if delivered by first-class registered or certified mail domestic, three (3) Business Days after so mailed, (B) if delivered by nationally recognized overnight carrier, one (1) Business Day after so mailed, (C) if delivered by International Federal Express, two (2) Business Days after so mailed and (D) at the time of transmission, if delivered by electronic mail to each of the email addresses specified in this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prior to 5:00 p.m. (New York time) on a Trading Day and (E) the next Trading Day after the date of transmission, if delivered by electronic mail to each of the email addresses specified in this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on a day that is not a Trading Day or later than 5:00 p.m. (New York time) on any Trading Day, and will be delivered and addressed as follows:</w:t>
      </w:r>
    </w:p>
    <w:p>
      <w:pPr>
        <w:spacing w:after="0" w:line="18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 if to the Company, to:</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Agrify Corporation</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2468 Industrial Row Drive</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Troy, MI 48084</w:t>
      </w:r>
    </w:p>
    <w:p>
      <w:pPr>
        <w:spacing w:after="0" w:line="9" w:lineRule="exact"/>
        <w:rPr>
          <w:sz w:val="20"/>
          <w:szCs w:val="20"/>
          <w:color w:val="auto"/>
        </w:rPr>
      </w:pPr>
    </w:p>
    <w:p>
      <w:pPr>
        <w:ind w:left="1280"/>
        <w:spacing w:after="0"/>
        <w:tabs>
          <w:tab w:leader="none" w:pos="224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6"/>
          <w:szCs w:val="16"/>
          <w:color w:val="auto"/>
        </w:rPr>
        <w:t>(919) 619-7346</w:t>
      </w:r>
    </w:p>
    <w:p>
      <w:pPr>
        <w:spacing w:after="0" w:line="9" w:lineRule="exact"/>
        <w:rPr>
          <w:sz w:val="20"/>
          <w:szCs w:val="20"/>
          <w:color w:val="auto"/>
        </w:rPr>
      </w:pPr>
    </w:p>
    <w:p>
      <w:pPr>
        <w:ind w:left="1280"/>
        <w:spacing w:after="0"/>
        <w:tabs>
          <w:tab w:leader="none" w:pos="2240" w:val="left"/>
        </w:tabs>
        <w:rPr>
          <w:sz w:val="20"/>
          <w:szCs w:val="20"/>
          <w:color w:val="auto"/>
        </w:rPr>
      </w:pPr>
      <w:r>
        <w:rPr>
          <w:rFonts w:ascii="Arial" w:cs="Arial" w:eastAsia="Arial" w:hAnsi="Arial"/>
          <w:sz w:val="18"/>
          <w:szCs w:val="18"/>
          <w:color w:val="auto"/>
        </w:rPr>
        <w:t>Attention:</w:t>
        <w:tab/>
        <w:t>Joshua Savitz, Esq., Associate General Counsel</w:t>
      </w:r>
    </w:p>
    <w:p>
      <w:pPr>
        <w:spacing w:after="0" w:line="9" w:lineRule="exact"/>
        <w:rPr>
          <w:sz w:val="20"/>
          <w:szCs w:val="20"/>
          <w:color w:val="auto"/>
        </w:rPr>
      </w:pPr>
    </w:p>
    <w:p>
      <w:pPr>
        <w:ind w:left="1280"/>
        <w:spacing w:after="0"/>
        <w:tabs>
          <w:tab w:leader="none" w:pos="22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josh.savitz@agrify.com</w:t>
      </w:r>
    </w:p>
    <w:p>
      <w:pPr>
        <w:spacing w:after="0" w:line="21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With a copy (for informational purposes only) to:</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Burns &amp; Levinson LLP</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125 High Street</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Boston, MA 02110</w:t>
      </w:r>
    </w:p>
    <w:p>
      <w:pPr>
        <w:spacing w:after="0" w:line="9" w:lineRule="exact"/>
        <w:rPr>
          <w:sz w:val="20"/>
          <w:szCs w:val="20"/>
          <w:color w:val="auto"/>
        </w:rPr>
      </w:pPr>
    </w:p>
    <w:p>
      <w:pPr>
        <w:ind w:left="1280"/>
        <w:spacing w:after="0"/>
        <w:tabs>
          <w:tab w:leader="none" w:pos="224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6"/>
          <w:szCs w:val="16"/>
          <w:color w:val="auto"/>
        </w:rPr>
        <w:t>(617) 345-3000</w:t>
      </w:r>
    </w:p>
    <w:p>
      <w:pPr>
        <w:spacing w:after="0" w:line="9" w:lineRule="exact"/>
        <w:rPr>
          <w:sz w:val="20"/>
          <w:szCs w:val="20"/>
          <w:color w:val="auto"/>
        </w:rPr>
      </w:pPr>
    </w:p>
    <w:p>
      <w:pPr>
        <w:ind w:left="1280"/>
        <w:spacing w:after="0"/>
        <w:tabs>
          <w:tab w:leader="none" w:pos="2240" w:val="left"/>
        </w:tabs>
        <w:rPr>
          <w:sz w:val="20"/>
          <w:szCs w:val="20"/>
          <w:color w:val="auto"/>
        </w:rPr>
      </w:pPr>
      <w:r>
        <w:rPr>
          <w:rFonts w:ascii="Arial" w:cs="Arial" w:eastAsia="Arial" w:hAnsi="Arial"/>
          <w:sz w:val="18"/>
          <w:szCs w:val="18"/>
          <w:color w:val="auto"/>
        </w:rPr>
        <w:t>Attention:</w:t>
        <w:tab/>
        <w:t>Frank A. Segall, Esq.</w:t>
      </w:r>
    </w:p>
    <w:p>
      <w:pPr>
        <w:spacing w:after="0" w:line="9" w:lineRule="exact"/>
        <w:rPr>
          <w:sz w:val="20"/>
          <w:szCs w:val="20"/>
          <w:color w:val="auto"/>
        </w:rPr>
      </w:pPr>
    </w:p>
    <w:p>
      <w:pPr>
        <w:ind w:left="1280"/>
        <w:spacing w:after="0"/>
        <w:tabs>
          <w:tab w:leader="none" w:pos="22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fsegall@burnslev.com</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6" w:name="page17"/>
    <w:bookmarkEnd w:id="16"/>
    <w:p>
      <w:pPr>
        <w:ind w:right="20" w:firstLine="1304"/>
        <w:spacing w:after="0" w:line="277" w:lineRule="auto"/>
        <w:tabs>
          <w:tab w:leader="none" w:pos="1567"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to the Holder, at such address or other contact9 information delivered by the Holder to Company or as is on the books and records of the Company (provided that, with respect to the Holder, such notice may only be delivered via electronic mail),</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(for informational purposes only)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12670 High Bluff Drive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Diego, CA 92130</w:t>
      </w:r>
    </w:p>
    <w:p>
      <w:pPr>
        <w:spacing w:after="0" w:line="9" w:lineRule="exact"/>
        <w:rPr>
          <w:sz w:val="20"/>
          <w:szCs w:val="20"/>
          <w:color w:val="auto"/>
        </w:rPr>
      </w:pPr>
    </w:p>
    <w:p>
      <w:pPr>
        <w:ind w:left="1300"/>
        <w:spacing w:after="0"/>
        <w:tabs>
          <w:tab w:leader="none" w:pos="226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6"/>
          <w:szCs w:val="16"/>
          <w:color w:val="auto"/>
        </w:rPr>
        <w:t>(858) 523-5400</w:t>
      </w:r>
    </w:p>
    <w:p>
      <w:pPr>
        <w:spacing w:after="0" w:line="9" w:lineRule="exact"/>
        <w:rPr>
          <w:sz w:val="20"/>
          <w:szCs w:val="20"/>
          <w:color w:val="auto"/>
        </w:rPr>
      </w:pPr>
    </w:p>
    <w:p>
      <w:pPr>
        <w:ind w:left="1300"/>
        <w:spacing w:after="0"/>
        <w:tabs>
          <w:tab w:leader="none" w:pos="2260" w:val="left"/>
        </w:tabs>
        <w:rPr>
          <w:sz w:val="20"/>
          <w:szCs w:val="20"/>
          <w:color w:val="auto"/>
        </w:rPr>
      </w:pPr>
      <w:r>
        <w:rPr>
          <w:rFonts w:ascii="Arial" w:cs="Arial" w:eastAsia="Arial" w:hAnsi="Arial"/>
          <w:sz w:val="18"/>
          <w:szCs w:val="18"/>
          <w:color w:val="auto"/>
        </w:rPr>
        <w:t>Attention:</w:t>
        <w:tab/>
        <w:t>Michael E. Sullivan</w:t>
      </w:r>
    </w:p>
    <w:p>
      <w:pPr>
        <w:spacing w:after="0" w:line="9" w:lineRule="exact"/>
        <w:rPr>
          <w:sz w:val="20"/>
          <w:szCs w:val="20"/>
          <w:color w:val="auto"/>
        </w:rPr>
      </w:pPr>
    </w:p>
    <w:p>
      <w:pPr>
        <w:ind w:left="1300"/>
        <w:spacing w:after="0"/>
        <w:tabs>
          <w:tab w:leader="none" w:pos="22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michael.sullivan@lw.com</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 (i) promptly upon any adjustment of the Exercise Price, setting forth in reasonable detail, and certifying, the calculation of such adjustment, (ii) at least fifteen (15) days prior to the date on which the Company closes its books or takes a record (A) with respect to any dividend or distribution upon the shares of Common Stock, (B) with respect to any grants, issuances or sales of any Options, Convertible Securities or rights to purchase stock, warrants, securities or other property pro rata to holders of shares of Common Stock or (C) for determining rights to vote with respect to any Fundamental Transaction, dissolution or liquidation and (iii) ten (10) Business Days (or such shorter period as is reasonably practicable under the circumstances if the Company does not have 10 Business Days’ prior notice) prior to the consummation of any Fundamental Transaction;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each case that such information shall be made known to the public prior to or in conjunction with such notice being provided to the Holder but only to the extent the information in such notice constitutes material non-public information regarding the Company. It is expressly understood and agreed that the time of exercise specified by the Holder in each Exercise Notice shall be definitive and may not be disputed or challenged by the Company.</w:t>
      </w:r>
    </w:p>
    <w:p>
      <w:pPr>
        <w:spacing w:after="0" w:line="182" w:lineRule="exact"/>
        <w:rPr>
          <w:sz w:val="20"/>
          <w:szCs w:val="20"/>
          <w:color w:val="auto"/>
        </w:rPr>
      </w:pPr>
    </w:p>
    <w:p>
      <w:pPr>
        <w:jc w:val="both"/>
        <w:ind w:firstLine="1304"/>
        <w:spacing w:after="0" w:line="254" w:lineRule="auto"/>
        <w:tabs>
          <w:tab w:leader="none" w:pos="1476"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AMENDMENT AND WAIVER</w:t>
      </w:r>
      <w:r>
        <w:rPr>
          <w:rFonts w:ascii="Arial" w:cs="Arial" w:eastAsia="Arial" w:hAnsi="Arial"/>
          <w:sz w:val="18"/>
          <w:szCs w:val="18"/>
          <w:color w:val="auto"/>
        </w:rPr>
        <w:t>. Except as otherwise provided herein, the provisions of this Warrant may be amended or waived and the Company may take any action herein prohibited, or omit to perform any act herein required to be performed by it, only if the Company has obtained the written consent of the Holder. No waiver by any party shall operate or be construed as a waiver in respect of any failure, breach or default not expressly identified by such written waiver, whether of a similar or different character, and whether occurring before or after that waiver. No failure to exercise, or delay in exercising, any rights, remedy, power or privilege arising from this Warrant shall operate or be construed as a waiver thereof; nor shall any single or partial exercise of any right, remedy, power or privilege hereunder preclude any other or further exercise thereof or the exercise of any other right, remedy, power or privilege.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jc w:val="both"/>
        <w:ind w:firstLine="1304"/>
        <w:spacing w:after="0" w:line="282" w:lineRule="auto"/>
        <w:tabs>
          <w:tab w:leader="none" w:pos="1566"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GOVERNING LAW; JURISDICTION; JURY TRIAL</w:t>
      </w:r>
      <w:r>
        <w:rPr>
          <w:rFonts w:ascii="Arial" w:cs="Arial" w:eastAsia="Arial" w:hAnsi="Arial"/>
          <w:sz w:val="16"/>
          <w:szCs w:val="16"/>
          <w:color w:val="auto"/>
        </w:rPr>
        <w:t xml:space="preserve">. This Warrant shall be governed by and construed and enforced in accordance with, and all questions concerning the construction, validity, interpretation and performance of this Warrant shall be governed by, the internal laws of the State of Delaware, without giving effect to any choice of law or conflict of law provision or rule (whether of the State of Delaware or any other jurisdictions) that would cause the application of the laws of any jurisdictions other than the State of New York. Each party hereto hereby irrevocably submits to the exclusive jurisdiction of the Court of Chancery of the State of Delaware, for the adjudication of any dispute hereunder or in connection herewith or with any transaction contemplated hereby or discussed herein, and hereby irrevocably waives, and agrees not to assert in any suit, action or proceeding, any claim that such party is not personally subject to the jurisdiction of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set forth with respect to such party in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or such other address as such party subsequently delivers to the other party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a party hereto from bringing suit or taking other legal action against the other party in any other jurisdiction to collect on its obligations to the other party, to realize on any collateral or any other security for such obligations, or to enforce a judgment or other court ruling in favor of the other party.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 </w:t>
      </w:r>
      <w:r>
        <w:rPr>
          <w:rFonts w:ascii="Arial" w:cs="Arial" w:eastAsia="Arial" w:hAnsi="Arial"/>
          <w:sz w:val="16"/>
          <w:szCs w:val="16"/>
          <w:b w:val="1"/>
          <w:bCs w:val="1"/>
          <w:color w:val="auto"/>
        </w:rPr>
        <w:t>EACH PARTY HERETO HEREBY</w:t>
      </w:r>
    </w:p>
    <w:p>
      <w:pPr>
        <w:spacing w:after="0" w:line="11" w:lineRule="exact"/>
        <w:rPr>
          <w:rFonts w:ascii="Arial" w:cs="Arial" w:eastAsia="Arial" w:hAnsi="Arial"/>
          <w:sz w:val="16"/>
          <w:szCs w:val="16"/>
          <w:color w:val="auto"/>
        </w:rPr>
      </w:pPr>
    </w:p>
    <w:p>
      <w:pPr>
        <w:jc w:val="both"/>
        <w:ind w:right="20"/>
        <w:spacing w:after="0" w:line="255" w:lineRule="auto"/>
        <w:rPr>
          <w:rFonts w:ascii="Arial" w:cs="Arial" w:eastAsia="Arial" w:hAnsi="Arial"/>
          <w:sz w:val="16"/>
          <w:szCs w:val="16"/>
          <w:color w:val="auto"/>
        </w:rPr>
      </w:pPr>
      <w:r>
        <w:rPr>
          <w:rFonts w:ascii="Arial" w:cs="Arial" w:eastAsia="Arial" w:hAnsi="Arial"/>
          <w:sz w:val="18"/>
          <w:szCs w:val="18"/>
          <w:b w:val="1"/>
          <w:bCs w:val="1"/>
          <w:color w:val="auto"/>
        </w:rPr>
        <w:t>IRREVOCABLY WAIVES ANY RIGHT IT MAY HAVE, AND AGREES NOT TO REQUEST, A JURY TRIAL FOR THE ADJUDICATION OF ANY DISPUTE HEREUNDER OR IN CONNECTION WITH OR ARISING OUT OF THIS WARRANT OR ANY TRANSACTION CONTEMPLATED HEREBY</w:t>
      </w:r>
      <w:r>
        <w:rPr>
          <w:rFonts w:ascii="Arial" w:cs="Arial" w:eastAsia="Arial" w:hAnsi="Arial"/>
          <w:sz w:val="18"/>
          <w:szCs w:val="18"/>
          <w:color w:val="auto"/>
        </w:rPr>
        <w:t>.</w:t>
      </w:r>
    </w:p>
    <w:p>
      <w:pPr>
        <w:spacing w:after="0" w:line="189" w:lineRule="exact"/>
        <w:rPr>
          <w:rFonts w:ascii="Arial" w:cs="Arial" w:eastAsia="Arial" w:hAnsi="Arial"/>
          <w:sz w:val="16"/>
          <w:szCs w:val="16"/>
          <w:color w:val="auto"/>
        </w:rPr>
      </w:pPr>
    </w:p>
    <w:p>
      <w:pPr>
        <w:jc w:val="both"/>
        <w:ind w:firstLine="1304"/>
        <w:spacing w:after="0" w:line="288" w:lineRule="auto"/>
        <w:tabs>
          <w:tab w:leader="none" w:pos="1559"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DISPUTE RESOLUTION</w:t>
      </w:r>
      <w:r>
        <w:rPr>
          <w:rFonts w:ascii="Arial" w:cs="Arial" w:eastAsia="Arial" w:hAnsi="Arial"/>
          <w:sz w:val="16"/>
          <w:szCs w:val="16"/>
          <w:color w:val="auto"/>
        </w:rPr>
        <w:t>. In the case of a dispute as to the determination of the Exercise Price or the arithmetic calculation of the Warrant Shares, the Company shall submit the disputed determinations or arithmetic calculations via electronic mail within two (2) Business Days of receipt of the Exercise Notice or other event giving rise to such dispute, as the case may be, to the Holder. If the Holder and the Company are unable to agree upon such determination or calculation of the Exercise Price or the Warrant Shares within three (3) Business Days of such disputed determination or arithmetic calculation being submitted to the Holder, then the Company shall, within two (2) Business Days submit via electronic mail (a) the disputed determination of the Exercise Price to an independent, reputable investment bank selected by the Company and approved by the Holder or (b) the disputed arithmetic calculation of the Warrant Shares to the Company’s independent, outside accountant. The Company shall cause, at its expense, the investment bank or the accountant, as the case may be, to perform the determinations or calculations and notify the Company and the Holder of the results no later than ten (10) Business Days from the time it receives the disputed determinations or calculations. Such investment bank’s or accountant’s determination or calculation, as the case may be, shall be binding upon all parties absent demonstrable error.</w:t>
      </w:r>
    </w:p>
    <w:p>
      <w:pPr>
        <w:spacing w:after="0" w:line="168" w:lineRule="exact"/>
        <w:rPr>
          <w:rFonts w:ascii="Arial" w:cs="Arial" w:eastAsia="Arial" w:hAnsi="Arial"/>
          <w:sz w:val="16"/>
          <w:szCs w:val="16"/>
          <w:color w:val="auto"/>
        </w:rPr>
      </w:pPr>
    </w:p>
    <w:p>
      <w:pPr>
        <w:jc w:val="both"/>
        <w:ind w:firstLine="1304"/>
        <w:spacing w:after="0" w:line="291" w:lineRule="auto"/>
        <w:tabs>
          <w:tab w:leader="none" w:pos="1566"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REMEDIES, OTHER OBLIGATIONS, BREACHES AND INJUNCTIVE RELIEF</w:t>
      </w:r>
      <w:r>
        <w:rPr>
          <w:rFonts w:ascii="Arial" w:cs="Arial" w:eastAsia="Arial" w:hAnsi="Arial"/>
          <w:sz w:val="16"/>
          <w:szCs w:val="16"/>
          <w:color w:val="auto"/>
        </w:rPr>
        <w:t>. The remedies provided in this Warrant shall be cumulative and in addition to all other remedies available under this Warrant and any other Transaction Documents, at law or in equity (including a decree of specific performance and/or other injunctive relief), and nothing herein shall limit the right of the Holder or the Company to pursue actual damages for any failure by the other party to comply with the terms of this Warrant. Each of the Company and the Holder acknowledges that a breach by such party of its obligations hereunder will cause irreparable harm to the other party and that the remedy at law for any such breach may be inadequate. The Company and the Holder therefore agree that, in the event of any such breach or threatened breach, the other party shall be entitled, in addition to all other available remedies, to an injunction restraining any breach, without the necessity of showing economic loss and without any bond or other security being required.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ind w:left="-20" w:firstLine="1304"/>
        <w:spacing w:after="0" w:line="277" w:lineRule="auto"/>
        <w:tabs>
          <w:tab w:leader="none" w:pos="1546"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 xml:space="preserve">. Subject to compliance with </w:t>
      </w:r>
      <w:r>
        <w:rPr>
          <w:rFonts w:ascii="Arial" w:cs="Arial" w:eastAsia="Arial" w:hAnsi="Arial"/>
          <w:sz w:val="18"/>
          <w:szCs w:val="18"/>
          <w:u w:val="single" w:color="auto"/>
          <w:color w:val="auto"/>
        </w:rPr>
        <w:t>Section 7(a)</w:t>
      </w:r>
      <w:r>
        <w:rPr>
          <w:rFonts w:ascii="Arial" w:cs="Arial" w:eastAsia="Arial" w:hAnsi="Arial"/>
          <w:sz w:val="18"/>
          <w:szCs w:val="18"/>
          <w:color w:val="auto"/>
        </w:rPr>
        <w:t>, this Warrant and the Warrant Shares may be offered for sale, sold, transferred, pledged or assigned without the consent of the Company.</w:t>
      </w:r>
    </w:p>
    <w:p>
      <w:pPr>
        <w:spacing w:after="0" w:line="170" w:lineRule="exact"/>
        <w:rPr>
          <w:rFonts w:ascii="Arial" w:cs="Arial" w:eastAsia="Arial" w:hAnsi="Arial"/>
          <w:sz w:val="18"/>
          <w:szCs w:val="18"/>
          <w:color w:val="auto"/>
        </w:rPr>
      </w:pPr>
    </w:p>
    <w:p>
      <w:pPr>
        <w:ind w:left="1560" w:hanging="276"/>
        <w:spacing w:after="0"/>
        <w:tabs>
          <w:tab w:leader="none" w:pos="15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COMPLIANCE WITH THE SECURITIES ACT.</w:t>
      </w:r>
    </w:p>
    <w:p>
      <w:pPr>
        <w:spacing w:after="0" w:line="225" w:lineRule="exact"/>
        <w:rPr>
          <w:rFonts w:ascii="Arial" w:cs="Arial" w:eastAsia="Arial" w:hAnsi="Arial"/>
          <w:sz w:val="18"/>
          <w:szCs w:val="18"/>
          <w:color w:val="auto"/>
        </w:rPr>
      </w:pPr>
    </w:p>
    <w:p>
      <w:pPr>
        <w:ind w:left="-20" w:firstLine="1952"/>
        <w:spacing w:after="0" w:line="277" w:lineRule="auto"/>
        <w:tabs>
          <w:tab w:leader="none" w:pos="2168"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Representations of the Holder</w:t>
      </w:r>
      <w:r>
        <w:rPr>
          <w:rFonts w:ascii="Arial" w:cs="Arial" w:eastAsia="Arial" w:hAnsi="Arial"/>
          <w:sz w:val="18"/>
          <w:szCs w:val="18"/>
          <w:color w:val="auto"/>
        </w:rPr>
        <w:t>. In connection with the issuance of this Warrant, the Holder specifically represents, as of the date hereof, to the Company by acceptance of this Warrant as follows:</w:t>
      </w:r>
    </w:p>
    <w:p>
      <w:pPr>
        <w:spacing w:after="0" w:line="170" w:lineRule="exact"/>
        <w:rPr>
          <w:rFonts w:ascii="Arial" w:cs="Arial" w:eastAsia="Arial" w:hAnsi="Arial"/>
          <w:sz w:val="18"/>
          <w:szCs w:val="18"/>
          <w:color w:val="auto"/>
        </w:rPr>
      </w:pPr>
    </w:p>
    <w:p>
      <w:pPr>
        <w:jc w:val="both"/>
        <w:ind w:left="-20" w:firstLine="2600"/>
        <w:spacing w:after="0" w:line="259" w:lineRule="auto"/>
        <w:tabs>
          <w:tab w:leader="none" w:pos="2833" w:val="left"/>
        </w:tabs>
        <w:numPr>
          <w:ilvl w:val="2"/>
          <w:numId w:val="19"/>
        </w:numPr>
        <w:rPr>
          <w:rFonts w:ascii="Arial" w:cs="Arial" w:eastAsia="Arial" w:hAnsi="Arial"/>
          <w:sz w:val="18"/>
          <w:szCs w:val="18"/>
          <w:color w:val="auto"/>
        </w:rPr>
      </w:pPr>
      <w:r>
        <w:rPr>
          <w:rFonts w:ascii="Arial" w:cs="Arial" w:eastAsia="Arial" w:hAnsi="Arial"/>
          <w:sz w:val="18"/>
          <w:szCs w:val="18"/>
          <w:color w:val="auto"/>
        </w:rPr>
        <w:t>The Holder is an “accredited investor” as defined in Rule 501(a) of Regulation D promulgated under the Securities Act. The Holder is acquiring this Warrant and the shares of Common Stock to be issued upon exercise hereof for investment for its own account and not with a view towards, or for resale in connection with, the public sale or distribution of this Warrant or the Warrant Shares, except pursuant to sales registered or exempted under the Securities Act.</w:t>
      </w:r>
    </w:p>
    <w:p>
      <w:pPr>
        <w:spacing w:after="0" w:line="186" w:lineRule="exact"/>
        <w:rPr>
          <w:rFonts w:ascii="Arial" w:cs="Arial" w:eastAsia="Arial" w:hAnsi="Arial"/>
          <w:sz w:val="18"/>
          <w:szCs w:val="18"/>
          <w:color w:val="auto"/>
        </w:rPr>
      </w:pPr>
    </w:p>
    <w:p>
      <w:pPr>
        <w:jc w:val="both"/>
        <w:ind w:left="-20" w:firstLine="2600"/>
        <w:spacing w:after="0" w:line="275" w:lineRule="auto"/>
        <w:tabs>
          <w:tab w:leader="none" w:pos="2844" w:val="left"/>
        </w:tabs>
        <w:numPr>
          <w:ilvl w:val="2"/>
          <w:numId w:val="19"/>
        </w:numPr>
        <w:rPr>
          <w:rFonts w:ascii="Arial" w:cs="Arial" w:eastAsia="Arial" w:hAnsi="Arial"/>
          <w:sz w:val="17"/>
          <w:szCs w:val="17"/>
          <w:color w:val="auto"/>
        </w:rPr>
      </w:pPr>
      <w:r>
        <w:rPr>
          <w:rFonts w:ascii="Arial" w:cs="Arial" w:eastAsia="Arial" w:hAnsi="Arial"/>
          <w:sz w:val="17"/>
          <w:szCs w:val="17"/>
          <w:color w:val="auto"/>
        </w:rPr>
        <w:t>The Holder understands and acknowledges that this Warrant and the shares of Common Stock to be issued upon exercise hereof are “restricted securities” under the federal securities laws inasmuch as they are being acquired from the Company in a transaction not involving a public offering and that, under such laws and applicable regulations, such securities may be resold without registration under the Securities Act only in certain limited circumstances. In addition, the Holder represents that it is familiar with Rule 144 under the Securities Act, as presently in effect (“</w:t>
      </w:r>
      <w:r>
        <w:rPr>
          <w:rFonts w:ascii="Arial" w:cs="Arial" w:eastAsia="Arial" w:hAnsi="Arial"/>
          <w:sz w:val="17"/>
          <w:szCs w:val="17"/>
          <w:b w:val="1"/>
          <w:bCs w:val="1"/>
          <w:color w:val="auto"/>
        </w:rPr>
        <w:t>Rule 144</w:t>
      </w:r>
      <w:r>
        <w:rPr>
          <w:rFonts w:ascii="Arial" w:cs="Arial" w:eastAsia="Arial" w:hAnsi="Arial"/>
          <w:sz w:val="17"/>
          <w:szCs w:val="17"/>
          <w:color w:val="auto"/>
        </w:rPr>
        <w:t>”), and understands the resale limitations imposed thereby and by the Securities Act.</w:t>
      </w:r>
    </w:p>
    <w:p>
      <w:pPr>
        <w:spacing w:after="0" w:line="176" w:lineRule="exact"/>
        <w:rPr>
          <w:rFonts w:ascii="Arial" w:cs="Arial" w:eastAsia="Arial" w:hAnsi="Arial"/>
          <w:sz w:val="17"/>
          <w:szCs w:val="17"/>
          <w:color w:val="auto"/>
        </w:rPr>
      </w:pPr>
    </w:p>
    <w:p>
      <w:pPr>
        <w:jc w:val="both"/>
        <w:ind w:left="-20" w:firstLine="2600"/>
        <w:spacing w:after="0" w:line="279" w:lineRule="auto"/>
        <w:tabs>
          <w:tab w:leader="none" w:pos="2831" w:val="left"/>
        </w:tabs>
        <w:numPr>
          <w:ilvl w:val="2"/>
          <w:numId w:val="19"/>
        </w:numPr>
        <w:rPr>
          <w:rFonts w:ascii="Arial" w:cs="Arial" w:eastAsia="Arial" w:hAnsi="Arial"/>
          <w:sz w:val="17"/>
          <w:szCs w:val="17"/>
          <w:color w:val="auto"/>
        </w:rPr>
      </w:pPr>
      <w:r>
        <w:rPr>
          <w:rFonts w:ascii="Arial" w:cs="Arial" w:eastAsia="Arial" w:hAnsi="Arial"/>
          <w:sz w:val="17"/>
          <w:szCs w:val="17"/>
          <w:color w:val="auto"/>
        </w:rPr>
        <w:t>The Holder acknowledges that it can bear the economic and financial risk of its investment for an indefinite period, and has such knowledge and experience in financial or business matters that it is capable of evaluating the merits and risks of the investment in the Warrant and the Warrant Shares. The Holder has had an opportunity to ask questions and receive answers from the Company regarding the terms and conditions of the offering of the Warrant and the business, properties, prospects and financial condition of the Company.</w:t>
      </w:r>
    </w:p>
    <w:p>
      <w:pPr>
        <w:spacing w:after="0" w:line="171" w:lineRule="exact"/>
        <w:rPr>
          <w:rFonts w:ascii="Arial" w:cs="Arial" w:eastAsia="Arial" w:hAnsi="Arial"/>
          <w:sz w:val="17"/>
          <w:szCs w:val="17"/>
          <w:color w:val="auto"/>
        </w:rPr>
      </w:pPr>
    </w:p>
    <w:p>
      <w:pPr>
        <w:jc w:val="both"/>
        <w:ind w:left="-20" w:firstLine="1952"/>
        <w:spacing w:after="0" w:line="254" w:lineRule="auto"/>
        <w:tabs>
          <w:tab w:leader="none" w:pos="2179"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Acknowledgement of the Company</w:t>
      </w:r>
      <w:r>
        <w:rPr>
          <w:rFonts w:ascii="Arial" w:cs="Arial" w:eastAsia="Arial" w:hAnsi="Arial"/>
          <w:sz w:val="18"/>
          <w:szCs w:val="18"/>
          <w:color w:val="auto"/>
        </w:rPr>
        <w:t>. The Company acknowledges and agrees that the Holder may from time to time pledge pursuant to a bona fide margin agreement with a registered broker-dealer or grant a security interest in some or all of this Warrant or the Warrant Shares to a financial institution that is an “accredited investor” as defined in Rule 501(a) under the Securities Act and, if required under the terms of such arrangement, Holder may transfer any pledged or secured Warrant or Warrant Shares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Holder’s expense, the Company will execute and deliver such reasonable documentation as a pledgee or secured party of this Warrants or any Warrant Shares may reasonably request in connection with a pledge or transfer of this Warrant or any Warrant Shares.</w:t>
      </w:r>
    </w:p>
    <w:p>
      <w:pPr>
        <w:spacing w:after="0" w:line="191" w:lineRule="exact"/>
        <w:rPr>
          <w:rFonts w:ascii="Arial" w:cs="Arial" w:eastAsia="Arial" w:hAnsi="Arial"/>
          <w:sz w:val="18"/>
          <w:szCs w:val="18"/>
          <w:color w:val="auto"/>
        </w:rPr>
      </w:pPr>
    </w:p>
    <w:p>
      <w:pPr>
        <w:ind w:left="2180" w:hanging="248"/>
        <w:spacing w:after="0"/>
        <w:tabs>
          <w:tab w:leader="none" w:pos="2180"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No Legends</w:t>
      </w:r>
      <w:r>
        <w:rPr>
          <w:rFonts w:ascii="Arial" w:cs="Arial" w:eastAsia="Arial" w:hAnsi="Arial"/>
          <w:sz w:val="18"/>
          <w:szCs w:val="18"/>
          <w:color w:val="auto"/>
        </w:rPr>
        <w:t>. The Warrant Shares shall not be required to contain any restrictive legend.</w:t>
      </w:r>
    </w:p>
    <w:p>
      <w:pPr>
        <w:spacing w:after="0" w:line="225" w:lineRule="exact"/>
        <w:rPr>
          <w:rFonts w:ascii="Arial" w:cs="Arial" w:eastAsia="Arial" w:hAnsi="Arial"/>
          <w:sz w:val="18"/>
          <w:szCs w:val="18"/>
          <w:color w:val="auto"/>
        </w:rPr>
      </w:pPr>
    </w:p>
    <w:p>
      <w:pPr>
        <w:jc w:val="both"/>
        <w:ind w:left="-20" w:firstLine="1952"/>
        <w:spacing w:after="0" w:line="259" w:lineRule="auto"/>
        <w:tabs>
          <w:tab w:leader="none" w:pos="2197"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 order to facilitate the Company filing any registration statement covering the issuance or resale of any Warrant Shares issued and issuable upon exercise of this Warrant, the Holder hereby agrees to provide the Company with, following reasonable advance written request by the Company, an executed selling stockholder questionnaire in a form reasonably acceptable to the Holder and the Company as is customary under the circumstances.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9" w:name="page20"/>
    <w:bookmarkEnd w:id="19"/>
    <w:p>
      <w:pPr>
        <w:jc w:val="both"/>
        <w:ind w:firstLine="1304"/>
        <w:spacing w:after="0" w:line="269" w:lineRule="auto"/>
        <w:tabs>
          <w:tab w:leader="none" w:pos="1566"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SEVERABILITY; CONSTRUCTION; HEADINGS</w:t>
      </w:r>
      <w:r>
        <w:rPr>
          <w:rFonts w:ascii="Arial" w:cs="Arial" w:eastAsia="Arial" w:hAnsi="Arial"/>
          <w:sz w:val="17"/>
          <w:szCs w:val="17"/>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w:t>
      </w:r>
    </w:p>
    <w:p>
      <w:pPr>
        <w:spacing w:after="0" w:line="185" w:lineRule="exact"/>
        <w:rPr>
          <w:rFonts w:ascii="Arial" w:cs="Arial" w:eastAsia="Arial" w:hAnsi="Arial"/>
          <w:sz w:val="17"/>
          <w:szCs w:val="17"/>
          <w:color w:val="auto"/>
        </w:rPr>
      </w:pPr>
    </w:p>
    <w:p>
      <w:pPr>
        <w:jc w:val="both"/>
        <w:ind w:firstLine="1304"/>
        <w:spacing w:after="0" w:line="269" w:lineRule="auto"/>
        <w:tabs>
          <w:tab w:leader="none" w:pos="1593"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DISCLOSURE</w:t>
      </w:r>
      <w:r>
        <w:rPr>
          <w:rFonts w:ascii="Arial" w:cs="Arial" w:eastAsia="Arial" w:hAnsi="Arial"/>
          <w:sz w:val="17"/>
          <w:szCs w:val="17"/>
          <w:color w:val="auto"/>
        </w:rPr>
        <w:t xml:space="preserve">. Upon delivery by the Company to the Holder (or receipt by the Company from the Holder) of any notice in accordance with the terms of this Warrant, unless the Company has in good faith determined that the matters relating to such notice do not constitute material, non-public information relating to the Company or any of its subsidiaries, the Company shall on or prior to 9:00 am, New York City time on the Business Day immediately following such notice delivery date, publicly disclose such material, non-public information on a Current Report on Form 8-K or otherwise. In the event that the Company believes that a notice contains material, non-public information relating to the Company or any of its subsidiaries, the Company so shall indicate to the Holder explicitly in writing in such notice (or immediately upon receipt of notice from the Holder, as applicable), and in the absence of any such written indication in such notice (or notification from the Company immediately upon receipt of notice from the Holder), the Holder shall be entitled to presume that information contained in the notice does not constitute material, non-public information relating to the Company or any of its subsidiaries. Nothing contained in this </w:t>
      </w:r>
      <w:r>
        <w:rPr>
          <w:rFonts w:ascii="Arial" w:cs="Arial" w:eastAsia="Arial" w:hAnsi="Arial"/>
          <w:sz w:val="17"/>
          <w:szCs w:val="17"/>
          <w:u w:val="single" w:color="auto"/>
          <w:color w:val="auto"/>
        </w:rPr>
        <w:t>Section 16</w:t>
      </w:r>
      <w:r>
        <w:rPr>
          <w:rFonts w:ascii="Arial" w:cs="Arial" w:eastAsia="Arial" w:hAnsi="Arial"/>
          <w:sz w:val="17"/>
          <w:szCs w:val="17"/>
          <w:color w:val="auto"/>
        </w:rPr>
        <w:t xml:space="preserve"> shall limit any obligations of the Company, or any rights of the Holder, under any other agreement by and between the Company and the Holder.</w:t>
      </w:r>
    </w:p>
    <w:p>
      <w:pPr>
        <w:spacing w:after="0" w:line="185" w:lineRule="exact"/>
        <w:rPr>
          <w:rFonts w:ascii="Arial" w:cs="Arial" w:eastAsia="Arial" w:hAnsi="Arial"/>
          <w:sz w:val="17"/>
          <w:szCs w:val="17"/>
          <w:color w:val="auto"/>
        </w:rPr>
      </w:pPr>
    </w:p>
    <w:p>
      <w:pPr>
        <w:jc w:val="both"/>
        <w:ind w:firstLine="1304"/>
        <w:spacing w:after="0" w:line="273" w:lineRule="auto"/>
        <w:tabs>
          <w:tab w:leader="none" w:pos="1566"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ABSENCE OF TRADING AND DISCLOSURE RESTRICTIONS</w:t>
      </w:r>
      <w:r>
        <w:rPr>
          <w:rFonts w:ascii="Arial" w:cs="Arial" w:eastAsia="Arial" w:hAnsi="Arial"/>
          <w:sz w:val="17"/>
          <w:szCs w:val="17"/>
          <w:color w:val="auto"/>
        </w:rPr>
        <w:t>. The Company acknowledges and agrees that the Holder is not a fiduciary or agent of the Company and that the Holder shall have no obligation to (a) maintain the confidentiality of any information provided by the Company or (b) refrain from trading any securities while in possession of such information in the absence of a written non-disclosure agreement signed by the Holder that explicitly provides for such confidentiality and trading restrictions. In the absence of such an executed, written non-disclosure agreement, the Company acknowledges that the Holder may freely trade in any securities issued by the Company, may possess and use any information provided by the Company in connection with such trading activity, and may disclose any such information to any third party.</w:t>
      </w:r>
    </w:p>
    <w:p>
      <w:pPr>
        <w:spacing w:after="0" w:line="177" w:lineRule="exact"/>
        <w:rPr>
          <w:rFonts w:ascii="Arial" w:cs="Arial" w:eastAsia="Arial" w:hAnsi="Arial"/>
          <w:sz w:val="17"/>
          <w:szCs w:val="17"/>
          <w:color w:val="auto"/>
        </w:rPr>
      </w:pPr>
    </w:p>
    <w:p>
      <w:pPr>
        <w:jc w:val="both"/>
        <w:ind w:firstLine="1304"/>
        <w:spacing w:after="0" w:line="296" w:lineRule="auto"/>
        <w:tabs>
          <w:tab w:leader="none" w:pos="1566"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COUNTERPARTS; ELECTRONIC SIGNATURES</w:t>
      </w:r>
      <w:r>
        <w:rPr>
          <w:rFonts w:ascii="Arial" w:cs="Arial" w:eastAsia="Arial" w:hAnsi="Arial"/>
          <w:sz w:val="16"/>
          <w:szCs w:val="16"/>
          <w:color w:val="auto"/>
        </w:rPr>
        <w:t>. This Warrant may be executed in counterparts, each of which shall be deemed an original, but all of which together shall be deemed to be one and the same agreement. A signed copy of this Warrant delivered by facsimile, e-mail or other means of electronic transmission shall be deemed to have the same legal effect as delivery of an original signed copy of this Warrant. A party’s electronic signature (complying with the New York Electronic Signatures and Records Act (N.Y. State Tech. §§ 301-309), as amended from time to time, or other applicable law) of this Agreement shall have the same validity and effect as a signature affixed by the party’s hand.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ind w:left="1580" w:hanging="276"/>
        <w:spacing w:after="0"/>
        <w:tabs>
          <w:tab w:leader="none" w:pos="158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Warrant, the following terms shall have the following meanings:</w:t>
      </w:r>
    </w:p>
    <w:p>
      <w:pPr>
        <w:spacing w:after="0" w:line="221" w:lineRule="exact"/>
        <w:rPr>
          <w:rFonts w:ascii="Arial" w:cs="Arial" w:eastAsia="Arial" w:hAnsi="Arial"/>
          <w:sz w:val="18"/>
          <w:szCs w:val="18"/>
          <w:color w:val="auto"/>
        </w:rPr>
      </w:pPr>
    </w:p>
    <w:p>
      <w:pPr>
        <w:jc w:val="both"/>
        <w:ind w:firstLine="1952"/>
        <w:spacing w:after="0" w:line="261" w:lineRule="auto"/>
        <w:tabs>
          <w:tab w:leader="none" w:pos="2189" w:val="left"/>
        </w:tabs>
        <w:numPr>
          <w:ilvl w:val="1"/>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Adjustment Right</w:t>
      </w:r>
      <w:r>
        <w:rPr>
          <w:rFonts w:ascii="Arial" w:cs="Arial" w:eastAsia="Arial" w:hAnsi="Arial"/>
          <w:sz w:val="18"/>
          <w:szCs w:val="18"/>
          <w:color w:val="auto"/>
        </w:rPr>
        <w:t>” means any right granted with respect to any securities issued in connection with, or with respect to, any issuance or sale (or deemed issuance or sale in accordance with Section 2) of shares of Common Stock (other than rights of the type described in Section 3 and 4 hereof) that could result in a decrease in the net consideration received by the Company in connection with, or with respect to, such securities (including, without limitation, any cash settlement rights, cash adjustment or other similar rights).</w:t>
      </w:r>
    </w:p>
    <w:p>
      <w:pPr>
        <w:spacing w:after="0" w:line="179" w:lineRule="exact"/>
        <w:rPr>
          <w:rFonts w:ascii="Arial" w:cs="Arial" w:eastAsia="Arial" w:hAnsi="Arial"/>
          <w:sz w:val="18"/>
          <w:szCs w:val="18"/>
          <w:color w:val="auto"/>
        </w:rPr>
      </w:pPr>
    </w:p>
    <w:p>
      <w:pPr>
        <w:jc w:val="both"/>
        <w:ind w:firstLine="1952"/>
        <w:spacing w:after="0" w:line="261" w:lineRule="auto"/>
        <w:tabs>
          <w:tab w:leader="none" w:pos="2212" w:val="left"/>
        </w:tabs>
        <w:numPr>
          <w:ilvl w:val="1"/>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Person, any other Person that directly or indirectly controls, is controlled by, or is under common control with, such Person, it being understood for purposes of this definition that “control” of a Person means the power directly or indirectly either to vote 10% or more of the stock having ordinary voting power for the election of directors of such Person or direct or cause the direction of the management and policies of such Person whether by contract or otherwise.</w:t>
      </w:r>
    </w:p>
    <w:p>
      <w:pPr>
        <w:spacing w:after="0" w:line="179" w:lineRule="exact"/>
        <w:rPr>
          <w:rFonts w:ascii="Arial" w:cs="Arial" w:eastAsia="Arial" w:hAnsi="Arial"/>
          <w:sz w:val="18"/>
          <w:szCs w:val="18"/>
          <w:color w:val="auto"/>
        </w:rPr>
      </w:pPr>
    </w:p>
    <w:p>
      <w:pPr>
        <w:jc w:val="both"/>
        <w:ind w:firstLine="1952"/>
        <w:spacing w:after="0" w:line="255" w:lineRule="auto"/>
        <w:tabs>
          <w:tab w:leader="none" w:pos="2202" w:val="left"/>
        </w:tabs>
        <w:numPr>
          <w:ilvl w:val="1"/>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Attribution Parties</w:t>
      </w:r>
      <w:r>
        <w:rPr>
          <w:rFonts w:ascii="Arial" w:cs="Arial" w:eastAsia="Arial" w:hAnsi="Arial"/>
          <w:sz w:val="18"/>
          <w:szCs w:val="18"/>
          <w:color w:val="auto"/>
        </w:rPr>
        <w:t>” means, collectively, the following Persons and entities: (i) any investment vehicle, including, any funds, feeder funds or managed accounts, currently, or from time to time after the Subscription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1934 Act. For clarity, the purpose of the foregoing is to subject collectively the Holder and all other Attribution Parties to the Maximum Percentage.</w:t>
      </w:r>
    </w:p>
    <w:p>
      <w:pPr>
        <w:spacing w:after="0" w:line="188" w:lineRule="exact"/>
        <w:rPr>
          <w:rFonts w:ascii="Arial" w:cs="Arial" w:eastAsia="Arial" w:hAnsi="Arial"/>
          <w:sz w:val="18"/>
          <w:szCs w:val="18"/>
          <w:color w:val="auto"/>
        </w:rPr>
      </w:pPr>
    </w:p>
    <w:p>
      <w:pPr>
        <w:jc w:val="both"/>
        <w:ind w:firstLine="1952"/>
        <w:spacing w:after="0" w:line="269" w:lineRule="auto"/>
        <w:tabs>
          <w:tab w:leader="none" w:pos="2199" w:val="left"/>
        </w:tabs>
        <w:numPr>
          <w:ilvl w:val="1"/>
          <w:numId w:val="2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Bid Price</w:t>
      </w:r>
      <w:r>
        <w:rPr>
          <w:rFonts w:ascii="Arial" w:cs="Arial" w:eastAsia="Arial" w:hAnsi="Arial"/>
          <w:sz w:val="17"/>
          <w:szCs w:val="17"/>
          <w:color w:val="auto"/>
        </w:rPr>
        <w:t xml:space="preserve">” means, for any security as of the particular time of determination, the bid price for such security on the Principal Market as reported by Bloomberg as of such time of determination, or, if the Principal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any market makers for such security as reported in the “pink sheets” by OTC Markets Group Inc. (formerly Pink Sheets LLC) as of such time of determination. If the Bid Price cannot be calculated for a security as of the particular time of determination on any of the foregoing bases, the Bid Price of such security as of such time of determination shall be the fair market value as mutually determined by the Company and the Holder. If the Company and the Holder are unable to agree upon the fair market value of such security, then such dispute shall be resolved in accordance with the procedures in </w:t>
      </w:r>
      <w:r>
        <w:rPr>
          <w:rFonts w:ascii="Arial" w:cs="Arial" w:eastAsia="Arial" w:hAnsi="Arial"/>
          <w:sz w:val="17"/>
          <w:szCs w:val="17"/>
          <w:u w:val="single" w:color="auto"/>
          <w:color w:val="auto"/>
        </w:rPr>
        <w:t>Section 11</w:t>
      </w:r>
      <w:r>
        <w:rPr>
          <w:rFonts w:ascii="Arial" w:cs="Arial" w:eastAsia="Arial" w:hAnsi="Arial"/>
          <w:sz w:val="17"/>
          <w:szCs w:val="17"/>
          <w:color w:val="auto"/>
        </w:rPr>
        <w:t>. All such determinations shall be appropriately adjusted for any stock dividend, stock split, stock combination or other similar transaction during such period.</w:t>
      </w:r>
    </w:p>
    <w:p>
      <w:pPr>
        <w:spacing w:after="0" w:line="181" w:lineRule="exact"/>
        <w:rPr>
          <w:rFonts w:ascii="Arial" w:cs="Arial" w:eastAsia="Arial" w:hAnsi="Arial"/>
          <w:sz w:val="17"/>
          <w:szCs w:val="17"/>
          <w:color w:val="auto"/>
        </w:rPr>
      </w:pPr>
    </w:p>
    <w:p>
      <w:pPr>
        <w:ind w:left="2200" w:hanging="248"/>
        <w:spacing w:after="0"/>
        <w:tabs>
          <w:tab w:leader="none" w:pos="22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Financial Markets.</w:t>
      </w:r>
    </w:p>
    <w:p>
      <w:pPr>
        <w:spacing w:after="0" w:line="225" w:lineRule="exact"/>
        <w:rPr>
          <w:rFonts w:ascii="Arial" w:cs="Arial" w:eastAsia="Arial" w:hAnsi="Arial"/>
          <w:sz w:val="18"/>
          <w:szCs w:val="18"/>
          <w:color w:val="auto"/>
        </w:rPr>
      </w:pPr>
    </w:p>
    <w:p>
      <w:pPr>
        <w:ind w:firstLine="1952"/>
        <w:spacing w:after="0" w:line="282" w:lineRule="auto"/>
        <w:tabs>
          <w:tab w:leader="none" w:pos="2169" w:val="left"/>
        </w:tabs>
        <w:numPr>
          <w:ilvl w:val="1"/>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Sunday or other day on which commercial banks in The City of New York are authorized or required by law to remain closed.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jc w:val="both"/>
        <w:ind w:firstLine="1952"/>
        <w:spacing w:after="0" w:line="269" w:lineRule="auto"/>
        <w:tabs>
          <w:tab w:leader="none" w:pos="2266" w:val="left"/>
        </w:tabs>
        <w:numPr>
          <w:ilvl w:val="0"/>
          <w:numId w:val="2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Change of Control</w:t>
      </w:r>
      <w:r>
        <w:rPr>
          <w:rFonts w:ascii="Arial" w:cs="Arial" w:eastAsia="Arial" w:hAnsi="Arial"/>
          <w:sz w:val="17"/>
          <w:szCs w:val="17"/>
          <w:color w:val="auto"/>
        </w:rPr>
        <w:t>” means any Fundamental Transaction other than (i) any reorganization, recapitalization or reclassification of the Common Stock in which holders of the Company’s voting power immediately prior to such reorganization, recapitalization or reclassification continue after such reorganization, recapitalization or reclassification to hold publicly traded securities and, directly or indirectly, are, in all material respects, the holders of the voting power of the surviving entity (or entities with the authority or voting power to elect the members of the board of directors (or their equivalent if other than a corporation) of such entity or entities) after such reorganization, recapitalization or reclassification, (ii) pursuant to a migratory merger effected solely for the purpose of changing the jurisdiction of incorporation of the Company or (iii) a merger in connection with a bona fide acquisition by the Company of any Person in which (x) the gross consideration paid, directly or indirectly, by the Company in such acquisition is not equal to or greater than 50% of the Company’s market capitalization as calculated on the date of the announcement of such merger and the date of the consummation of such merger and (y) such merger does not contemplate a change to the identity of a majority of the Board of Directors of the Company. Notwithstanding anything herein to the contrary, any transaction or series of transaction that, directly or indirectly, results in the Company or the Successor Entity not having Common Stock or common stock, as applicable, registered under the 1934 Act and listed on an Eligible Market shall be deemed a Change of Control.</w:t>
      </w:r>
    </w:p>
    <w:p>
      <w:pPr>
        <w:spacing w:after="0" w:line="178" w:lineRule="exact"/>
        <w:rPr>
          <w:rFonts w:ascii="Arial" w:cs="Arial" w:eastAsia="Arial" w:hAnsi="Arial"/>
          <w:sz w:val="17"/>
          <w:szCs w:val="17"/>
          <w:color w:val="auto"/>
        </w:rPr>
      </w:pPr>
    </w:p>
    <w:p>
      <w:pPr>
        <w:jc w:val="both"/>
        <w:ind w:firstLine="1952"/>
        <w:spacing w:after="0" w:line="269" w:lineRule="auto"/>
        <w:tabs>
          <w:tab w:leader="none" w:pos="2199" w:val="left"/>
        </w:tabs>
        <w:numPr>
          <w:ilvl w:val="0"/>
          <w:numId w:val="2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Closing Sale Price</w:t>
      </w:r>
      <w:r>
        <w:rPr>
          <w:rFonts w:ascii="Arial" w:cs="Arial" w:eastAsia="Arial" w:hAnsi="Arial"/>
          <w:sz w:val="17"/>
          <w:szCs w:val="17"/>
          <w:color w:val="auto"/>
        </w:rPr>
        <w:t xml:space="preserve">” means, for any security as of any date, the last closing trade price, respectively, for such security on the Principal Market, as reported by Bloomberg, or, if the Principal Market begins to operate on an extended hours basis and does not designate the closing trade price then the last trade price, of such security prior to 4:00:00 p.m., New York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 not apply, the last trade price of such security in the over-the-counter market on the electronic bulletin board for such security as reported by Bloomberg, or, if no last trade price is reported for such security by Bloomberg, the average of the bid prices, or the ask prices, respectively, of any market makers for such security as reported in the OTC Link or on the “pink sheets” by OTC Markets Group Inc. (formerly Pink Sheets LLC).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such dispute shall be resolved pursuant to </w:t>
      </w:r>
      <w:r>
        <w:rPr>
          <w:rFonts w:ascii="Arial" w:cs="Arial" w:eastAsia="Arial" w:hAnsi="Arial"/>
          <w:sz w:val="17"/>
          <w:szCs w:val="17"/>
          <w:u w:val="single" w:color="auto"/>
          <w:color w:val="auto"/>
        </w:rPr>
        <w:t>Section 11</w:t>
      </w:r>
      <w:r>
        <w:rPr>
          <w:rFonts w:ascii="Arial" w:cs="Arial" w:eastAsia="Arial" w:hAnsi="Arial"/>
          <w:sz w:val="17"/>
          <w:szCs w:val="17"/>
          <w:color w:val="auto"/>
        </w:rPr>
        <w:t>. All such determinations to be appropriately adjusted for any stock dividend, stock split, stock combination, reclassification or other similar transaction during the applicable calculation period.</w:t>
      </w:r>
    </w:p>
    <w:p>
      <w:pPr>
        <w:spacing w:after="0" w:line="178" w:lineRule="exact"/>
        <w:rPr>
          <w:rFonts w:ascii="Arial" w:cs="Arial" w:eastAsia="Arial" w:hAnsi="Arial"/>
          <w:sz w:val="17"/>
          <w:szCs w:val="17"/>
          <w:color w:val="auto"/>
        </w:rPr>
      </w:pPr>
    </w:p>
    <w:p>
      <w:pPr>
        <w:ind w:right="20" w:firstLine="1952"/>
        <w:spacing w:after="0" w:line="282" w:lineRule="auto"/>
        <w:tabs>
          <w:tab w:leader="none" w:pos="2159"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(i) the Company’s Common Stock, par value $0.001 per share, and (ii) any capital stock into which such Common Stock shall have been changed or any capital stock resulting from a reclassification of such Common Stock.</w:t>
      </w:r>
    </w:p>
    <w:p>
      <w:pPr>
        <w:spacing w:after="0" w:line="161" w:lineRule="exact"/>
        <w:rPr>
          <w:rFonts w:ascii="Arial" w:cs="Arial" w:eastAsia="Arial" w:hAnsi="Arial"/>
          <w:sz w:val="18"/>
          <w:szCs w:val="18"/>
          <w:color w:val="auto"/>
        </w:rPr>
      </w:pPr>
    </w:p>
    <w:p>
      <w:pPr>
        <w:jc w:val="both"/>
        <w:ind w:firstLine="1952"/>
        <w:spacing w:after="0" w:line="261" w:lineRule="auto"/>
        <w:tabs>
          <w:tab w:leader="none" w:pos="2172"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Securities</w:t>
      </w:r>
      <w:r>
        <w:rPr>
          <w:rFonts w:ascii="Arial" w:cs="Arial" w:eastAsia="Arial" w:hAnsi="Arial"/>
          <w:sz w:val="18"/>
          <w:szCs w:val="18"/>
          <w:color w:val="auto"/>
        </w:rPr>
        <w:t>” means any capital stock or other security of the Company or any of its subsidiaries (other than Options) that is at any time and under any circumstances directly or indirectly convertible into, exercisable or exchangeable for, or which otherwise entitles the holder thereof to acquire, any capital stock or other security of the Company (including, without limitation, shares of Common Stock) or any of its subsidiaries.</w:t>
      </w:r>
    </w:p>
    <w:p>
      <w:pPr>
        <w:spacing w:after="0" w:line="179" w:lineRule="exact"/>
        <w:rPr>
          <w:rFonts w:ascii="Arial" w:cs="Arial" w:eastAsia="Arial" w:hAnsi="Arial"/>
          <w:sz w:val="18"/>
          <w:szCs w:val="18"/>
          <w:color w:val="auto"/>
        </w:rPr>
      </w:pPr>
    </w:p>
    <w:p>
      <w:pPr>
        <w:jc w:val="both"/>
        <w:ind w:firstLine="1952"/>
        <w:spacing w:after="0" w:line="274" w:lineRule="auto"/>
        <w:tabs>
          <w:tab w:leader="none" w:pos="2199" w:val="left"/>
        </w:tabs>
        <w:numPr>
          <w:ilvl w:val="0"/>
          <w:numId w:val="2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Daily VWAP</w:t>
      </w:r>
      <w:r>
        <w:rPr>
          <w:rFonts w:ascii="Arial" w:cs="Arial" w:eastAsia="Arial" w:hAnsi="Arial"/>
          <w:sz w:val="17"/>
          <w:szCs w:val="17"/>
          <w:color w:val="auto"/>
        </w:rPr>
        <w:t>” means, for any VWAP Trading Day, the per share volume-weighted average price of the Common Stock as displayed under the heading “Bloomberg VWAP” on Bloomberg page “AGFY &lt;EQUITY&gt; VAP” (or, if such page is not available, its equivalent successor page) in respect of the period from the scheduled open of trading until the scheduled close of trading of the primary trading session on such VWAP Trading Day (or, if such volume-weighted average price is unavailable, the market value of one share of Common Stock on such VWAP Trading Day, determined, using a volume-weighted average price method, by a nationally recognized independent investment banking firm selected by the Company). The Daily VWAP will be determined without regard to after-hours trading or any other trading outside of the regular trading session.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ind w:firstLine="1952"/>
        <w:spacing w:after="0" w:line="282" w:lineRule="auto"/>
        <w:tabs>
          <w:tab w:leader="none" w:pos="2172"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Nasdaq Capital Market, the NYSE American LLC, The Nasdaq Global Select Market, The Nasdaq Global Market or The New York Stock Exchange, Inc.</w:t>
      </w:r>
    </w:p>
    <w:p>
      <w:pPr>
        <w:spacing w:after="0" w:line="161" w:lineRule="exact"/>
        <w:rPr>
          <w:rFonts w:ascii="Arial" w:cs="Arial" w:eastAsia="Arial" w:hAnsi="Arial"/>
          <w:sz w:val="18"/>
          <w:szCs w:val="18"/>
          <w:color w:val="auto"/>
        </w:rPr>
      </w:pPr>
    </w:p>
    <w:p>
      <w:pPr>
        <w:ind w:firstLine="1952"/>
        <w:spacing w:after="0" w:line="282" w:lineRule="auto"/>
        <w:tabs>
          <w:tab w:leader="none" w:pos="2249"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Expiration Date</w:t>
      </w:r>
      <w:r>
        <w:rPr>
          <w:rFonts w:ascii="Arial" w:cs="Arial" w:eastAsia="Arial" w:hAnsi="Arial"/>
          <w:sz w:val="18"/>
          <w:szCs w:val="18"/>
          <w:color w:val="auto"/>
        </w:rPr>
        <w:t>” means the date that is five (5) years after the Issuance Date or, if such date falls on a day other than a Business Day or on which trading does not take place on the Principal Market (a “</w:t>
      </w:r>
      <w:r>
        <w:rPr>
          <w:rFonts w:ascii="Arial" w:cs="Arial" w:eastAsia="Arial" w:hAnsi="Arial"/>
          <w:sz w:val="18"/>
          <w:szCs w:val="18"/>
          <w:b w:val="1"/>
          <w:bCs w:val="1"/>
          <w:color w:val="auto"/>
        </w:rPr>
        <w:t>Holiday</w:t>
      </w:r>
      <w:r>
        <w:rPr>
          <w:rFonts w:ascii="Arial" w:cs="Arial" w:eastAsia="Arial" w:hAnsi="Arial"/>
          <w:sz w:val="18"/>
          <w:szCs w:val="18"/>
          <w:color w:val="auto"/>
        </w:rPr>
        <w:t>”), the next day that is not a Holiday.</w:t>
      </w:r>
    </w:p>
    <w:p>
      <w:pPr>
        <w:spacing w:after="0" w:line="161" w:lineRule="exact"/>
        <w:rPr>
          <w:rFonts w:ascii="Arial" w:cs="Arial" w:eastAsia="Arial" w:hAnsi="Arial"/>
          <w:sz w:val="18"/>
          <w:szCs w:val="18"/>
          <w:color w:val="auto"/>
        </w:rPr>
      </w:pPr>
    </w:p>
    <w:p>
      <w:pPr>
        <w:jc w:val="both"/>
        <w:ind w:firstLine="1952"/>
        <w:spacing w:after="0" w:line="284" w:lineRule="auto"/>
        <w:tabs>
          <w:tab w:leader="none" w:pos="2226" w:val="left"/>
        </w:tabs>
        <w:numPr>
          <w:ilvl w:val="0"/>
          <w:numId w:val="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Transaction</w:t>
      </w:r>
      <w:r>
        <w:rPr>
          <w:rFonts w:ascii="Arial" w:cs="Arial" w:eastAsia="Arial" w:hAnsi="Arial"/>
          <w:sz w:val="16"/>
          <w:szCs w:val="16"/>
          <w:color w:val="auto"/>
        </w:rPr>
        <w:t>” means (A) that the Company shall, directly or indirectly, including through subsidiaries, Affiliates or otherwise, in one or more related transactions, (i) consolidate or merge with or into (whether or not the Company is the surviving corporation) another Subject Entity, (ii) sell, assign, transfer, convey or otherwise dispose of all or substantially all of the properties or assets of the Company or any of its “significant subsidiaries” (as defined in Rule 1-02 of Regulation S-X) to one or more Subject Entities, (iii) make, or allow one or more Subject Entities to make, or allow the Company to be subject to or have its shares of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1934 Act) of at least 50% of the outstanding shares of Common Stock, (iv) consummate a stock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1934 Act) of at least 50% of the outstanding shares of Common Stock, or (v) reorganize, recapitalize or reclassify its shares of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1934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shares of Common Stock, (y) at least 50% of the aggregate ordinary voting power represented by issued and outstanding shares of Common Stock not held by all such Subject Entities as of the Subscription Date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ind w:left="2200" w:hanging="248"/>
        <w:spacing w:after="0"/>
        <w:tabs>
          <w:tab w:leader="none" w:pos="22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Group</w:t>
      </w:r>
      <w:r>
        <w:rPr>
          <w:rFonts w:ascii="Arial" w:cs="Arial" w:eastAsia="Arial" w:hAnsi="Arial"/>
          <w:sz w:val="17"/>
          <w:szCs w:val="17"/>
          <w:color w:val="auto"/>
        </w:rPr>
        <w:t>” means a “group” as that term is used in Section 13(d) of the 1934 Act and as defined in Rule 13d-5 thereunder.</w:t>
      </w:r>
    </w:p>
    <w:p>
      <w:pPr>
        <w:spacing w:after="0" w:line="236" w:lineRule="exact"/>
        <w:rPr>
          <w:rFonts w:ascii="Arial" w:cs="Arial" w:eastAsia="Arial" w:hAnsi="Arial"/>
          <w:sz w:val="17"/>
          <w:szCs w:val="17"/>
          <w:color w:val="auto"/>
        </w:rPr>
      </w:pPr>
    </w:p>
    <w:p>
      <w:pPr>
        <w:ind w:left="2240" w:hanging="288"/>
        <w:spacing w:after="0"/>
        <w:tabs>
          <w:tab w:leader="none" w:pos="22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Options</w:t>
      </w:r>
      <w:r>
        <w:rPr>
          <w:rFonts w:ascii="Arial" w:cs="Arial" w:eastAsia="Arial" w:hAnsi="Arial"/>
          <w:sz w:val="17"/>
          <w:szCs w:val="17"/>
          <w:color w:val="auto"/>
        </w:rPr>
        <w:t>” means any rights, warrants or options to subscribe for or purchase shares of Common Stock or Convertible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Securities.</w:t>
      </w:r>
    </w:p>
    <w:p>
      <w:pPr>
        <w:spacing w:after="0" w:line="207" w:lineRule="exact"/>
        <w:rPr>
          <w:sz w:val="20"/>
          <w:szCs w:val="20"/>
          <w:color w:val="auto"/>
        </w:rPr>
      </w:pPr>
    </w:p>
    <w:p>
      <w:pPr>
        <w:jc w:val="both"/>
        <w:ind w:right="20" w:firstLine="1952"/>
        <w:spacing w:after="0" w:line="258" w:lineRule="auto"/>
        <w:tabs>
          <w:tab w:leader="none" w:pos="2199" w:val="left"/>
        </w:tabs>
        <w:numPr>
          <w:ilvl w:val="1"/>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Entity</w:t>
      </w:r>
      <w:r>
        <w:rPr>
          <w:rFonts w:ascii="Arial" w:cs="Arial" w:eastAsia="Arial" w:hAnsi="Arial"/>
          <w:sz w:val="18"/>
          <w:szCs w:val="18"/>
          <w:color w:val="auto"/>
        </w:rPr>
        <w:t>” of a Person means an entity that, directly or indirectly, controls the applicable Person, including such entity whose common stock or equivalent equity security is quoted or listed on an Eligible Market (or, if so elected by the Holder, any other market, exchange or quotation system), or, if there is more than one such Person or such entity, the Person or such entity designated by the Holder or in the absence of such designation, such Person or entity with the largest public market capitalization as of the date of consummation of the Fundamental Transaction or Change of Control.</w:t>
      </w:r>
    </w:p>
    <w:p>
      <w:pPr>
        <w:spacing w:after="0" w:line="183" w:lineRule="exact"/>
        <w:rPr>
          <w:rFonts w:ascii="Arial" w:cs="Arial" w:eastAsia="Arial" w:hAnsi="Arial"/>
          <w:sz w:val="18"/>
          <w:szCs w:val="18"/>
          <w:color w:val="auto"/>
        </w:rPr>
      </w:pPr>
    </w:p>
    <w:p>
      <w:pPr>
        <w:ind w:firstLine="1952"/>
        <w:spacing w:after="0" w:line="282" w:lineRule="auto"/>
        <w:tabs>
          <w:tab w:leader="none" w:pos="2209" w:val="left"/>
        </w:tabs>
        <w:numPr>
          <w:ilvl w:val="1"/>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any other entity and a government or any department or agency thereof.</w:t>
      </w:r>
    </w:p>
    <w:p>
      <w:pPr>
        <w:spacing w:after="0" w:line="161" w:lineRule="exact"/>
        <w:rPr>
          <w:rFonts w:ascii="Arial" w:cs="Arial" w:eastAsia="Arial" w:hAnsi="Arial"/>
          <w:sz w:val="18"/>
          <w:szCs w:val="18"/>
          <w:color w:val="auto"/>
        </w:rPr>
      </w:pPr>
    </w:p>
    <w:p>
      <w:pPr>
        <w:ind w:left="2180" w:hanging="228"/>
        <w:spacing w:after="0"/>
        <w:tabs>
          <w:tab w:leader="none" w:pos="21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Nasdaq Capital Market.</w:t>
      </w:r>
    </w:p>
    <w:p>
      <w:pPr>
        <w:spacing w:after="0" w:line="225" w:lineRule="exact"/>
        <w:rPr>
          <w:rFonts w:ascii="Arial" w:cs="Arial" w:eastAsia="Arial" w:hAnsi="Arial"/>
          <w:sz w:val="18"/>
          <w:szCs w:val="18"/>
          <w:color w:val="auto"/>
        </w:rPr>
      </w:pPr>
    </w:p>
    <w:p>
      <w:pPr>
        <w:jc w:val="both"/>
        <w:ind w:firstLine="1952"/>
        <w:spacing w:after="0" w:line="266" w:lineRule="auto"/>
        <w:tabs>
          <w:tab w:leader="none" w:pos="2186" w:val="left"/>
        </w:tabs>
        <w:numPr>
          <w:ilvl w:val="1"/>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“Standard Settlement Period” </w:t>
      </w:r>
      <w:r>
        <w:rPr>
          <w:rFonts w:ascii="Arial" w:cs="Arial" w:eastAsia="Arial" w:hAnsi="Arial"/>
          <w:sz w:val="18"/>
          <w:szCs w:val="18"/>
          <w:color w:val="auto"/>
        </w:rPr>
        <w:t>means the standard settlement period, expressed in a number of Trading Days,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primary trading market or quotation system with respect to the Common Stock that is in effect on the date of receipt of an applicable Exercise Notice.</w:t>
      </w:r>
    </w:p>
    <w:p>
      <w:pPr>
        <w:spacing w:after="0" w:line="175" w:lineRule="exact"/>
        <w:rPr>
          <w:rFonts w:ascii="Arial" w:cs="Arial" w:eastAsia="Arial" w:hAnsi="Arial"/>
          <w:sz w:val="18"/>
          <w:szCs w:val="18"/>
          <w:color w:val="auto"/>
        </w:rPr>
      </w:pPr>
    </w:p>
    <w:p>
      <w:pPr>
        <w:ind w:left="2200" w:hanging="248"/>
        <w:spacing w:after="0"/>
        <w:tabs>
          <w:tab w:leader="none" w:pos="22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Subject Entity</w:t>
      </w:r>
      <w:r>
        <w:rPr>
          <w:rFonts w:ascii="Arial" w:cs="Arial" w:eastAsia="Arial" w:hAnsi="Arial"/>
          <w:sz w:val="16"/>
          <w:szCs w:val="16"/>
          <w:color w:val="auto"/>
        </w:rPr>
        <w:t>” means any Person, Persons or Group or any Affiliate or associate of any such Person, Persons or Group.</w:t>
      </w:r>
    </w:p>
    <w:p>
      <w:pPr>
        <w:spacing w:after="0" w:line="248" w:lineRule="exact"/>
        <w:rPr>
          <w:rFonts w:ascii="Arial" w:cs="Arial" w:eastAsia="Arial" w:hAnsi="Arial"/>
          <w:sz w:val="16"/>
          <w:szCs w:val="16"/>
          <w:color w:val="auto"/>
        </w:rPr>
      </w:pPr>
    </w:p>
    <w:p>
      <w:pPr>
        <w:jc w:val="both"/>
        <w:ind w:firstLine="1952"/>
        <w:spacing w:after="0" w:line="293" w:lineRule="auto"/>
        <w:tabs>
          <w:tab w:leader="none" w:pos="2199" w:val="left"/>
        </w:tabs>
        <w:numPr>
          <w:ilvl w:val="1"/>
          <w:numId w:val="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Subsequent Equity Event</w:t>
      </w:r>
      <w:r>
        <w:rPr>
          <w:rFonts w:ascii="Arial" w:cs="Arial" w:eastAsia="Arial" w:hAnsi="Arial"/>
          <w:sz w:val="16"/>
          <w:szCs w:val="16"/>
          <w:color w:val="auto"/>
        </w:rPr>
        <w:t>” means (i) each offering or issuance by the Company of any equity or equity-linked securities (including by (x) exercise or conversion of any outstanding security or by an exchange of any outstanding securities for equity or equity-linked securities or</w:t>
      </w:r>
    </w:p>
    <w:p>
      <w:pPr>
        <w:spacing w:after="0" w:line="1" w:lineRule="exact"/>
        <w:rPr>
          <w:rFonts w:ascii="Arial" w:cs="Arial" w:eastAsia="Arial" w:hAnsi="Arial"/>
          <w:sz w:val="16"/>
          <w:szCs w:val="16"/>
          <w:color w:val="auto"/>
        </w:rPr>
      </w:pPr>
    </w:p>
    <w:p>
      <w:pPr>
        <w:jc w:val="both"/>
        <w:ind w:firstLine="8"/>
        <w:spacing w:after="0" w:line="270" w:lineRule="auto"/>
        <w:tabs>
          <w:tab w:leader="none" w:pos="275" w:val="left"/>
        </w:tabs>
        <w:numPr>
          <w:ilvl w:val="0"/>
          <w:numId w:val="26"/>
        </w:numPr>
        <w:rPr>
          <w:rFonts w:ascii="Arial" w:cs="Arial" w:eastAsia="Arial" w:hAnsi="Arial"/>
          <w:sz w:val="17"/>
          <w:szCs w:val="17"/>
          <w:color w:val="auto"/>
        </w:rPr>
      </w:pPr>
      <w:r>
        <w:rPr>
          <w:rFonts w:ascii="Arial" w:cs="Arial" w:eastAsia="Arial" w:hAnsi="Arial"/>
          <w:sz w:val="17"/>
          <w:szCs w:val="17"/>
          <w:color w:val="auto"/>
        </w:rPr>
        <w:t>by any amendment, modification or change to any security that makes convertible a previously non-convertible security) to the Company’s current Chief Executive Officer (as of the date hereof) and/or his Affiliates or any Person acting in coordination or concert with the Company’s current Chief Executive Officer (as of the date hereof) and/or his Affiliates and (ii) any amendment, modification or change to any equity or equity-linked securities held by the Company’s current Chief Executive Officer (as of the date hereof) and/or his Affiliates or any Person acting in coordination or concert with the Company’s current Chief Executive Officer (as of the date hereof), that increases the number of shares of Common Stock underlying such securities or decreases the exercise price, exchange price or conversion price of such securities.</w:t>
      </w:r>
    </w:p>
    <w:p>
      <w:pPr>
        <w:spacing w:after="0" w:line="174" w:lineRule="exact"/>
        <w:rPr>
          <w:rFonts w:ascii="Arial" w:cs="Arial" w:eastAsia="Arial" w:hAnsi="Arial"/>
          <w:sz w:val="17"/>
          <w:szCs w:val="17"/>
          <w:color w:val="auto"/>
        </w:rPr>
      </w:pPr>
    </w:p>
    <w:p>
      <w:pPr>
        <w:jc w:val="both"/>
        <w:ind w:firstLine="1952"/>
        <w:spacing w:after="0" w:line="289" w:lineRule="auto"/>
        <w:tabs>
          <w:tab w:leader="none" w:pos="2239" w:val="left"/>
        </w:tabs>
        <w:numPr>
          <w:ilvl w:val="1"/>
          <w:numId w:val="2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Successor Entity</w:t>
      </w:r>
      <w:r>
        <w:rPr>
          <w:rFonts w:ascii="Arial" w:cs="Arial" w:eastAsia="Arial" w:hAnsi="Arial"/>
          <w:sz w:val="17"/>
          <w:szCs w:val="17"/>
          <w:color w:val="auto"/>
        </w:rPr>
        <w:t>” means one or more Person or Persons (or, if so elected by the Holder, the Company or Parent Entity) formed by, resulting from or surviving any Fundamental Transaction or Change of Control or one or more Person or Persons (or, if so elected by the Holder, the Company or the Parent Entity) with which such Fundamental Transaction or Change of Control shall have been entered into.</w:t>
      </w:r>
    </w:p>
    <w:p>
      <w:pPr>
        <w:spacing w:after="0" w:line="157" w:lineRule="exact"/>
        <w:rPr>
          <w:rFonts w:ascii="Arial" w:cs="Arial" w:eastAsia="Arial" w:hAnsi="Arial"/>
          <w:sz w:val="17"/>
          <w:szCs w:val="17"/>
          <w:color w:val="auto"/>
        </w:rPr>
      </w:pPr>
    </w:p>
    <w:p>
      <w:pPr>
        <w:jc w:val="both"/>
        <w:ind w:firstLine="1952"/>
        <w:spacing w:after="0" w:line="266" w:lineRule="auto"/>
        <w:tabs>
          <w:tab w:leader="none" w:pos="2199" w:val="left"/>
        </w:tabs>
        <w:numPr>
          <w:ilvl w:val="1"/>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means any day on which the Common Stock is traded on the Principal Market, or, if the Principal Market is not the principal trading market for the Common Stock, then on the principal securities exchange or securities market on which the Common Stock is then traded.</w:t>
      </w:r>
    </w:p>
    <w:p>
      <w:pPr>
        <w:spacing w:after="0" w:line="175" w:lineRule="exact"/>
        <w:rPr>
          <w:rFonts w:ascii="Arial" w:cs="Arial" w:eastAsia="Arial" w:hAnsi="Arial"/>
          <w:sz w:val="18"/>
          <w:szCs w:val="18"/>
          <w:color w:val="auto"/>
        </w:rPr>
      </w:pPr>
    </w:p>
    <w:p>
      <w:pPr>
        <w:ind w:firstLine="1952"/>
        <w:spacing w:after="0" w:line="282" w:lineRule="auto"/>
        <w:tabs>
          <w:tab w:leader="none" w:pos="2199" w:val="left"/>
        </w:tabs>
        <w:numPr>
          <w:ilvl w:val="1"/>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Documents</w:t>
      </w:r>
      <w:r>
        <w:rPr>
          <w:rFonts w:ascii="Arial" w:cs="Arial" w:eastAsia="Arial" w:hAnsi="Arial"/>
          <w:sz w:val="18"/>
          <w:szCs w:val="18"/>
          <w:color w:val="auto"/>
        </w:rPr>
        <w:t>” means any agreement entered into by and between the Company and the Holder, as applicable, in connection with or pursuant to this Warrant.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ind w:firstLine="1952"/>
        <w:spacing w:after="0" w:line="294" w:lineRule="auto"/>
        <w:tabs>
          <w:tab w:leader="none" w:pos="2216" w:val="left"/>
        </w:tabs>
        <w:numPr>
          <w:ilvl w:val="0"/>
          <w:numId w:val="2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VWAP Market Disruption Event</w:t>
      </w:r>
      <w:r>
        <w:rPr>
          <w:rFonts w:ascii="Arial" w:cs="Arial" w:eastAsia="Arial" w:hAnsi="Arial"/>
          <w:sz w:val="16"/>
          <w:szCs w:val="16"/>
          <w:color w:val="auto"/>
        </w:rPr>
        <w:t>” means, with respect to any date, (A) the failure by the principal U.S. national or regional securities exchange on which the Common Stock is then listed, or, if the Common Stock is not then listed on a U.S. national or regional securities exchange, the principal other market on which the Common Stock is then traded, to open for trading during its regular trading session on such date; or (B) the occurrence or existence, for more than one half hour period in the aggregate, of any suspension or limitation imposed on trading (by reason of movements in price exceeding limits permitted by the relevant exchange or otherwise) in the Common Stock or in any options contracts or futures contracts relating to the Common Stock, and such suspension or limitation occurs or exists at any time before 1:00 p.m., New York City time, on such date.</w:t>
      </w:r>
    </w:p>
    <w:p>
      <w:pPr>
        <w:spacing w:after="0" w:line="160" w:lineRule="exact"/>
        <w:rPr>
          <w:sz w:val="20"/>
          <w:szCs w:val="20"/>
          <w:color w:val="auto"/>
        </w:rPr>
      </w:pPr>
    </w:p>
    <w:p>
      <w:pPr>
        <w:jc w:val="both"/>
        <w:ind w:firstLine="1952"/>
        <w:spacing w:after="0" w:line="277" w:lineRule="auto"/>
        <w:tabs>
          <w:tab w:leader="none" w:pos="2269" w:val="left"/>
        </w:tabs>
        <w:numPr>
          <w:ilvl w:val="0"/>
          <w:numId w:val="2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VWAP Trading Day</w:t>
      </w:r>
      <w:r>
        <w:rPr>
          <w:rFonts w:ascii="Arial" w:cs="Arial" w:eastAsia="Arial" w:hAnsi="Arial"/>
          <w:sz w:val="17"/>
          <w:szCs w:val="17"/>
          <w:color w:val="auto"/>
        </w:rPr>
        <w:t>” means a day on which (A) there is no VWAP Market Disruption Event; provided that the Holder, by notice to the Company, may waive any such VWAP Market Disruption Event; and (B)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If the Common Stock is not so listed or traded, then “VWAP Trading Day” means a Business Day.</w:t>
      </w:r>
    </w:p>
    <w:p>
      <w:pPr>
        <w:spacing w:after="0" w:line="167" w:lineRule="exact"/>
        <w:rPr>
          <w:rFonts w:ascii="Arial" w:cs="Arial" w:eastAsia="Arial" w:hAnsi="Arial"/>
          <w:sz w:val="17"/>
          <w:szCs w:val="17"/>
          <w:color w:val="auto"/>
        </w:rPr>
      </w:pPr>
    </w:p>
    <w:p>
      <w:pPr>
        <w:jc w:val="both"/>
        <w:ind w:firstLine="1952"/>
        <w:spacing w:after="0" w:line="268" w:lineRule="auto"/>
        <w:tabs>
          <w:tab w:leader="none" w:pos="2302" w:val="left"/>
        </w:tabs>
        <w:numPr>
          <w:ilvl w:val="0"/>
          <w:numId w:val="2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Weighted Average Price</w:t>
      </w:r>
      <w:r>
        <w:rPr>
          <w:rFonts w:ascii="Arial" w:cs="Arial" w:eastAsia="Arial" w:hAnsi="Arial"/>
          <w:sz w:val="17"/>
          <w:szCs w:val="17"/>
          <w:color w:val="auto"/>
        </w:rPr>
        <w:t xml:space="preserve">” means, for any security as of any date, the dollar volume-weighted average price for such security on the Principal Market during the period beginning at 9:30:01 a.m., New York time (or such other time as the Principal Market publicly announces is the official open of trading), and ending at 4:00:00 p.m., New York time (or such other time as the Principal Market publicly announces is the official close of trading),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(or such other time as such market publicly announces is the official open of trading), and ending at 4:00:00 p.m., New York time (or such other time as such market publicly announces is the official close of trading), as reported by Bloomberg, or, if no dollar volume-weighted average price is reported for such security by Bloomberg for such hours, the average of the highest closing bid price and the lowest closing ask price of any of the market makers for such security as reported in the OTC Link or “pink sheets” by OTC Markets Group Inc. (formerly Pink OTC Markets Inc.). If the Weighted Average Price cannot be calculated for a security on a particular date on any of the foregoing bases, the Weighted Average Price of such security on such date shall be the fair market value as mutually determined by the Company and the Holder. If the Company and the Holder are unable to agree upon the fair market value of such security, then such dispute shall be resolved pursuant to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with the term “Weighted Average Price” being substituted for the term “Exercise Price.” All such determinations shall be appropriately adjusted for any stock dividend, stock split, stock combination, reclassification or other similar transaction during the applicable calculation period.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ind w:left="66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Company has caused this Warrant to Purchase Common Stock to be duly executed as of the Issuance Date set out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07"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AGRIFY CORPORATION</w:t>
      </w:r>
    </w:p>
    <w:p>
      <w:pPr>
        <w:spacing w:after="0" w:line="229" w:lineRule="exact"/>
        <w:rPr>
          <w:sz w:val="20"/>
          <w:szCs w:val="20"/>
          <w:color w:val="auto"/>
        </w:rPr>
      </w:pPr>
    </w:p>
    <w:p>
      <w:pPr>
        <w:ind w:left="6980"/>
        <w:spacing w:after="0"/>
        <w:tabs>
          <w:tab w:leader="none" w:pos="7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23495</wp:posOffset>
            </wp:positionV>
            <wp:extent cx="23488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348865" cy="17145"/>
                    </a:xfrm>
                    <a:prstGeom prst="rect">
                      <a:avLst/>
                    </a:prstGeom>
                    <a:noFill/>
                  </pic:spPr>
                </pic:pic>
              </a:graphicData>
            </a:graphic>
          </wp:anchor>
        </w:drawing>
      </w:r>
    </w:p>
    <w:p>
      <w:pPr>
        <w:spacing w:after="0" w:line="3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Raymond Chang</w:t>
      </w:r>
    </w:p>
    <w:p>
      <w:pPr>
        <w:spacing w:after="0" w:line="23" w:lineRule="exact"/>
        <w:rPr>
          <w:sz w:val="20"/>
          <w:szCs w:val="20"/>
          <w:color w:val="auto"/>
        </w:rPr>
      </w:pPr>
    </w:p>
    <w:p>
      <w:pPr>
        <w:ind w:left="6980"/>
        <w:spacing w:after="0"/>
        <w:tabs>
          <w:tab w:leader="none" w:pos="7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NOTICE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EXECUTED BY THE REGISTERED HOLDER TO EXERCISE THIS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COMMON STOCK</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undersigned holder hereby exercises the right to purchase _________________ shares of Common Stock (“</w:t>
      </w:r>
      <w:r>
        <w:rPr>
          <w:rFonts w:ascii="Arial" w:cs="Arial" w:eastAsia="Arial" w:hAnsi="Arial"/>
          <w:sz w:val="17"/>
          <w:szCs w:val="17"/>
          <w:b w:val="1"/>
          <w:bCs w:val="1"/>
          <w:color w:val="auto"/>
        </w:rPr>
        <w:t>Warrant Shares</w:t>
      </w:r>
      <w:r>
        <w:rPr>
          <w:rFonts w:ascii="Arial" w:cs="Arial" w:eastAsia="Arial" w:hAnsi="Arial"/>
          <w:sz w:val="17"/>
          <w:szCs w:val="17"/>
          <w:color w:val="auto"/>
        </w:rPr>
        <w:t>”) of Agrify</w:t>
      </w:r>
    </w:p>
    <w:p>
      <w:pPr>
        <w:spacing w:after="0" w:line="39"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Corporation, a corporation organized under the laws of Delaware (the “</w:t>
      </w:r>
      <w:r>
        <w:rPr>
          <w:rFonts w:ascii="Arial" w:cs="Arial" w:eastAsia="Arial" w:hAnsi="Arial"/>
          <w:sz w:val="17"/>
          <w:szCs w:val="17"/>
          <w:b w:val="1"/>
          <w:bCs w:val="1"/>
          <w:color w:val="auto"/>
        </w:rPr>
        <w:t>Company</w:t>
      </w:r>
      <w:r>
        <w:rPr>
          <w:rFonts w:ascii="Arial" w:cs="Arial" w:eastAsia="Arial" w:hAnsi="Arial"/>
          <w:sz w:val="17"/>
          <w:szCs w:val="17"/>
          <w:color w:val="auto"/>
        </w:rPr>
        <w:t>”), evidenced by the attached Warrant to Purchase Common Stock (the “</w:t>
      </w:r>
      <w:r>
        <w:rPr>
          <w:rFonts w:ascii="Arial" w:cs="Arial" w:eastAsia="Arial" w:hAnsi="Arial"/>
          <w:sz w:val="17"/>
          <w:szCs w:val="17"/>
          <w:b w:val="1"/>
          <w:bCs w:val="1"/>
          <w:color w:val="auto"/>
        </w:rPr>
        <w:t>Warrant</w:t>
      </w:r>
      <w:r>
        <w:rPr>
          <w:rFonts w:ascii="Arial" w:cs="Arial" w:eastAsia="Arial" w:hAnsi="Arial"/>
          <w:sz w:val="17"/>
          <w:szCs w:val="17"/>
          <w:color w:val="auto"/>
        </w:rPr>
        <w:t>”). Capitalized terms used herein and not otherwise defined shall have the respective meanings set forth in the Warrant.</w:t>
      </w:r>
    </w:p>
    <w:p>
      <w:pPr>
        <w:spacing w:after="0" w:line="161" w:lineRule="exact"/>
        <w:rPr>
          <w:sz w:val="20"/>
          <w:szCs w:val="20"/>
          <w:color w:val="auto"/>
        </w:rPr>
      </w:pPr>
    </w:p>
    <w:p>
      <w:pPr>
        <w:ind w:left="840" w:hanging="184"/>
        <w:spacing w:after="0"/>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Form of Exercise Price. The Holder intends that payment of the Exercise Price shall be made as:</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____________ a “</w:t>
      </w:r>
      <w:r>
        <w:rPr>
          <w:rFonts w:ascii="Arial" w:cs="Arial" w:eastAsia="Arial" w:hAnsi="Arial"/>
          <w:sz w:val="18"/>
          <w:szCs w:val="18"/>
          <w:u w:val="single" w:color="auto"/>
          <w:color w:val="auto"/>
        </w:rPr>
        <w:t>Cash Exercise”</w:t>
      </w:r>
      <w:r>
        <w:rPr>
          <w:rFonts w:ascii="Arial" w:cs="Arial" w:eastAsia="Arial" w:hAnsi="Arial"/>
          <w:sz w:val="18"/>
          <w:szCs w:val="18"/>
          <w:color w:val="auto"/>
        </w:rPr>
        <w:t xml:space="preserve"> with respect to _________________ Warrant Shares; and/or</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 xml:space="preserve">____________ a </w:t>
      </w:r>
      <w:r>
        <w:rPr>
          <w:rFonts w:ascii="Arial" w:cs="Arial" w:eastAsia="Arial" w:hAnsi="Arial"/>
          <w:sz w:val="18"/>
          <w:szCs w:val="18"/>
          <w:u w:val="single" w:color="auto"/>
          <w:color w:val="auto"/>
        </w:rPr>
        <w:t>“Cashless Exercise”</w:t>
      </w:r>
      <w:r>
        <w:rPr>
          <w:rFonts w:ascii="Arial" w:cs="Arial" w:eastAsia="Arial" w:hAnsi="Arial"/>
          <w:sz w:val="18"/>
          <w:szCs w:val="18"/>
          <w:color w:val="auto"/>
        </w:rPr>
        <w:t xml:space="preserve"> with respect to _______________ Warrant Shares.</w:t>
      </w:r>
    </w:p>
    <w:p>
      <w:pPr>
        <w:spacing w:after="0" w:line="225" w:lineRule="exact"/>
        <w:rPr>
          <w:rFonts w:ascii="Arial" w:cs="Arial" w:eastAsia="Arial" w:hAnsi="Arial"/>
          <w:sz w:val="18"/>
          <w:szCs w:val="18"/>
          <w:color w:val="auto"/>
        </w:rPr>
      </w:pPr>
    </w:p>
    <w:p>
      <w:pPr>
        <w:jc w:val="both"/>
        <w:ind w:firstLine="656"/>
        <w:spacing w:after="0" w:line="263" w:lineRule="auto"/>
        <w:tabs>
          <w:tab w:leader="none" w:pos="846"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Payment of Exercise Price. In the event that the holder has elected a Cash Exercise with respect to some or all of the Warrant Shares to be issued pursuant hereto, the holder shall pay the Aggregate Exercise Price in the sum of $___________________ to the Company in accordance with the terms of the Warrant.</w:t>
      </w:r>
    </w:p>
    <w:p>
      <w:pPr>
        <w:spacing w:after="0" w:line="183" w:lineRule="exact"/>
        <w:rPr>
          <w:rFonts w:ascii="Arial" w:cs="Arial" w:eastAsia="Arial" w:hAnsi="Arial"/>
          <w:sz w:val="18"/>
          <w:szCs w:val="18"/>
          <w:color w:val="auto"/>
        </w:rPr>
      </w:pPr>
    </w:p>
    <w:p>
      <w:pPr>
        <w:ind w:left="840" w:hanging="184"/>
        <w:spacing w:after="0"/>
        <w:tabs>
          <w:tab w:leader="none" w:pos="8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Delivery of Warrant Shares. The Company shall deliver to the holder __________ Warrant Shares in accordance with the terms of the Warrant.</w:t>
      </w:r>
    </w:p>
    <w:p>
      <w:pPr>
        <w:spacing w:after="0" w:line="248" w:lineRule="exact"/>
        <w:rPr>
          <w:rFonts w:ascii="Arial" w:cs="Arial" w:eastAsia="Arial" w:hAnsi="Arial"/>
          <w:sz w:val="16"/>
          <w:szCs w:val="16"/>
          <w:color w:val="auto"/>
        </w:rPr>
      </w:pPr>
    </w:p>
    <w:p>
      <w:pPr>
        <w:jc w:val="both"/>
        <w:ind w:firstLine="656"/>
        <w:spacing w:after="0" w:line="257" w:lineRule="auto"/>
        <w:tabs>
          <w:tab w:leader="none" w:pos="865"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Maximum Percentage Representation. Notwithstanding anything to the contrary contained herein, this Exercise Notice shall constitute a representation by the Holder of the Warrant submitting this Exercise Notice that, after giving effect to the exercise provided for in this Exercise Notice, such Holder (together with the other Attribution Parties) will not have beneficial ownership of a number of shares of Common Stock in excess of the Maximum Percentage of the total outstanding shares of Common Stock of the Company as determined pursuant to the provisions of </w:t>
      </w:r>
      <w:r>
        <w:rPr>
          <w:rFonts w:ascii="Arial" w:cs="Arial" w:eastAsia="Arial" w:hAnsi="Arial"/>
          <w:sz w:val="18"/>
          <w:szCs w:val="18"/>
          <w:u w:val="single" w:color="auto"/>
          <w:color w:val="auto"/>
        </w:rPr>
        <w:t>Section 1(f)</w:t>
      </w:r>
      <w:r>
        <w:rPr>
          <w:rFonts w:ascii="Arial" w:cs="Arial" w:eastAsia="Arial" w:hAnsi="Arial"/>
          <w:sz w:val="18"/>
          <w:szCs w:val="18"/>
          <w:color w:val="auto"/>
        </w:rPr>
        <w:t xml:space="preserve"> of the Warrant.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 __, 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285432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Name of Registered 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ACKNOWLEDGMENT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hereby acknowledges this Exercise Notice and hereby directs Broadridge Corporate Issuer Solutions, Inc. to issue the above indicated number of shares of Common Stock on or prior to the applicable Share Delivery Date.</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AGRIFY CORPORATION</w:t>
      </w:r>
    </w:p>
    <w:p>
      <w:pPr>
        <w:spacing w:after="0" w:line="24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6350</wp:posOffset>
            </wp:positionV>
            <wp:extent cx="249428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8" w:name="page29"/>
    <w:bookmarkEnd w:id="28"/>
    <w:p>
      <w:pPr>
        <w:jc w:val="right"/>
        <w:spacing w:after="0"/>
        <w:rPr>
          <w:sz w:val="20"/>
          <w:szCs w:val="20"/>
          <w:color w:val="auto"/>
        </w:rPr>
      </w:pPr>
      <w:r>
        <w:rPr>
          <w:rFonts w:ascii="Arial" w:cs="Arial" w:eastAsia="Arial" w:hAnsi="Arial"/>
          <w:sz w:val="22"/>
          <w:szCs w:val="22"/>
          <w:b w:val="1"/>
          <w:bCs w:val="1"/>
          <w:color w:val="auto"/>
        </w:rPr>
        <w:t>Exhibit 4.2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WARRANT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Warrant No.: </w:t>
      </w:r>
      <w:r>
        <w:rPr>
          <w:rFonts w:ascii="Arial" w:cs="Arial" w:eastAsia="Arial" w:hAnsi="Arial"/>
          <w:sz w:val="18"/>
          <w:szCs w:val="18"/>
          <w:u w:val="single" w:color="auto"/>
          <w:color w:val="auto"/>
        </w:rPr>
        <w:t>HTCS-5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Common Stock: 375,629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October 27, 2023 (“</w:t>
      </w:r>
      <w:r>
        <w:rPr>
          <w:rFonts w:ascii="Arial" w:cs="Arial" w:eastAsia="Arial" w:hAnsi="Arial"/>
          <w:sz w:val="18"/>
          <w:szCs w:val="18"/>
          <w:b w:val="1"/>
          <w:bCs w:val="1"/>
          <w:color w:val="auto"/>
        </w:rPr>
        <w:t>Issuance Date</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Agrify Corporation, a corporation organized under the laws of Nevada (the “</w:t>
      </w:r>
      <w:r>
        <w:rPr>
          <w:rFonts w:ascii="Arial" w:cs="Arial" w:eastAsia="Arial" w:hAnsi="Arial"/>
          <w:sz w:val="17"/>
          <w:szCs w:val="17"/>
          <w:b w:val="1"/>
          <w:bCs w:val="1"/>
          <w:color w:val="auto"/>
        </w:rPr>
        <w:t>Company</w:t>
      </w:r>
      <w:r>
        <w:rPr>
          <w:rFonts w:ascii="Arial" w:cs="Arial" w:eastAsia="Arial" w:hAnsi="Arial"/>
          <w:sz w:val="17"/>
          <w:szCs w:val="17"/>
          <w:color w:val="auto"/>
        </w:rPr>
        <w:t>”), hereby certifies that, for good and valuable consideration, the receipt and sufficiency of which are hereby acknowledged, High Trail Special Situations LLC, the registered holder hereof or its permitted assigns (the “</w:t>
      </w:r>
      <w:r>
        <w:rPr>
          <w:rFonts w:ascii="Arial" w:cs="Arial" w:eastAsia="Arial" w:hAnsi="Arial"/>
          <w:sz w:val="17"/>
          <w:szCs w:val="17"/>
          <w:b w:val="1"/>
          <w:bCs w:val="1"/>
          <w:color w:val="auto"/>
        </w:rPr>
        <w:t>Holder</w:t>
      </w:r>
      <w:r>
        <w:rPr>
          <w:rFonts w:ascii="Arial" w:cs="Arial" w:eastAsia="Arial" w:hAnsi="Arial"/>
          <w:sz w:val="17"/>
          <w:szCs w:val="17"/>
          <w:color w:val="auto"/>
        </w:rPr>
        <w:t>”), is entitled, subject to the terms set forth below, to purchase from the Company, at the Exercise Price (as defined below) then in effect, at any time or times on or after the Issuance Date (the “</w:t>
      </w:r>
      <w:r>
        <w:rPr>
          <w:rFonts w:ascii="Arial" w:cs="Arial" w:eastAsia="Arial" w:hAnsi="Arial"/>
          <w:sz w:val="17"/>
          <w:szCs w:val="17"/>
          <w:b w:val="1"/>
          <w:bCs w:val="1"/>
          <w:color w:val="auto"/>
        </w:rPr>
        <w:t>Initial Exercisability Date</w:t>
      </w:r>
      <w:r>
        <w:rPr>
          <w:rFonts w:ascii="Arial" w:cs="Arial" w:eastAsia="Arial" w:hAnsi="Arial"/>
          <w:sz w:val="17"/>
          <w:szCs w:val="17"/>
          <w:color w:val="auto"/>
        </w:rPr>
        <w:t>”), but not after 11:59 p.m., New York time, on the Expiration Date (as defined below), three hundred seventy five thousand six hundred twenty nine (375,629) duly authorized, validly issued, fully paid and non-assessable shares of Common Stock (as defined below), subject to adjustment as provided herein (the “</w:t>
      </w:r>
      <w:r>
        <w:rPr>
          <w:rFonts w:ascii="Arial" w:cs="Arial" w:eastAsia="Arial" w:hAnsi="Arial"/>
          <w:sz w:val="17"/>
          <w:szCs w:val="17"/>
          <w:b w:val="1"/>
          <w:bCs w:val="1"/>
          <w:color w:val="auto"/>
        </w:rPr>
        <w:t>Warrant Shares</w:t>
      </w:r>
      <w:r>
        <w:rPr>
          <w:rFonts w:ascii="Arial" w:cs="Arial" w:eastAsia="Arial" w:hAnsi="Arial"/>
          <w:sz w:val="17"/>
          <w:szCs w:val="17"/>
          <w:color w:val="auto"/>
        </w:rPr>
        <w:t>”). Except as otherwise defined herein, capitalized terms in this Warrant to Purchase Common Stock (including any Warrants to Purchase Common Stock issued in exchange, transfer or replacement hereof, this “</w:t>
      </w:r>
      <w:r>
        <w:rPr>
          <w:rFonts w:ascii="Arial" w:cs="Arial" w:eastAsia="Arial" w:hAnsi="Arial"/>
          <w:sz w:val="17"/>
          <w:szCs w:val="17"/>
          <w:b w:val="1"/>
          <w:bCs w:val="1"/>
          <w:color w:val="auto"/>
        </w:rPr>
        <w:t>Warrant</w:t>
      </w:r>
      <w:r>
        <w:rPr>
          <w:rFonts w:ascii="Arial" w:cs="Arial" w:eastAsia="Arial" w:hAnsi="Arial"/>
          <w:sz w:val="17"/>
          <w:szCs w:val="17"/>
          <w:color w:val="auto"/>
        </w:rPr>
        <w:t xml:space="preserve">”), shall have the meanings set forth in </w:t>
      </w:r>
      <w:r>
        <w:rPr>
          <w:rFonts w:ascii="Arial" w:cs="Arial" w:eastAsia="Arial" w:hAnsi="Arial"/>
          <w:sz w:val="17"/>
          <w:szCs w:val="17"/>
          <w:u w:val="single" w:color="auto"/>
          <w:color w:val="auto"/>
        </w:rPr>
        <w:t>Section 19</w:t>
      </w:r>
      <w:r>
        <w:rPr>
          <w:rFonts w:ascii="Arial" w:cs="Arial" w:eastAsia="Arial" w:hAnsi="Arial"/>
          <w:sz w:val="17"/>
          <w:szCs w:val="17"/>
          <w:color w:val="auto"/>
        </w:rPr>
        <w:t>. This Warrant is one of the Warrants to Purchase Common Stock (the “</w:t>
      </w:r>
      <w:r>
        <w:rPr>
          <w:rFonts w:ascii="Arial" w:cs="Arial" w:eastAsia="Arial" w:hAnsi="Arial"/>
          <w:sz w:val="17"/>
          <w:szCs w:val="17"/>
          <w:b w:val="1"/>
          <w:bCs w:val="1"/>
          <w:color w:val="auto"/>
        </w:rPr>
        <w:t>Warrants</w:t>
      </w:r>
      <w:r>
        <w:rPr>
          <w:rFonts w:ascii="Arial" w:cs="Arial" w:eastAsia="Arial" w:hAnsi="Arial"/>
          <w:sz w:val="17"/>
          <w:szCs w:val="17"/>
          <w:color w:val="auto"/>
        </w:rPr>
        <w:t>”) issued pursuant to that certain Letter Agreement re Partial Debt Conversion (the “</w:t>
      </w:r>
      <w:r>
        <w:rPr>
          <w:rFonts w:ascii="Arial" w:cs="Arial" w:eastAsia="Arial" w:hAnsi="Arial"/>
          <w:sz w:val="17"/>
          <w:szCs w:val="17"/>
          <w:b w:val="1"/>
          <w:bCs w:val="1"/>
          <w:color w:val="auto"/>
        </w:rPr>
        <w:t>Letter Agreement</w:t>
      </w:r>
      <w:r>
        <w:rPr>
          <w:rFonts w:ascii="Arial" w:cs="Arial" w:eastAsia="Arial" w:hAnsi="Arial"/>
          <w:sz w:val="17"/>
          <w:szCs w:val="17"/>
          <w:color w:val="auto"/>
        </w:rPr>
        <w:t>”), dated as of October 27, 2023 (the “</w:t>
      </w:r>
      <w:r>
        <w:rPr>
          <w:rFonts w:ascii="Arial" w:cs="Arial" w:eastAsia="Arial" w:hAnsi="Arial"/>
          <w:sz w:val="17"/>
          <w:szCs w:val="17"/>
          <w:b w:val="1"/>
          <w:bCs w:val="1"/>
          <w:color w:val="auto"/>
        </w:rPr>
        <w:t>Subscription Date</w:t>
      </w:r>
      <w:r>
        <w:rPr>
          <w:rFonts w:ascii="Arial" w:cs="Arial" w:eastAsia="Arial" w:hAnsi="Arial"/>
          <w:sz w:val="17"/>
          <w:szCs w:val="17"/>
          <w:color w:val="auto"/>
        </w:rPr>
        <w:t>”) by and among the Company and 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9" w:name="page30"/>
    <w:bookmarkEnd w:id="29"/>
    <w:p>
      <w:pPr>
        <w:ind w:left="1480" w:hanging="176"/>
        <w:spacing w:after="0"/>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EXERCISE OF WARRANT.</w:t>
      </w:r>
    </w:p>
    <w:p>
      <w:pPr>
        <w:spacing w:after="0" w:line="225" w:lineRule="exact"/>
        <w:rPr>
          <w:rFonts w:ascii="Arial" w:cs="Arial" w:eastAsia="Arial" w:hAnsi="Arial"/>
          <w:sz w:val="18"/>
          <w:szCs w:val="18"/>
          <w:color w:val="auto"/>
        </w:rPr>
      </w:pPr>
    </w:p>
    <w:p>
      <w:pPr>
        <w:jc w:val="both"/>
        <w:ind w:firstLine="1952"/>
        <w:spacing w:after="0" w:line="283" w:lineRule="auto"/>
        <w:tabs>
          <w:tab w:leader="none" w:pos="2188" w:val="left"/>
        </w:tabs>
        <w:numPr>
          <w:ilvl w:val="1"/>
          <w:numId w:val="30"/>
        </w:numPr>
        <w:rPr>
          <w:rFonts w:ascii="Arial" w:cs="Arial" w:eastAsia="Arial" w:hAnsi="Arial"/>
          <w:sz w:val="16"/>
          <w:szCs w:val="16"/>
          <w:color w:val="auto"/>
        </w:rPr>
      </w:pPr>
      <w:r>
        <w:rPr>
          <w:rFonts w:ascii="Arial" w:cs="Arial" w:eastAsia="Arial" w:hAnsi="Arial"/>
          <w:sz w:val="16"/>
          <w:szCs w:val="16"/>
          <w:u w:val="single" w:color="auto"/>
          <w:color w:val="auto"/>
        </w:rPr>
        <w:t>Mechanics of Exercise</w:t>
      </w:r>
      <w:r>
        <w:rPr>
          <w:rFonts w:ascii="Arial" w:cs="Arial" w:eastAsia="Arial" w:hAnsi="Arial"/>
          <w:sz w:val="16"/>
          <w:szCs w:val="16"/>
          <w:color w:val="auto"/>
        </w:rPr>
        <w:t xml:space="preserve">. Subject to the terms and conditions hereof (including, without limitation, the limitations set forth in </w:t>
      </w:r>
      <w:r>
        <w:rPr>
          <w:rFonts w:ascii="Arial" w:cs="Arial" w:eastAsia="Arial" w:hAnsi="Arial"/>
          <w:sz w:val="16"/>
          <w:szCs w:val="16"/>
          <w:u w:val="single" w:color="auto"/>
          <w:color w:val="auto"/>
        </w:rPr>
        <w:t>Section 1(f)</w:t>
      </w:r>
      <w:r>
        <w:rPr>
          <w:rFonts w:ascii="Arial" w:cs="Arial" w:eastAsia="Arial" w:hAnsi="Arial"/>
          <w:sz w:val="16"/>
          <w:szCs w:val="16"/>
          <w:color w:val="auto"/>
        </w:rPr>
        <w:t xml:space="preserve">, this Warrant may be exercised by the Holder at any time or times on or after the Initial Exercisability Date, in whole or in part, by delivery (whether via electronic mail or otherwise) of a duly completed and executed written notice,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Exercise</w:t>
      </w:r>
      <w:r>
        <w:rPr>
          <w:rFonts w:ascii="Arial" w:cs="Arial" w:eastAsia="Arial" w:hAnsi="Arial"/>
          <w:sz w:val="16"/>
          <w:szCs w:val="16"/>
          <w:color w:val="auto"/>
        </w:rPr>
        <w:t xml:space="preserve"> </w:t>
      </w:r>
      <w:r>
        <w:rPr>
          <w:rFonts w:ascii="Arial" w:cs="Arial" w:eastAsia="Arial" w:hAnsi="Arial"/>
          <w:sz w:val="16"/>
          <w:szCs w:val="16"/>
          <w:b w:val="1"/>
          <w:bCs w:val="1"/>
          <w:color w:val="auto"/>
        </w:rPr>
        <w:t>Notice</w:t>
      </w:r>
      <w:r>
        <w:rPr>
          <w:rFonts w:ascii="Arial" w:cs="Arial" w:eastAsia="Arial" w:hAnsi="Arial"/>
          <w:sz w:val="16"/>
          <w:szCs w:val="16"/>
          <w:color w:val="auto"/>
        </w:rPr>
        <w:t>”), of the Holder’s election to exercise this Warrant. Unless the Holder elects to conduct a Cashless Exercise (as defined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1(d)</w:t>
      </w:r>
      <w:r>
        <w:rPr>
          <w:rFonts w:ascii="Arial" w:cs="Arial" w:eastAsia="Arial" w:hAnsi="Arial"/>
          <w:sz w:val="16"/>
          <w:szCs w:val="16"/>
          <w:color w:val="auto"/>
        </w:rPr>
        <w:t>)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1(d) hereof,</w:t>
      </w:r>
      <w:r>
        <w:rPr>
          <w:rFonts w:ascii="Arial" w:cs="Arial" w:eastAsia="Arial" w:hAnsi="Arial"/>
          <w:sz w:val="16"/>
          <w:szCs w:val="16"/>
          <w:color w:val="auto"/>
        </w:rPr>
        <w:t xml:space="preserve"> within two (2) Trading Days following the delivery of the Exercise Notice, the Holder shall make payment to the Company of an amount equal to the Exercise Price in effect on the date of such exercise multiplied by the number of Warrant Shares as to which this Warrant is being exercised (the “</w:t>
      </w:r>
      <w:r>
        <w:rPr>
          <w:rFonts w:ascii="Arial" w:cs="Arial" w:eastAsia="Arial" w:hAnsi="Arial"/>
          <w:sz w:val="16"/>
          <w:szCs w:val="16"/>
          <w:b w:val="1"/>
          <w:bCs w:val="1"/>
          <w:color w:val="auto"/>
        </w:rPr>
        <w:t>Aggregate Exercise Price</w:t>
      </w:r>
      <w:r>
        <w:rPr>
          <w:rFonts w:ascii="Arial" w:cs="Arial" w:eastAsia="Arial" w:hAnsi="Arial"/>
          <w:sz w:val="16"/>
          <w:szCs w:val="16"/>
          <w:color w:val="auto"/>
        </w:rPr>
        <w:t xml:space="preserve">”) in cash by wire transfer of immediately available funds. If, however, the provisions of </w:t>
      </w:r>
      <w:r>
        <w:rPr>
          <w:rFonts w:ascii="Arial" w:cs="Arial" w:eastAsia="Arial" w:hAnsi="Arial"/>
          <w:sz w:val="16"/>
          <w:szCs w:val="16"/>
          <w:u w:val="single" w:color="auto"/>
          <w:color w:val="auto"/>
        </w:rPr>
        <w:t>Section 1(d)</w:t>
      </w:r>
      <w:r>
        <w:rPr>
          <w:rFonts w:ascii="Arial" w:cs="Arial" w:eastAsia="Arial" w:hAnsi="Arial"/>
          <w:sz w:val="16"/>
          <w:szCs w:val="16"/>
          <w:color w:val="auto"/>
        </w:rPr>
        <w:t xml:space="preserve"> are elected by the Holder, then the Holder shall instead notify the Company that this Warrant is being exercised pursuant to a Cashless Exercise. The Holder shall not be required to deliver the original Warrant in order to effect an exercise hereunder, nor shall any ink-original signature or medallion guarantee (or other type of guarantee or notarization) with respect to any Exercise Notice be required. Execution and delivery of the Exercise Notice with respect to less than all of the Warrant Shares shall have the same effect as cancellation of the original Warrant and issuance of a new Warrant evidencing the right to purchase the remaining number of Warrant Shares and the Holder shall not be required to physically surrender this Warrant to the Company until the Holder has purchased all of the Warrant Shares available hereunder and this Warrant has been exercised in full, in which case, the Holder shall surrender this Warrant to the Company for cancellation within three (3) Trading Days of the date on which the final Exercise Notice is delivered to the Company. On or before the</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first (1</w:t>
      </w:r>
      <w:r>
        <w:rPr>
          <w:rFonts w:ascii="Arial" w:cs="Arial" w:eastAsia="Arial" w:hAnsi="Arial"/>
          <w:sz w:val="26"/>
          <w:szCs w:val="26"/>
          <w:color w:val="auto"/>
          <w:vertAlign w:val="superscript"/>
        </w:rPr>
        <w:t>st</w:t>
      </w:r>
      <w:r>
        <w:rPr>
          <w:rFonts w:ascii="Arial" w:cs="Arial" w:eastAsia="Arial" w:hAnsi="Arial"/>
          <w:sz w:val="16"/>
          <w:szCs w:val="16"/>
          <w:color w:val="auto"/>
        </w:rPr>
        <w:t>) Trading Day following the date on which the Holder has delivered the applicable Exercise Notice, the Company shall transmit by electronic mail a duly executed and completed acknowledgment of confirmation of receipt of the Exercise Notice, in the form attached to the Exercise Notice, to the Holder and the Company’s transfer agent (the “</w:t>
      </w:r>
      <w:r>
        <w:rPr>
          <w:rFonts w:ascii="Arial" w:cs="Arial" w:eastAsia="Arial" w:hAnsi="Arial"/>
          <w:sz w:val="16"/>
          <w:szCs w:val="16"/>
          <w:b w:val="1"/>
          <w:bCs w:val="1"/>
          <w:color w:val="auto"/>
        </w:rPr>
        <w:t>Transfer Agent</w:t>
      </w:r>
      <w:r>
        <w:rPr>
          <w:rFonts w:ascii="Arial" w:cs="Arial" w:eastAsia="Arial" w:hAnsi="Arial"/>
          <w:sz w:val="16"/>
          <w:szCs w:val="16"/>
          <w:color w:val="auto"/>
        </w:rPr>
        <w:t>”). So long as the Holder delivers the Aggregate Exercise Price (or notice of a Cashless Exercise, if applicable) on or prior to the first (1</w:t>
      </w:r>
      <w:r>
        <w:rPr>
          <w:rFonts w:ascii="Arial" w:cs="Arial" w:eastAsia="Arial" w:hAnsi="Arial"/>
          <w:sz w:val="26"/>
          <w:szCs w:val="26"/>
          <w:color w:val="auto"/>
          <w:vertAlign w:val="superscript"/>
        </w:rPr>
        <w:t>st</w:t>
      </w:r>
      <w:r>
        <w:rPr>
          <w:rFonts w:ascii="Arial" w:cs="Arial" w:eastAsia="Arial" w:hAnsi="Arial"/>
          <w:sz w:val="16"/>
          <w:szCs w:val="16"/>
          <w:color w:val="auto"/>
        </w:rPr>
        <w:t>) Trading Day following the date on which the Exercise Notice has been delivered (or deemed to have</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been delivered) to the Company, then on or prior to the earlier of (i) the second (2</w:t>
      </w:r>
      <w:r>
        <w:rPr>
          <w:rFonts w:ascii="Arial" w:cs="Arial" w:eastAsia="Arial" w:hAnsi="Arial"/>
          <w:sz w:val="26"/>
          <w:szCs w:val="26"/>
          <w:color w:val="auto"/>
          <w:vertAlign w:val="superscript"/>
        </w:rPr>
        <w:t>nd</w:t>
      </w:r>
      <w:r>
        <w:rPr>
          <w:rFonts w:ascii="Arial" w:cs="Arial" w:eastAsia="Arial" w:hAnsi="Arial"/>
          <w:sz w:val="16"/>
          <w:szCs w:val="16"/>
          <w:color w:val="auto"/>
        </w:rPr>
        <w:t>) Trading Day and (ii) the number of Trading Days comprising the Standard Settlement Period, in each case following the date on which the Exercise Notice has been delivered (or deemed to have been delivered) to the</w:t>
      </w:r>
    </w:p>
    <w:p>
      <w:pPr>
        <w:jc w:val="both"/>
        <w:spacing w:after="0" w:line="234" w:lineRule="auto"/>
        <w:rPr>
          <w:sz w:val="20"/>
          <w:szCs w:val="20"/>
          <w:color w:val="auto"/>
        </w:rPr>
      </w:pPr>
      <w:r>
        <w:rPr>
          <w:rFonts w:ascii="Arial" w:cs="Arial" w:eastAsia="Arial" w:hAnsi="Arial"/>
          <w:sz w:val="16"/>
          <w:szCs w:val="16"/>
          <w:color w:val="auto"/>
        </w:rPr>
        <w:t>Company, or, if the Holder does not deliver the Aggregate Exercise Price (or notice of a Cashless Exercise, if applicable) on or prior to the first (1</w:t>
      </w:r>
      <w:r>
        <w:rPr>
          <w:rFonts w:ascii="Arial" w:cs="Arial" w:eastAsia="Arial" w:hAnsi="Arial"/>
          <w:sz w:val="26"/>
          <w:szCs w:val="26"/>
          <w:color w:val="auto"/>
          <w:vertAlign w:val="superscript"/>
        </w:rPr>
        <w:t>st</w:t>
      </w:r>
      <w:r>
        <w:rPr>
          <w:rFonts w:ascii="Arial" w:cs="Arial" w:eastAsia="Arial" w:hAnsi="Arial"/>
          <w:sz w:val="16"/>
          <w:szCs w:val="16"/>
          <w:color w:val="auto"/>
        </w:rPr>
        <w:t>) Trading Day following the date on which the Exercise Notice has been delivered (or deemed to have been delivered) to the Company, then on or prior to</w:t>
      </w:r>
    </w:p>
    <w:p>
      <w:pPr>
        <w:spacing w:after="0" w:line="2"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first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Trading Day following the date on which the Aggregate Exercise Price (or notice of a Cashless Exercise, if applicable) is delivered (such earlier date, or if later, the earliest day on which the Company is required to deliver Warrant Shares pursuant to this </w:t>
      </w:r>
      <w:r>
        <w:rPr>
          <w:rFonts w:ascii="Arial" w:cs="Arial" w:eastAsia="Arial" w:hAnsi="Arial"/>
          <w:sz w:val="16"/>
          <w:szCs w:val="16"/>
          <w:u w:val="single" w:color="auto"/>
          <w:color w:val="auto"/>
        </w:rPr>
        <w:t>Section 1(a)</w:t>
      </w:r>
      <w:r>
        <w:rPr>
          <w:rFonts w:ascii="Arial" w:cs="Arial" w:eastAsia="Arial" w:hAnsi="Arial"/>
          <w:sz w:val="16"/>
          <w:szCs w:val="16"/>
          <w:color w:val="auto"/>
        </w:rPr>
        <w:t>, the “</w:t>
      </w:r>
      <w:r>
        <w:rPr>
          <w:rFonts w:ascii="Arial" w:cs="Arial" w:eastAsia="Arial" w:hAnsi="Arial"/>
          <w:sz w:val="16"/>
          <w:szCs w:val="16"/>
          <w:b w:val="1"/>
          <w:bCs w:val="1"/>
          <w:color w:val="auto"/>
        </w:rPr>
        <w:t>Share Delivery</w:t>
      </w:r>
      <w:r>
        <w:rPr>
          <w:rFonts w:ascii="Arial" w:cs="Arial" w:eastAsia="Arial" w:hAnsi="Arial"/>
          <w:sz w:val="16"/>
          <w:szCs w:val="16"/>
          <w:color w:val="auto"/>
        </w:rPr>
        <w:t xml:space="preserve"> </w:t>
      </w:r>
      <w:r>
        <w:rPr>
          <w:rFonts w:ascii="Arial" w:cs="Arial" w:eastAsia="Arial" w:hAnsi="Arial"/>
          <w:sz w:val="16"/>
          <w:szCs w:val="16"/>
          <w:b w:val="1"/>
          <w:bCs w:val="1"/>
          <w:color w:val="auto"/>
        </w:rPr>
        <w:t>Date</w:t>
      </w:r>
      <w:r>
        <w:rPr>
          <w:rFonts w:ascii="Arial" w:cs="Arial" w:eastAsia="Arial" w:hAnsi="Arial"/>
          <w:sz w:val="16"/>
          <w:szCs w:val="16"/>
          <w:color w:val="auto"/>
        </w:rPr>
        <w:t>”), the Company shall (X) provided that the Transfer Agent is participating in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Fast Automated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 Program (“</w:t>
      </w:r>
      <w:r>
        <w:rPr>
          <w:rFonts w:ascii="Arial" w:cs="Arial" w:eastAsia="Arial" w:hAnsi="Arial"/>
          <w:sz w:val="16"/>
          <w:szCs w:val="16"/>
          <w:b w:val="1"/>
          <w:bCs w:val="1"/>
          <w:color w:val="auto"/>
        </w:rPr>
        <w:t>FAST</w:t>
      </w:r>
      <w:r>
        <w:rPr>
          <w:rFonts w:ascii="Arial" w:cs="Arial" w:eastAsia="Arial" w:hAnsi="Arial"/>
          <w:sz w:val="16"/>
          <w:szCs w:val="16"/>
          <w:color w:val="auto"/>
        </w:rPr>
        <w:t xml:space="preserve">”), credit such aggregate number of Warrant Shares to which the Holder is entitled pursuant to such exercise to the Holder’s or its designee’s balance account with DTC through its Deposit / Withdrawal At Custodian system, or (Y) if the Transfer Agent is not participating in FAST, issue and dispatch by overnight courier to the address as specified in the Exercise Notice, a certificate, registered in the name of the Holder or its designee, for the number of Warrant Shares to which the Holder is entitled pursuant to such exercise. The Company shall be responsible for all fees and expenses of the Transfer Agent and all fees and expenses with respect to the issuance of Warrant Shares via DTC, if any, including without limitation for same day processing. Upon delivery (or deemed delivery) of the Exercise Notice, the Holder shall be deemed for all corporate purposes to have become the holder of record and beneficial owner of the Warrant Shares with respect to which this Warrant has been exercised, irrespective of the date such Warrant Shares are credited to the Holder’s DTC account or the date of delivery of the certificates evidencing such Warrant Shares, as the case may be. If this Warrant is physically delivered to the Company in connection with any exercise pursuant to this </w:t>
      </w:r>
      <w:r>
        <w:rPr>
          <w:rFonts w:ascii="Arial" w:cs="Arial" w:eastAsia="Arial" w:hAnsi="Arial"/>
          <w:sz w:val="16"/>
          <w:szCs w:val="16"/>
          <w:u w:val="single" w:color="auto"/>
          <w:color w:val="auto"/>
        </w:rPr>
        <w:t>Section 1(a)</w:t>
      </w:r>
      <w:r>
        <w:rPr>
          <w:rFonts w:ascii="Arial" w:cs="Arial" w:eastAsia="Arial" w:hAnsi="Arial"/>
          <w:sz w:val="16"/>
          <w:szCs w:val="16"/>
          <w:color w:val="auto"/>
        </w:rPr>
        <w:t xml:space="preserve"> and the number of Warrant Shares represented by this Warrant submitted for exercise is greater than the number of Warrant Shares being acquired upon an exercise, then the Company shall as soon as practicable and in no event later than three (3) Trading Days after any exercise and at its own expense, issue and deliver to the Holder (or its designee) a new Warrant (in accordance with </w:t>
      </w:r>
      <w:r>
        <w:rPr>
          <w:rFonts w:ascii="Arial" w:cs="Arial" w:eastAsia="Arial" w:hAnsi="Arial"/>
          <w:sz w:val="16"/>
          <w:szCs w:val="16"/>
          <w:u w:val="single" w:color="auto"/>
          <w:color w:val="auto"/>
        </w:rPr>
        <w:t>Section 7(d)</w:t>
      </w:r>
      <w:r>
        <w:rPr>
          <w:rFonts w:ascii="Arial" w:cs="Arial" w:eastAsia="Arial" w:hAnsi="Arial"/>
          <w:sz w:val="16"/>
          <w:szCs w:val="16"/>
          <w:color w:val="auto"/>
        </w:rPr>
        <w:t xml:space="preserve">) representing the right to purchase the number of Warrant Shares issuable immediately prior to such exercise under this Warrant, less the number of Warrant Shares with respect to which this Warrant is exercised. No fractional Warrant Shares are to be issued upon the exercise of this Warrant, but rather the number of Warrant Shares to be issued shall be rounded to the nearest whole number. The Company shall pay any and all transfer, stamp, issuance and similar taxes, costs and expenses (including, without limitation, fees and expenses of the Transfer Agent) which may be payable with respect to the issuance and delivery of Warrant Shares upon exercise of this Warrant; provided, that the Company shall not be required to pay any tax or governmental charge that may be imposed with respect to any applicable withholding or the issuance or delivery of the Warrant Shares to any Person other than the Holder, and no such issuance or delivery shall be made unless and until the Person requesting such issuance has paid to the Company the amount of any such tax, or has established to the satisfaction of the Company that such tax has been paid. The Company’s obligations to issue and deliver Warrant Shares in accordance with the terms and subject to the conditions hereof are absolute and unconditional, irrespective of any action or inaction by the Holder to enforce the same, any waiver or consent with respect to any provision hereof (except for consents and waivers provided pursuant to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the recovery of any judgment against any Person or any action to enforce the same, or any setoff, counterclaim, recoupment, limitation or termination;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required to deliver Warrant Shares with respect to an exercise prior to the Holder’s delivery of the Aggregate Exercise Price (or notice of a Cashless Exercise) with respect to such exercise.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jc w:val="both"/>
        <w:ind w:firstLine="1952"/>
        <w:spacing w:after="0" w:line="266" w:lineRule="auto"/>
        <w:tabs>
          <w:tab w:leader="none" w:pos="2226"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For purposes of this Warrant, “</w:t>
      </w:r>
      <w:r>
        <w:rPr>
          <w:rFonts w:ascii="Arial" w:cs="Arial" w:eastAsia="Arial" w:hAnsi="Arial"/>
          <w:sz w:val="18"/>
          <w:szCs w:val="18"/>
          <w:b w:val="1"/>
          <w:bCs w:val="1"/>
          <w:color w:val="auto"/>
        </w:rPr>
        <w:t>Exercise Price</w:t>
      </w:r>
      <w:r>
        <w:rPr>
          <w:rFonts w:ascii="Arial" w:cs="Arial" w:eastAsia="Arial" w:hAnsi="Arial"/>
          <w:sz w:val="18"/>
          <w:szCs w:val="18"/>
          <w:color w:val="auto"/>
        </w:rPr>
        <w:t>” means $0.001 per share (without giving effect to any combination or reverse stock split occurring after the Issuance Date which would otherwise increase the exercise price), subject to adjustment as provided herein.</w:t>
      </w:r>
    </w:p>
    <w:p>
      <w:pPr>
        <w:spacing w:after="0" w:line="179" w:lineRule="exact"/>
        <w:rPr>
          <w:rFonts w:ascii="Arial" w:cs="Arial" w:eastAsia="Arial" w:hAnsi="Arial"/>
          <w:sz w:val="18"/>
          <w:szCs w:val="18"/>
          <w:color w:val="auto"/>
        </w:rPr>
      </w:pPr>
    </w:p>
    <w:p>
      <w:pPr>
        <w:jc w:val="both"/>
        <w:ind w:firstLine="1952"/>
        <w:spacing w:after="0" w:line="282" w:lineRule="auto"/>
        <w:tabs>
          <w:tab w:leader="none" w:pos="2188"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Company’s Failure to Timely Deliver Securities</w:t>
      </w:r>
      <w:r>
        <w:rPr>
          <w:rFonts w:ascii="Arial" w:cs="Arial" w:eastAsia="Arial" w:hAnsi="Arial"/>
          <w:sz w:val="16"/>
          <w:szCs w:val="16"/>
          <w:color w:val="auto"/>
        </w:rPr>
        <w:t>. If the Company shall fail for any reason or for no reason on or prior to the applicable Share Delivery Date, if (x) the Transfer Agent is not participating in FAST, to issue to the Holder a certificate for the number of shares of Common Stock to which the Holder is entitled and register such Common Stock on the Company’s share register or (y) the Transfer Agent is participating in FAST, to credit the Holder’s balance account with DTC, for such number of shares of Common Stock to which the Holder is entitled upon the Holder’s exercise of this Warrant (such shares to which Holder is entitled being, the “</w:t>
      </w:r>
      <w:r>
        <w:rPr>
          <w:rFonts w:ascii="Arial" w:cs="Arial" w:eastAsia="Arial" w:hAnsi="Arial"/>
          <w:sz w:val="16"/>
          <w:szCs w:val="16"/>
          <w:b w:val="1"/>
          <w:bCs w:val="1"/>
          <w:color w:val="auto"/>
        </w:rPr>
        <w:t>Exercise Notice Warrant Shares</w:t>
      </w:r>
      <w:r>
        <w:rPr>
          <w:rFonts w:ascii="Arial" w:cs="Arial" w:eastAsia="Arial" w:hAnsi="Arial"/>
          <w:sz w:val="16"/>
          <w:szCs w:val="16"/>
          <w:color w:val="auto"/>
        </w:rPr>
        <w:t>”), then, in addition to all other remedies available to the Holder, if on or prior to the applicable Share Delivery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Arial" w:cs="Arial" w:eastAsia="Arial" w:hAnsi="Arial"/>
          <w:sz w:val="16"/>
          <w:szCs w:val="16"/>
          <w:b w:val="1"/>
          <w:bCs w:val="1"/>
          <w:color w:val="auto"/>
        </w:rPr>
        <w:t>Buy-In</w:t>
      </w:r>
      <w:r>
        <w:rPr>
          <w:rFonts w:ascii="Arial" w:cs="Arial" w:eastAsia="Arial" w:hAnsi="Arial"/>
          <w:sz w:val="16"/>
          <w:szCs w:val="16"/>
          <w:color w:val="auto"/>
        </w:rPr>
        <w:t xml:space="preserve">”), then the Company shall, within five (5) Trading Days after the Holder’s request,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by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the Warrant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written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 As of the Issuance Date, the Company’s current transfer agent participates in FAST. In the event that the Company changes transfer agents while this Warrant is outstanding, the Company shall use commercially reasonable efforts to select a transfer agent that participates in FAST. While this Warrant is outstanding, the Company shall request its transfer agent to participate in FAST with respect to this Warrant. In addition to the foregoing rights, if the Company fails to deliver the applicable number of Warrant Shares upon an exercise pursuant to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by the applicable Share Delivery Date, then the Holder shall have the right to rescind such exercise in whole or in part and retain and/or have the Company return, as the case may be, any portion of this Warrant that has not been exercised pursuant to such Exercise Notice; provided that the rescission of an exercise shall not affect the Company’s obligation to make any payments that have accrued prior to the date of such notice pursuant to this </w:t>
      </w:r>
      <w:r>
        <w:rPr>
          <w:rFonts w:ascii="Arial" w:cs="Arial" w:eastAsia="Arial" w:hAnsi="Arial"/>
          <w:sz w:val="16"/>
          <w:szCs w:val="16"/>
          <w:u w:val="single" w:color="auto"/>
          <w:color w:val="auto"/>
        </w:rPr>
        <w:t>Section 1(c)</w:t>
      </w:r>
      <w:r>
        <w:rPr>
          <w:rFonts w:ascii="Arial" w:cs="Arial" w:eastAsia="Arial" w:hAnsi="Arial"/>
          <w:sz w:val="16"/>
          <w:szCs w:val="16"/>
          <w:color w:val="auto"/>
        </w:rPr>
        <w:t xml:space="preserve"> or otherwise. In addition to the foregoing, if the Company fails for any reason to deliver to the Holder the Warrant</w:t>
      </w:r>
    </w:p>
    <w:p>
      <w:pPr>
        <w:spacing w:after="0" w:line="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Shares subject to an Exercise Notice by the second (2</w:t>
      </w:r>
      <w:r>
        <w:rPr>
          <w:rFonts w:ascii="Arial" w:cs="Arial" w:eastAsia="Arial" w:hAnsi="Arial"/>
          <w:sz w:val="26"/>
          <w:szCs w:val="26"/>
          <w:color w:val="auto"/>
          <w:vertAlign w:val="superscript"/>
        </w:rPr>
        <w:t>nd</w:t>
      </w:r>
      <w:r>
        <w:rPr>
          <w:rFonts w:ascii="Arial" w:cs="Arial" w:eastAsia="Arial" w:hAnsi="Arial"/>
          <w:sz w:val="16"/>
          <w:szCs w:val="16"/>
          <w:color w:val="auto"/>
        </w:rPr>
        <w:t>) Trading Day following the Share Delivery Date, the Company shall pay to the Holder, in cash, as liquidated damages and not as a penalty, for each $1,000 of Warrant Shares subject to such exercise (based on the Weighted Average Price of the Common Stock on the date of the applicable Exercise Notice), $10 per Trading Day (increasing to $20 per Trading Day on the fifth Trading Day after such liquidated damages begin to accrue) for each Trading Day after the Share Delivery Date until such Warrant Shares are delivered or Holder rescinds such exercise.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firstLine="1952"/>
        <w:spacing w:after="0" w:line="286" w:lineRule="auto"/>
        <w:tabs>
          <w:tab w:leader="none" w:pos="2199"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Cashless Exercise</w:t>
      </w:r>
      <w:r>
        <w:rPr>
          <w:rFonts w:ascii="Arial" w:cs="Arial" w:eastAsia="Arial" w:hAnsi="Arial"/>
          <w:sz w:val="17"/>
          <w:szCs w:val="17"/>
          <w:color w:val="auto"/>
        </w:rPr>
        <w:t>. Notwithstanding anything contained herein to the contrary, in lieu of making the cash payment otherwise contemplated to be made to the Company upon such exercise in payment of the Aggregate Exercise Price, the Holder may elect to receive upon such exercise the “Net Number” of shares of Common Stock determined according to the following formula (a “</w:t>
      </w:r>
      <w:r>
        <w:rPr>
          <w:rFonts w:ascii="Arial" w:cs="Arial" w:eastAsia="Arial" w:hAnsi="Arial"/>
          <w:sz w:val="17"/>
          <w:szCs w:val="17"/>
          <w:b w:val="1"/>
          <w:bCs w:val="1"/>
          <w:color w:val="auto"/>
        </w:rPr>
        <w:t>Cashless Exercise</w:t>
      </w:r>
      <w:r>
        <w:rPr>
          <w:rFonts w:ascii="Arial" w:cs="Arial" w:eastAsia="Arial" w:hAnsi="Arial"/>
          <w:sz w:val="17"/>
          <w:szCs w:val="17"/>
          <w:color w:val="auto"/>
        </w:rPr>
        <w:t>”):</w:t>
      </w:r>
    </w:p>
    <w:p>
      <w:pPr>
        <w:spacing w:after="0" w:line="16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 xml:space="preserve">Net Number = </w:t>
      </w:r>
      <w:r>
        <w:rPr>
          <w:rFonts w:ascii="Arial" w:cs="Arial" w:eastAsia="Arial" w:hAnsi="Arial"/>
          <w:sz w:val="18"/>
          <w:szCs w:val="18"/>
          <w:u w:val="single" w:color="auto"/>
          <w:color w:val="auto"/>
        </w:rPr>
        <w:t>(A x B) - (A x C)</w:t>
      </w:r>
    </w:p>
    <w:p>
      <w:pPr>
        <w:spacing w:after="0" w:line="23"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B</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For purposes of the foregoing formula: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the total number of shares with respect to which this Warrant is then being exercised.</w:t>
      </w:r>
    </w:p>
    <w:p>
      <w:pPr>
        <w:spacing w:after="0" w:line="225" w:lineRule="exact"/>
        <w:rPr>
          <w:sz w:val="20"/>
          <w:szCs w:val="20"/>
          <w:color w:val="auto"/>
        </w:rPr>
      </w:pPr>
    </w:p>
    <w:p>
      <w:pPr>
        <w:jc w:val="both"/>
        <w:ind w:left="1620" w:hanging="319"/>
        <w:spacing w:after="0" w:line="269" w:lineRule="auto"/>
        <w:tabs>
          <w:tab w:leader="none" w:pos="1600" w:val="left"/>
        </w:tabs>
        <w:rPr>
          <w:sz w:val="20"/>
          <w:szCs w:val="20"/>
          <w:color w:val="auto"/>
        </w:rPr>
      </w:pPr>
      <w:r>
        <w:rPr>
          <w:rFonts w:ascii="Arial" w:cs="Arial" w:eastAsia="Arial" w:hAnsi="Arial"/>
          <w:sz w:val="17"/>
          <w:szCs w:val="17"/>
          <w:color w:val="auto"/>
        </w:rPr>
        <w:t>B=</w:t>
        <w:tab/>
        <w:t xml:space="preserve">as applicable: (i) the Closing Sale Price of the Common Stock on the Trading Day immediately preceding the date of the applicable Exercise Notice if such Exercise Notice is (1) both executed and delivered pursuant to </w:t>
      </w:r>
      <w:r>
        <w:rPr>
          <w:rFonts w:ascii="Arial" w:cs="Arial" w:eastAsia="Arial" w:hAnsi="Arial"/>
          <w:sz w:val="17"/>
          <w:szCs w:val="17"/>
          <w:u w:val="single" w:color="auto"/>
          <w:color w:val="auto"/>
        </w:rPr>
        <w:t>Section 1(a)</w:t>
      </w:r>
      <w:r>
        <w:rPr>
          <w:rFonts w:ascii="Arial" w:cs="Arial" w:eastAsia="Arial" w:hAnsi="Arial"/>
          <w:sz w:val="17"/>
          <w:szCs w:val="17"/>
          <w:color w:val="auto"/>
        </w:rPr>
        <w:t xml:space="preserve"> hereof on a day that is not a Trading Day or (2) both executed and delivered pursuant to </w:t>
      </w:r>
      <w:r>
        <w:rPr>
          <w:rFonts w:ascii="Arial" w:cs="Arial" w:eastAsia="Arial" w:hAnsi="Arial"/>
          <w:sz w:val="17"/>
          <w:szCs w:val="17"/>
          <w:u w:val="single" w:color="auto"/>
          <w:color w:val="auto"/>
        </w:rPr>
        <w:t>Section 1(a)</w:t>
      </w:r>
      <w:r>
        <w:rPr>
          <w:rFonts w:ascii="Arial" w:cs="Arial" w:eastAsia="Arial" w:hAnsi="Arial"/>
          <w:sz w:val="17"/>
          <w:szCs w:val="17"/>
          <w:color w:val="auto"/>
        </w:rPr>
        <w:t xml:space="preserve"> hereof on a Trading Day prior to the opening of “regular trading hours” (as defined in Rule 600(b)(77) of Regulation NMS promulgated under the federal securities laws) on such Trading Day, (ii) at the option of the Holder, either (y) the Weighted Average Price on the Trading Day immediately preceding the date of the applicable Exercise Notice or (z) the Bid Price of the Common Stock as of the time of the Holder’s execution of the applicable Exercise Notice if such Exercise Notice is executed during “regular trading hours” on a Trading Day and is delivered within two (2) hours thereafter (including until two (2) hours after the close of “regular trading hours” on a Trading Day) pursuant to </w:t>
      </w:r>
      <w:r>
        <w:rPr>
          <w:rFonts w:ascii="Arial" w:cs="Arial" w:eastAsia="Arial" w:hAnsi="Arial"/>
          <w:sz w:val="17"/>
          <w:szCs w:val="17"/>
          <w:u w:val="single" w:color="auto"/>
          <w:color w:val="auto"/>
        </w:rPr>
        <w:t>Section 1(a)</w:t>
      </w:r>
      <w:r>
        <w:rPr>
          <w:rFonts w:ascii="Arial" w:cs="Arial" w:eastAsia="Arial" w:hAnsi="Arial"/>
          <w:sz w:val="17"/>
          <w:szCs w:val="17"/>
          <w:color w:val="auto"/>
        </w:rPr>
        <w:t xml:space="preserve"> hereof or (iii) the Closing Sale Price of the Common Stock on the date of the applicable Exercise Notice if the date of such Exercise Notice is a Trading Day and such Exercise Notice is both executed and delivered pursuant to </w:t>
      </w:r>
      <w:r>
        <w:rPr>
          <w:rFonts w:ascii="Arial" w:cs="Arial" w:eastAsia="Arial" w:hAnsi="Arial"/>
          <w:sz w:val="17"/>
          <w:szCs w:val="17"/>
          <w:u w:val="single" w:color="auto"/>
          <w:color w:val="auto"/>
        </w:rPr>
        <w:t>Section 1(a)</w:t>
      </w:r>
      <w:r>
        <w:rPr>
          <w:rFonts w:ascii="Arial" w:cs="Arial" w:eastAsia="Arial" w:hAnsi="Arial"/>
          <w:sz w:val="17"/>
          <w:szCs w:val="17"/>
          <w:color w:val="auto"/>
        </w:rPr>
        <w:t xml:space="preserve"> hereof after the close of “regular trading hours” on such Trading Day.</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 the Exercise Price then in effect for the applicable Warrant Shares at the time of such exercise.</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If Warrant Shares are issued in such a cashless exercise, the Company acknowledges and agrees that in accordance with Section 3(a)(9) of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xml:space="preserve">”), the Warrant Shares shall take on the registered characteristics of the Warrants being exercised, and the holding period of the Warrants being exercised (and any prior securities that were exchanged for the Warrants in accordance with Section 3(a)(9)) may be tacked on to the holding period of the Warrant Shares. The Company agrees not to take any position contrary to this </w:t>
      </w:r>
      <w:r>
        <w:rPr>
          <w:rFonts w:ascii="Arial" w:cs="Arial" w:eastAsia="Arial" w:hAnsi="Arial"/>
          <w:sz w:val="17"/>
          <w:szCs w:val="17"/>
          <w:u w:val="single" w:color="auto"/>
          <w:color w:val="auto"/>
        </w:rPr>
        <w:t>Section 1(d)</w:t>
      </w:r>
      <w:r>
        <w:rPr>
          <w:rFonts w:ascii="Arial" w:cs="Arial" w:eastAsia="Arial" w:hAnsi="Arial"/>
          <w:sz w:val="17"/>
          <w:szCs w:val="17"/>
          <w:color w:val="auto"/>
        </w:rPr>
        <w:t xml:space="preserve">. Without limiting the rights of a Holder to receive Warrant Shares on a “cashless exercise,” and to receive the cash payments contemplated pursuant to </w:t>
      </w:r>
      <w:r>
        <w:rPr>
          <w:rFonts w:ascii="Arial" w:cs="Arial" w:eastAsia="Arial" w:hAnsi="Arial"/>
          <w:sz w:val="17"/>
          <w:szCs w:val="17"/>
          <w:u w:val="single" w:color="auto"/>
          <w:color w:val="auto"/>
        </w:rPr>
        <w:t>Sections 1(c)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4(b)</w:t>
      </w:r>
      <w:r>
        <w:rPr>
          <w:rFonts w:ascii="Arial" w:cs="Arial" w:eastAsia="Arial" w:hAnsi="Arial"/>
          <w:sz w:val="17"/>
          <w:szCs w:val="17"/>
          <w:color w:val="auto"/>
        </w:rPr>
        <w:t>, in no event will the Company be required to net cash settle a Warrant exercise. Any Cashless Exercise of this Warrant shall have the effect of lowering the outstanding number of Warrant Shares purchasable hereunder by an amount equal to the number of Warrant Shares that would be issuable upon exercise of this Warrant in accordance with the terms of this Warrant if such exercise were by means of a cash exercise rather than a Cashless Exercise and not the number of Warrant Shares actually received by the Holder.</w:t>
      </w:r>
    </w:p>
    <w:p>
      <w:pPr>
        <w:spacing w:after="0" w:line="181" w:lineRule="exact"/>
        <w:rPr>
          <w:sz w:val="20"/>
          <w:szCs w:val="20"/>
          <w:color w:val="auto"/>
        </w:rPr>
      </w:pPr>
    </w:p>
    <w:p>
      <w:pPr>
        <w:jc w:val="both"/>
        <w:ind w:firstLine="1952"/>
        <w:spacing w:after="0" w:line="263" w:lineRule="auto"/>
        <w:tabs>
          <w:tab w:leader="none" w:pos="2188"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Disputes</w:t>
      </w:r>
      <w:r>
        <w:rPr>
          <w:rFonts w:ascii="Arial" w:cs="Arial" w:eastAsia="Arial" w:hAnsi="Arial"/>
          <w:sz w:val="18"/>
          <w:szCs w:val="18"/>
          <w:color w:val="auto"/>
        </w:rPr>
        <w:t xml:space="preserve">. In the case of a dispute as to the determination of the Exercise Price or the arithmetic calculation of the Warrant Shares, the Company shall promptly issue to the Holder the number of Warrant Shares that are not disputed and resolve such dispute in accordance with </w:t>
      </w:r>
      <w:r>
        <w:rPr>
          <w:rFonts w:ascii="Arial" w:cs="Arial" w:eastAsia="Arial" w:hAnsi="Arial"/>
          <w:sz w:val="18"/>
          <w:szCs w:val="18"/>
          <w:u w:val="single" w:color="auto"/>
          <w:color w:val="auto"/>
        </w:rPr>
        <w:t>Section 11</w:t>
      </w:r>
      <w:r>
        <w:rPr>
          <w:rFonts w:ascii="Arial" w:cs="Arial" w:eastAsia="Arial" w:hAnsi="Arial"/>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jc w:val="both"/>
        <w:ind w:firstLine="1952"/>
        <w:spacing w:after="0" w:line="282" w:lineRule="auto"/>
        <w:tabs>
          <w:tab w:leader="none" w:pos="2182"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Beneficial Ownership Limitation</w:t>
      </w:r>
      <w:r>
        <w:rPr>
          <w:rFonts w:ascii="Arial" w:cs="Arial" w:eastAsia="Arial" w:hAnsi="Arial"/>
          <w:sz w:val="16"/>
          <w:szCs w:val="16"/>
          <w:color w:val="auto"/>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the aggregate in excess of 4.99% (the “</w:t>
      </w:r>
      <w:r>
        <w:rPr>
          <w:rFonts w:ascii="Arial" w:cs="Arial" w:eastAsia="Arial" w:hAnsi="Arial"/>
          <w:sz w:val="16"/>
          <w:szCs w:val="16"/>
          <w:b w:val="1"/>
          <w:bCs w:val="1"/>
          <w:color w:val="auto"/>
        </w:rPr>
        <w:t>Maximum</w:t>
      </w:r>
      <w:r>
        <w:rPr>
          <w:rFonts w:ascii="Arial" w:cs="Arial" w:eastAsia="Arial" w:hAnsi="Arial"/>
          <w:sz w:val="16"/>
          <w:szCs w:val="16"/>
          <w:color w:val="auto"/>
        </w:rPr>
        <w:t xml:space="preserve"> </w:t>
      </w:r>
      <w:r>
        <w:rPr>
          <w:rFonts w:ascii="Arial" w:cs="Arial" w:eastAsia="Arial" w:hAnsi="Arial"/>
          <w:sz w:val="16"/>
          <w:szCs w:val="16"/>
          <w:b w:val="1"/>
          <w:bCs w:val="1"/>
          <w:color w:val="auto"/>
        </w:rPr>
        <w:t>Percentage</w:t>
      </w:r>
      <w:r>
        <w:rPr>
          <w:rFonts w:ascii="Arial" w:cs="Arial" w:eastAsia="Arial" w:hAnsi="Arial"/>
          <w:sz w:val="16"/>
          <w:szCs w:val="16"/>
          <w:color w:val="auto"/>
        </w:rPr>
        <w:t>”) of the number of shares of Common Stock outstanding immediately after giving effect to such exercise. For purposes of the foregoing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including any other Warrants) beneficially owned by the Holder or any other Attribution Party subject to a limitation on conversion or exercise analogous to the limitation contained in this </w:t>
      </w:r>
      <w:r>
        <w:rPr>
          <w:rFonts w:ascii="Arial" w:cs="Arial" w:eastAsia="Arial" w:hAnsi="Arial"/>
          <w:sz w:val="16"/>
          <w:szCs w:val="16"/>
          <w:u w:val="single" w:color="auto"/>
          <w:color w:val="auto"/>
        </w:rPr>
        <w:t>Section 1(f)</w:t>
      </w:r>
      <w:r>
        <w:rPr>
          <w:rFonts w:ascii="Arial" w:cs="Arial" w:eastAsia="Arial" w:hAnsi="Arial"/>
          <w:sz w:val="16"/>
          <w:szCs w:val="16"/>
          <w:color w:val="auto"/>
        </w:rPr>
        <w:t xml:space="preserve">. For purposes of this </w:t>
      </w:r>
      <w:r>
        <w:rPr>
          <w:rFonts w:ascii="Arial" w:cs="Arial" w:eastAsia="Arial" w:hAnsi="Arial"/>
          <w:sz w:val="16"/>
          <w:szCs w:val="16"/>
          <w:u w:val="single" w:color="auto"/>
          <w:color w:val="auto"/>
        </w:rPr>
        <w:t>Section 1(f)</w:t>
      </w:r>
      <w:r>
        <w:rPr>
          <w:rFonts w:ascii="Arial" w:cs="Arial" w:eastAsia="Arial" w:hAnsi="Arial"/>
          <w:sz w:val="16"/>
          <w:szCs w:val="16"/>
          <w:color w:val="auto"/>
        </w:rPr>
        <w:t>, beneficial ownership shall be calculated in accordance with Section 13(d) of the Securities Exchange Act of 1934, as amended (the “</w:t>
      </w:r>
      <w:r>
        <w:rPr>
          <w:rFonts w:ascii="Arial" w:cs="Arial" w:eastAsia="Arial" w:hAnsi="Arial"/>
          <w:sz w:val="16"/>
          <w:szCs w:val="16"/>
          <w:b w:val="1"/>
          <w:bCs w:val="1"/>
          <w:color w:val="auto"/>
        </w:rPr>
        <w:t>1934 Act</w:t>
      </w:r>
      <w:r>
        <w:rPr>
          <w:rFonts w:ascii="Arial" w:cs="Arial" w:eastAsia="Arial" w:hAnsi="Arial"/>
          <w:sz w:val="16"/>
          <w:szCs w:val="16"/>
          <w:color w:val="auto"/>
        </w:rPr>
        <w:t>”).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Current Reports on Form 8-K or other public filing with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as the case may be, (y) a more recent public announcement by the Company or (z) any other written notice by the Company or the Transfer Agent setting forth the number of shares of Common Stock outstanding (the “</w:t>
      </w:r>
      <w:r>
        <w:rPr>
          <w:rFonts w:ascii="Arial" w:cs="Arial" w:eastAsia="Arial" w:hAnsi="Arial"/>
          <w:sz w:val="16"/>
          <w:szCs w:val="16"/>
          <w:b w:val="1"/>
          <w:bCs w:val="1"/>
          <w:color w:val="auto"/>
        </w:rPr>
        <w:t>Reported Outstanding Share Number</w:t>
      </w:r>
      <w:r>
        <w:rPr>
          <w:rFonts w:ascii="Arial" w:cs="Arial" w:eastAsia="Arial" w:hAnsi="Arial"/>
          <w:sz w:val="16"/>
          <w:szCs w:val="16"/>
          <w:color w:val="auto"/>
        </w:rPr>
        <w:t xml:space="preserve">”).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w:t>
      </w:r>
      <w:r>
        <w:rPr>
          <w:rFonts w:ascii="Arial" w:cs="Arial" w:eastAsia="Arial" w:hAnsi="Arial"/>
          <w:sz w:val="16"/>
          <w:szCs w:val="16"/>
          <w:u w:val="single" w:color="auto"/>
          <w:color w:val="auto"/>
        </w:rPr>
        <w:t>Section 1(f)</w:t>
      </w:r>
      <w:r>
        <w:rPr>
          <w:rFonts w:ascii="Arial" w:cs="Arial" w:eastAsia="Arial" w:hAnsi="Arial"/>
          <w:sz w:val="16"/>
          <w:szCs w:val="16"/>
          <w:color w:val="auto"/>
        </w:rPr>
        <w:t>, to exceed the Maximum Percentage, the Holder must notify the Company of a reduced number of Warrant Shares to be purchased pursuant to such Exercise Notice (the number of shares by which such purchase is reduced, the “</w:t>
      </w:r>
      <w:r>
        <w:rPr>
          <w:rFonts w:ascii="Arial" w:cs="Arial" w:eastAsia="Arial" w:hAnsi="Arial"/>
          <w:sz w:val="16"/>
          <w:szCs w:val="16"/>
          <w:b w:val="1"/>
          <w:bCs w:val="1"/>
          <w:color w:val="auto"/>
        </w:rPr>
        <w:t>Reduction Shares</w:t>
      </w:r>
      <w:r>
        <w:rPr>
          <w:rFonts w:ascii="Arial" w:cs="Arial" w:eastAsia="Arial" w:hAnsi="Arial"/>
          <w:sz w:val="16"/>
          <w:szCs w:val="16"/>
          <w:color w:val="auto"/>
        </w:rPr>
        <w:t>”) and (ii) 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1934 Act), the number of shares so issued by which the Holder’s and the other Attribution Parties’ aggregate beneficial ownership exceeds the Maximum Percentage (the “</w:t>
      </w:r>
      <w:r>
        <w:rPr>
          <w:rFonts w:ascii="Arial" w:cs="Arial" w:eastAsia="Arial" w:hAnsi="Arial"/>
          <w:sz w:val="16"/>
          <w:szCs w:val="16"/>
          <w:b w:val="1"/>
          <w:bCs w:val="1"/>
          <w:color w:val="auto"/>
        </w:rPr>
        <w:t>Excess Shares</w:t>
      </w:r>
      <w:r>
        <w:rPr>
          <w:rFonts w:ascii="Arial" w:cs="Arial" w:eastAsia="Arial" w:hAnsi="Arial"/>
          <w:sz w:val="16"/>
          <w:szCs w:val="16"/>
          <w:color w:val="auto"/>
        </w:rPr>
        <w:t>”)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or decrease the Maximum Percentage to any other percentage not in excess</w:t>
      </w:r>
    </w:p>
    <w:p>
      <w:pPr>
        <w:spacing w:after="0" w:line="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of 9.99% as specified in such notice; provided that (i) any such increase in the Maximum Percentage will not be effective until the sixty-first (61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day after such notice is delivered to the Company and (ii) any such increase or decrease will apply only to the Holder and the other Attribution Parties and not to any other holder of Warrants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1934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1(f) to the extent necessary to correct this paragraph or any portion of this paragraph which may be defective or inconsistent with the intended beneficial ownership limitation contained in this </w:t>
      </w:r>
      <w:r>
        <w:rPr>
          <w:rFonts w:ascii="Arial" w:cs="Arial" w:eastAsia="Arial" w:hAnsi="Arial"/>
          <w:sz w:val="16"/>
          <w:szCs w:val="16"/>
          <w:u w:val="single" w:color="auto"/>
          <w:color w:val="auto"/>
        </w:rPr>
        <w:t>Section 1(f)</w:t>
      </w:r>
      <w:r>
        <w:rPr>
          <w:rFonts w:ascii="Arial" w:cs="Arial" w:eastAsia="Arial" w:hAnsi="Arial"/>
          <w:sz w:val="16"/>
          <w:szCs w:val="16"/>
          <w:color w:val="auto"/>
        </w:rPr>
        <w:t xml:space="preserve"> or to make changes or supplements necessary or desirable to properly give effect to such limitation. The limitation contained in this paragraph may not be waived and shall apply to a successor holder of this Warrant. The Holder hereby acknowledges and agrees that the Company shall be entitled to rely on the representations and other information set forth in any Exercise Notice and shall not be required to independently verify whether any exercise of this Warrant would cause the Holder (together with the other Attribution Parties) to collectively beneficially own in excess of the Maximum Percentage of the number of shares of Common Stock outstanding after giving effect to such exercise or otherwise trigger the provisions of this </w:t>
      </w:r>
      <w:r>
        <w:rPr>
          <w:rFonts w:ascii="Arial" w:cs="Arial" w:eastAsia="Arial" w:hAnsi="Arial"/>
          <w:sz w:val="16"/>
          <w:szCs w:val="16"/>
          <w:u w:val="single" w:color="auto"/>
          <w:color w:val="auto"/>
        </w:rPr>
        <w:t>Section 1(f)</w:t>
      </w:r>
      <w:r>
        <w:rPr>
          <w:rFonts w:ascii="Arial" w:cs="Arial" w:eastAsia="Arial" w:hAnsi="Arial"/>
          <w:sz w:val="16"/>
          <w:szCs w:val="16"/>
          <w:color w:val="auto"/>
        </w:rPr>
        <w: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jc w:val="both"/>
        <w:ind w:firstLine="1952"/>
        <w:spacing w:after="0" w:line="268" w:lineRule="auto"/>
        <w:tabs>
          <w:tab w:leader="none" w:pos="2212"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Required Reserve Amount</w:t>
      </w:r>
      <w:r>
        <w:rPr>
          <w:rFonts w:ascii="Arial" w:cs="Arial" w:eastAsia="Arial" w:hAnsi="Arial"/>
          <w:sz w:val="17"/>
          <w:szCs w:val="17"/>
          <w:color w:val="auto"/>
        </w:rPr>
        <w:t>. So long as this Warrant remains outstanding, the Company shall at all times keep reserved for issuance under this Warrant a number of shares of Common Stock at least equal to 100% of the maximum number of shares of Common Stock as shall be necessary to satisfy the Company’s obligation to issue shares of Common Stock under the Warrants then outstanding (without regard to any limitations on exercise) (the “</w:t>
      </w:r>
      <w:r>
        <w:rPr>
          <w:rFonts w:ascii="Arial" w:cs="Arial" w:eastAsia="Arial" w:hAnsi="Arial"/>
          <w:sz w:val="17"/>
          <w:szCs w:val="17"/>
          <w:b w:val="1"/>
          <w:bCs w:val="1"/>
          <w:color w:val="auto"/>
        </w:rPr>
        <w:t>Required Reserve Amount</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no time shall the number of shares of Common Stock reserved pursuant to this </w:t>
      </w:r>
      <w:r>
        <w:rPr>
          <w:rFonts w:ascii="Arial" w:cs="Arial" w:eastAsia="Arial" w:hAnsi="Arial"/>
          <w:sz w:val="17"/>
          <w:szCs w:val="17"/>
          <w:u w:val="single" w:color="auto"/>
          <w:color w:val="auto"/>
        </w:rPr>
        <w:t>Section 1(g)</w:t>
      </w:r>
      <w:r>
        <w:rPr>
          <w:rFonts w:ascii="Arial" w:cs="Arial" w:eastAsia="Arial" w:hAnsi="Arial"/>
          <w:sz w:val="17"/>
          <w:szCs w:val="17"/>
          <w:color w:val="auto"/>
        </w:rPr>
        <w:t xml:space="preserve"> be reduced other than in connection with any exercise of Warrants or such other event covered by </w:t>
      </w:r>
      <w:r>
        <w:rPr>
          <w:rFonts w:ascii="Arial" w:cs="Arial" w:eastAsia="Arial" w:hAnsi="Arial"/>
          <w:sz w:val="17"/>
          <w:szCs w:val="17"/>
          <w:u w:val="single" w:color="auto"/>
          <w:color w:val="auto"/>
        </w:rPr>
        <w:t>Section 2(b)</w:t>
      </w:r>
      <w:r>
        <w:rPr>
          <w:rFonts w:ascii="Arial" w:cs="Arial" w:eastAsia="Arial" w:hAnsi="Arial"/>
          <w:sz w:val="17"/>
          <w:szCs w:val="17"/>
          <w:color w:val="auto"/>
        </w:rPr>
        <w:t>. The Required Reserve Amount (including, without limitation, each increase in the number of shares so reserved) shall be allocated pro rata among the holders of the Warrants based on the number of shares of Common Stock issuable upon exercise of Warrants held by each holder thereof on the Issuance Date (without regard to any limitations on exercise) (the “</w:t>
      </w:r>
      <w:r>
        <w:rPr>
          <w:rFonts w:ascii="Arial" w:cs="Arial" w:eastAsia="Arial" w:hAnsi="Arial"/>
          <w:sz w:val="17"/>
          <w:szCs w:val="17"/>
          <w:b w:val="1"/>
          <w:bCs w:val="1"/>
          <w:color w:val="auto"/>
        </w:rPr>
        <w:t>Authorized Share Allocation</w:t>
      </w:r>
      <w:r>
        <w:rPr>
          <w:rFonts w:ascii="Arial" w:cs="Arial" w:eastAsia="Arial" w:hAnsi="Arial"/>
          <w:sz w:val="17"/>
          <w:szCs w:val="17"/>
          <w:color w:val="auto"/>
        </w:rPr>
        <w:t>”). In the event that a Holder shall sell or otherwise transfer any of such holder’s Warrants, each transferee shall be allocated a pro rata portion of such Holder’s Authorized Share Allocation. Any shares of Common Stock reserved and allocated to any Person which ceases to hold any Warrants shall be allocated to the remaining holders of Warrants, pro rata based on the number of shares of Common Stock issuable upon exercise of the Warrants then held by such holders thereof (without regard to any limitations on exercise). Each share of Common Stock delivered upon exercise of this Warrant will be a newly issued or treasury share and will be duly and validly issued, fully paid, non-assessable, free from preemptive rights and free of any lien or adverse claim (except to the extent of any lien or adverse claim created by the action or inaction of the Holder or the Person to whom such share will be delivered). If the Common Stock is then listed on any securities exchange, or quoted on any inter-dealer quotation system, then the Company will cause each share of Common Stock issued upon exercise of this Warrant, when delivered upon such exercise, to be admitted for listing on such exchange or quotation on such system.</w:t>
      </w:r>
    </w:p>
    <w:p>
      <w:pPr>
        <w:spacing w:after="0" w:line="179" w:lineRule="exact"/>
        <w:rPr>
          <w:rFonts w:ascii="Arial" w:cs="Arial" w:eastAsia="Arial" w:hAnsi="Arial"/>
          <w:sz w:val="17"/>
          <w:szCs w:val="17"/>
          <w:color w:val="auto"/>
        </w:rPr>
      </w:pPr>
    </w:p>
    <w:p>
      <w:pPr>
        <w:jc w:val="both"/>
        <w:ind w:firstLine="1952"/>
        <w:spacing w:after="0" w:line="284" w:lineRule="auto"/>
        <w:tabs>
          <w:tab w:leader="none" w:pos="2199"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Insufficient Authorized Shares</w:t>
      </w:r>
      <w:r>
        <w:rPr>
          <w:rFonts w:ascii="Arial" w:cs="Arial" w:eastAsia="Arial" w:hAnsi="Arial"/>
          <w:sz w:val="16"/>
          <w:szCs w:val="16"/>
          <w:color w:val="auto"/>
        </w:rPr>
        <w:t>. If at any time while this Warrant remains outstanding the Company does not have a sufficient number of authorized and unreserved shares of Common Stock to satisfy its obligation to reserve for issuance the Required Reserve Amount (an “</w:t>
      </w:r>
      <w:r>
        <w:rPr>
          <w:rFonts w:ascii="Arial" w:cs="Arial" w:eastAsia="Arial" w:hAnsi="Arial"/>
          <w:sz w:val="16"/>
          <w:szCs w:val="16"/>
          <w:b w:val="1"/>
          <w:bCs w:val="1"/>
          <w:color w:val="auto"/>
        </w:rPr>
        <w:t>Authorized Share Failure</w:t>
      </w:r>
      <w:r>
        <w:rPr>
          <w:rFonts w:ascii="Arial" w:cs="Arial" w:eastAsia="Arial" w:hAnsi="Arial"/>
          <w:sz w:val="16"/>
          <w:szCs w:val="16"/>
          <w:color w:val="auto"/>
        </w:rPr>
        <w:t>”), then the Company shall promptly take all action reasonably necessary to increase the Company’s authorized shares of Common Stock to an amount sufficient to allow the Company to reserve the Required Reserve Amount for this Warrant then outstanding. Without limiting the generality of the foregoing sentence, as soon as practicable after the date of the occurrence of an Authorized Share Failure, but in no event later than ninety (90)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the Company’s management shall recommend to the Company’s Board of Directors that it recommend to the stockholders that they approve such proposal. Notwithstanding the foregoing, if at any such time of an Authorized Share Failure, the Company is able to obtain the written consent of a majority of the shares of its issued and outstanding shares of Common Stock to approve the increase in the number of authorized shares of Common Stock, the Company may satisfy this obligation by obtaining such consent and submitting for filing with the SEC an Information Statement on Schedule 14C. In addition to the foregoing, in the event of any Authorized Share Failure that results in the failure of the Company to deliver any shares of Common Stock that would have otherwise been deliverable pursuant to an Exercise Notice (such shares the “</w:t>
      </w:r>
      <w:r>
        <w:rPr>
          <w:rFonts w:ascii="Arial" w:cs="Arial" w:eastAsia="Arial" w:hAnsi="Arial"/>
          <w:sz w:val="16"/>
          <w:szCs w:val="16"/>
          <w:b w:val="1"/>
          <w:bCs w:val="1"/>
          <w:color w:val="auto"/>
        </w:rPr>
        <w:t>Authorized Shares Failure Shares</w:t>
      </w:r>
      <w:r>
        <w:rPr>
          <w:rFonts w:ascii="Arial" w:cs="Arial" w:eastAsia="Arial" w:hAnsi="Arial"/>
          <w:sz w:val="16"/>
          <w:szCs w:val="16"/>
          <w:color w:val="auto"/>
        </w:rPr>
        <w:t>”), (1) the Company will promptly pay to the Holder, as liquidated damages and not as a penalty, cash in an amount equal (i) to the product of (x) the number of such Authorized Shares Failure Shares; and (y) the Daily VWAP per share of Common Stock on the date the Holder delivered the applicable Exercise Notice hereunder (or, if such date is not a VWAP Trading Day, the immediately preceding VWAP Trading Day), minus (ii) if such exercise is not a cashless exercise the Aggregate Exercise Price applicable to such Authorized Shares Failure Shares, to the extent not previously paid; and (2) to the extent the Holder purchases (in an open market transaction or otherwise) shares of Common Stock to deliver in settlement of a sale by the Holder of such Authorized Shares Failure Shares, the Company will reimburse the Holder for (x) any brokerage commissions and other out-of-pocket expenses, if any, of the Holder incurred in connection with such purchases and (y) the excess, if any, of (A) the aggregate purchase price of such purchases over (B) an amount equal to (i) the product of (I) the number of such Authorized Shares Failure Shares purchased by the Holder; and (II) the Daily VWAP per share of Common Stock on the date the Holder delivered the applicable Exercise Notice hereunder (or, if such date is not a VWAP Trading Day, the immediately preceding VWAP Trading Day), minus (ii) if such exercise is not a cashless exercise the Aggregate Exercise Price applicable to such Authorized Shares Failure Shares, to the extent not previously paid.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ind w:firstLine="1304"/>
        <w:spacing w:after="0" w:line="277" w:lineRule="auto"/>
        <w:tabs>
          <w:tab w:leader="none" w:pos="1476"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ADJUSTMENT OF EXERCISE PRICE AND NUMBER OF WARRANT SHARES</w:t>
      </w:r>
      <w:r>
        <w:rPr>
          <w:rFonts w:ascii="Arial" w:cs="Arial" w:eastAsia="Arial" w:hAnsi="Arial"/>
          <w:sz w:val="18"/>
          <w:szCs w:val="18"/>
          <w:color w:val="auto"/>
        </w:rPr>
        <w:t>. The Exercise Price and the number of Warrant Shares shall be adjusted from time to time as follows:</w:t>
      </w:r>
    </w:p>
    <w:p>
      <w:pPr>
        <w:spacing w:after="0" w:line="170" w:lineRule="exact"/>
        <w:rPr>
          <w:rFonts w:ascii="Arial" w:cs="Arial" w:eastAsia="Arial" w:hAnsi="Arial"/>
          <w:sz w:val="18"/>
          <w:szCs w:val="18"/>
          <w:color w:val="auto"/>
        </w:rPr>
      </w:pPr>
    </w:p>
    <w:p>
      <w:pPr>
        <w:ind w:firstLine="1952"/>
        <w:spacing w:after="0" w:line="277" w:lineRule="auto"/>
        <w:tabs>
          <w:tab w:leader="none" w:pos="2188"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Voluntary Adjustment by Company</w:t>
      </w:r>
      <w:r>
        <w:rPr>
          <w:rFonts w:ascii="Arial" w:cs="Arial" w:eastAsia="Arial" w:hAnsi="Arial"/>
          <w:sz w:val="18"/>
          <w:szCs w:val="18"/>
          <w:color w:val="auto"/>
        </w:rPr>
        <w:t>. The Company may at any time during the term of this Warrant reduce the then-current Exercise Price to any amount and for any period of time deemed appropriate by the Board of Directors of the Company.</w:t>
      </w:r>
    </w:p>
    <w:p>
      <w:pPr>
        <w:spacing w:after="0" w:line="170" w:lineRule="exact"/>
        <w:rPr>
          <w:rFonts w:ascii="Arial" w:cs="Arial" w:eastAsia="Arial" w:hAnsi="Arial"/>
          <w:sz w:val="18"/>
          <w:szCs w:val="18"/>
          <w:color w:val="auto"/>
        </w:rPr>
      </w:pPr>
    </w:p>
    <w:p>
      <w:pPr>
        <w:jc w:val="both"/>
        <w:ind w:firstLine="1952"/>
        <w:spacing w:after="0" w:line="254" w:lineRule="auto"/>
        <w:tabs>
          <w:tab w:leader="none" w:pos="2199"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Adjustment Upon Subdivision or Combination of Common Stock</w:t>
      </w:r>
      <w:r>
        <w:rPr>
          <w:rFonts w:ascii="Arial" w:cs="Arial" w:eastAsia="Arial" w:hAnsi="Arial"/>
          <w:sz w:val="18"/>
          <w:szCs w:val="18"/>
          <w:color w:val="auto"/>
        </w:rPr>
        <w:t xml:space="preserve">. If the Company at any time on or after the Subscription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If the Company at any time on or after the Subscription Date combines (by combination, reverse stock split or otherwise) one or more classes of its outstanding shares of Common Stock into a smaller number of shares, the number of Warrant Shares will be proportionately decreased. Any adjustment under this </w:t>
      </w:r>
      <w:r>
        <w:rPr>
          <w:rFonts w:ascii="Arial" w:cs="Arial" w:eastAsia="Arial" w:hAnsi="Arial"/>
          <w:sz w:val="18"/>
          <w:szCs w:val="18"/>
          <w:u w:val="single" w:color="auto"/>
          <w:color w:val="auto"/>
        </w:rPr>
        <w:t>Section 2(b)</w:t>
      </w:r>
      <w:r>
        <w:rPr>
          <w:rFonts w:ascii="Arial" w:cs="Arial" w:eastAsia="Arial" w:hAnsi="Arial"/>
          <w:sz w:val="18"/>
          <w:szCs w:val="18"/>
          <w:color w:val="auto"/>
        </w:rPr>
        <w:t xml:space="preserve"> shall become effective at the close of business on the date the subdivision or combination becomes effective.</w:t>
      </w:r>
    </w:p>
    <w:p>
      <w:pPr>
        <w:spacing w:after="0" w:line="194" w:lineRule="exact"/>
        <w:rPr>
          <w:rFonts w:ascii="Arial" w:cs="Arial" w:eastAsia="Arial" w:hAnsi="Arial"/>
          <w:sz w:val="18"/>
          <w:szCs w:val="18"/>
          <w:color w:val="auto"/>
        </w:rPr>
      </w:pPr>
    </w:p>
    <w:p>
      <w:pPr>
        <w:jc w:val="both"/>
        <w:ind w:firstLine="1304"/>
        <w:spacing w:after="0" w:line="268" w:lineRule="auto"/>
        <w:tabs>
          <w:tab w:leader="none" w:pos="1476"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RIGHTS UPON DISTRIBUTION OF ASSETS</w:t>
      </w:r>
      <w:r>
        <w:rPr>
          <w:rFonts w:ascii="Arial" w:cs="Arial" w:eastAsia="Arial" w:hAnsi="Arial"/>
          <w:sz w:val="17"/>
          <w:szCs w:val="17"/>
          <w:color w:val="auto"/>
        </w:rPr>
        <w:t xml:space="preserve">. In addition to any adjustments pursuant to </w:t>
      </w:r>
      <w:r>
        <w:rPr>
          <w:rFonts w:ascii="Arial" w:cs="Arial" w:eastAsia="Arial" w:hAnsi="Arial"/>
          <w:sz w:val="17"/>
          <w:szCs w:val="17"/>
          <w:u w:val="single" w:color="auto"/>
          <w:color w:val="auto"/>
        </w:rPr>
        <w:t>Section 2</w:t>
      </w:r>
      <w:r>
        <w:rPr>
          <w:rFonts w:ascii="Arial" w:cs="Arial" w:eastAsia="Arial" w:hAnsi="Arial"/>
          <w:sz w:val="17"/>
          <w:szCs w:val="17"/>
          <w:color w:val="auto"/>
        </w:rPr>
        <w:t>, if, on or after the Subscription Date and on or prior to the Expiration Date,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spin-off, reclassification, corporate rearrangement, scheme of arrangement or other similar transaction) (a “</w:t>
      </w:r>
      <w:r>
        <w:rPr>
          <w:rFonts w:ascii="Arial" w:cs="Arial" w:eastAsia="Arial" w:hAnsi="Arial"/>
          <w:sz w:val="17"/>
          <w:szCs w:val="17"/>
          <w:b w:val="1"/>
          <w:bCs w:val="1"/>
          <w:color w:val="auto"/>
        </w:rPr>
        <w:t>Distribution</w:t>
      </w:r>
      <w:r>
        <w:rPr>
          <w:rFonts w:ascii="Arial" w:cs="Arial" w:eastAsia="Arial" w:hAnsi="Arial"/>
          <w:sz w:val="17"/>
          <w:szCs w:val="17"/>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shares of Common Stock as a result of such Distribution (and beneficial ownership) to such extent) and the portion of such Distribution shall be held in abeyance for the benefit of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79" w:lineRule="exact"/>
        <w:rPr>
          <w:rFonts w:ascii="Arial" w:cs="Arial" w:eastAsia="Arial" w:hAnsi="Arial"/>
          <w:sz w:val="17"/>
          <w:szCs w:val="17"/>
          <w:color w:val="auto"/>
        </w:rPr>
      </w:pPr>
    </w:p>
    <w:p>
      <w:pPr>
        <w:ind w:left="1480" w:hanging="176"/>
        <w:spacing w:after="0"/>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PURCHASE RIGHTS; FUNDAMENTAL TRANSACTIONS.</w:t>
      </w:r>
    </w:p>
    <w:p>
      <w:pPr>
        <w:spacing w:after="0" w:line="225" w:lineRule="exact"/>
        <w:rPr>
          <w:rFonts w:ascii="Arial" w:cs="Arial" w:eastAsia="Arial" w:hAnsi="Arial"/>
          <w:sz w:val="18"/>
          <w:szCs w:val="18"/>
          <w:color w:val="auto"/>
        </w:rPr>
      </w:pPr>
    </w:p>
    <w:p>
      <w:pPr>
        <w:jc w:val="both"/>
        <w:ind w:firstLine="1952"/>
        <w:spacing w:after="0" w:line="268" w:lineRule="auto"/>
        <w:tabs>
          <w:tab w:leader="none" w:pos="2188" w:val="left"/>
        </w:tabs>
        <w:numPr>
          <w:ilvl w:val="1"/>
          <w:numId w:val="36"/>
        </w:numPr>
        <w:rPr>
          <w:rFonts w:ascii="Arial" w:cs="Arial" w:eastAsia="Arial" w:hAnsi="Arial"/>
          <w:sz w:val="17"/>
          <w:szCs w:val="17"/>
          <w:color w:val="auto"/>
        </w:rPr>
      </w:pPr>
      <w:r>
        <w:rPr>
          <w:rFonts w:ascii="Arial" w:cs="Arial" w:eastAsia="Arial" w:hAnsi="Arial"/>
          <w:sz w:val="17"/>
          <w:szCs w:val="17"/>
          <w:u w:val="single" w:color="auto"/>
          <w:color w:val="auto"/>
        </w:rPr>
        <w:t>Purchase Rights</w:t>
      </w:r>
      <w:r>
        <w:rPr>
          <w:rFonts w:ascii="Arial" w:cs="Arial" w:eastAsia="Arial" w:hAnsi="Arial"/>
          <w:sz w:val="17"/>
          <w:szCs w:val="17"/>
          <w:color w:val="auto"/>
        </w:rPr>
        <w:t xml:space="preserve">. In addition to any adjustments pursuant to </w:t>
      </w:r>
      <w:r>
        <w:rPr>
          <w:rFonts w:ascii="Arial" w:cs="Arial" w:eastAsia="Arial" w:hAnsi="Arial"/>
          <w:sz w:val="17"/>
          <w:szCs w:val="17"/>
          <w:u w:val="single" w:color="auto"/>
          <w:color w:val="auto"/>
        </w:rPr>
        <w:t>Section 2</w:t>
      </w:r>
      <w:r>
        <w:rPr>
          <w:rFonts w:ascii="Arial" w:cs="Arial" w:eastAsia="Arial" w:hAnsi="Arial"/>
          <w:sz w:val="17"/>
          <w:szCs w:val="17"/>
          <w:color w:val="auto"/>
        </w:rPr>
        <w:t>, if at any time on or after the Subscription Date and on or prior to the Expiration Date the Company grants, issues or sells any Options, Convertible Securities or rights to purchase stock, warrants, securities or other property pro rata to the record holders of any class of Common Stock (the “</w:t>
      </w:r>
      <w:r>
        <w:rPr>
          <w:rFonts w:ascii="Arial" w:cs="Arial" w:eastAsia="Arial" w:hAnsi="Arial"/>
          <w:sz w:val="17"/>
          <w:szCs w:val="17"/>
          <w:b w:val="1"/>
          <w:bCs w:val="1"/>
          <w:color w:val="auto"/>
        </w:rPr>
        <w:t>Purchase Rights</w:t>
      </w:r>
      <w:r>
        <w:rPr>
          <w:rFonts w:ascii="Arial" w:cs="Arial" w:eastAsia="Arial" w:hAnsi="Arial"/>
          <w:sz w:val="17"/>
          <w:szCs w:val="17"/>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Common Stock are to be determined for the grant, issuance or sale of such Purchase Rights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Common Stock as a result of such Purchase Right (and beneficial ownership) to such extent) and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jc w:val="both"/>
        <w:ind w:firstLine="1952"/>
        <w:spacing w:after="0" w:line="283" w:lineRule="auto"/>
        <w:tabs>
          <w:tab w:leader="none" w:pos="2199"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Fundamental Transaction</w:t>
      </w:r>
      <w:r>
        <w:rPr>
          <w:rFonts w:ascii="Arial" w:cs="Arial" w:eastAsia="Arial" w:hAnsi="Arial"/>
          <w:sz w:val="16"/>
          <w:szCs w:val="16"/>
          <w:color w:val="auto"/>
        </w:rPr>
        <w:t xml:space="preserve">. The Company shall not enter into or be party to a Fundamental Transaction unless the Successor Entity assumes in writing all of the obligations of the Company under this Warrant in accordance with the provisions of this </w:t>
      </w:r>
      <w:r>
        <w:rPr>
          <w:rFonts w:ascii="Arial" w:cs="Arial" w:eastAsia="Arial" w:hAnsi="Arial"/>
          <w:sz w:val="16"/>
          <w:szCs w:val="16"/>
          <w:u w:val="single" w:color="auto"/>
          <w:color w:val="auto"/>
        </w:rPr>
        <w:t>Section 4(b)</w:t>
      </w:r>
      <w:r>
        <w:rPr>
          <w:rFonts w:ascii="Arial" w:cs="Arial" w:eastAsia="Arial" w:hAnsi="Arial"/>
          <w:sz w:val="16"/>
          <w:szCs w:val="16"/>
          <w:color w:val="auto"/>
        </w:rPr>
        <w:t xml:space="preserve">,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Upon the consummation of each Fundamental Transaction, the Successor Entity shall succeed to, and be substituted for the Company (so that from and after the date of the applicable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 of the shares of Common Stock (or other securities, cash, assets or other property (except such items still issuable under </w:t>
      </w:r>
      <w:r>
        <w:rPr>
          <w:rFonts w:ascii="Arial" w:cs="Arial" w:eastAsia="Arial" w:hAnsi="Arial"/>
          <w:sz w:val="16"/>
          <w:szCs w:val="16"/>
          <w:u w:val="single" w:color="auto"/>
          <w:color w:val="auto"/>
        </w:rPr>
        <w:t>Sections 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4(a)</w:t>
      </w:r>
      <w:r>
        <w:rPr>
          <w:rFonts w:ascii="Arial" w:cs="Arial" w:eastAsia="Arial" w:hAnsi="Arial"/>
          <w:sz w:val="16"/>
          <w:szCs w:val="16"/>
          <w:color w:val="auto"/>
        </w:rPr>
        <w:t xml:space="preserve">, which shall continue to be receivable thereafter)) issuable upon the exercise of this Warrant prior to the applicable Fundamental Transaction, such shares of common stock (or its equivalent) of the Successor Entity (including its Parent Entity) which the Holder would have been entitled to receive upon the happening of the applicable Fundamental Transaction had this Warrant been exercised immediately prior to the applicable Fundamental Transaction (without regard to any limitations on the exercise of this Warrant), as adjusted in accordance with the provisions of this Warrant. Notwithstanding the foregoing, and without limiting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1(f)</w:t>
      </w:r>
      <w:r>
        <w:rPr>
          <w:rFonts w:ascii="Arial" w:cs="Arial" w:eastAsia="Arial" w:hAnsi="Arial"/>
          <w:sz w:val="16"/>
          <w:szCs w:val="16"/>
          <w:color w:val="auto"/>
        </w:rPr>
        <w:t xml:space="preserve"> hereof, the Holder may elect, at its sole option, by delivery of written notice to the Company to waive this </w:t>
      </w:r>
      <w:r>
        <w:rPr>
          <w:rFonts w:ascii="Arial" w:cs="Arial" w:eastAsia="Arial" w:hAnsi="Arial"/>
          <w:sz w:val="16"/>
          <w:szCs w:val="16"/>
          <w:u w:val="single" w:color="auto"/>
          <w:color w:val="auto"/>
        </w:rPr>
        <w:t>Section 4(b)</w:t>
      </w:r>
      <w:r>
        <w:rPr>
          <w:rFonts w:ascii="Arial" w:cs="Arial" w:eastAsia="Arial" w:hAnsi="Arial"/>
          <w:sz w:val="16"/>
          <w:szCs w:val="16"/>
          <w:color w:val="auto"/>
        </w:rPr>
        <w:t xml:space="preserve"> to permit the Fundamental Transaction without the assumption of this Warrant. 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Arial" w:cs="Arial" w:eastAsia="Arial" w:hAnsi="Arial"/>
          <w:sz w:val="16"/>
          <w:szCs w:val="16"/>
          <w:b w:val="1"/>
          <w:bCs w:val="1"/>
          <w:color w:val="auto"/>
        </w:rPr>
        <w:t>Corporate Event</w:t>
      </w:r>
      <w:r>
        <w:rPr>
          <w:rFonts w:ascii="Arial" w:cs="Arial" w:eastAsia="Arial" w:hAnsi="Arial"/>
          <w:sz w:val="16"/>
          <w:szCs w:val="16"/>
          <w:color w:val="auto"/>
        </w:rPr>
        <w:t xml:space="preserve">”),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w:t>
      </w:r>
      <w:r>
        <w:rPr>
          <w:rFonts w:ascii="Arial" w:cs="Arial" w:eastAsia="Arial" w:hAnsi="Arial"/>
          <w:sz w:val="16"/>
          <w:szCs w:val="16"/>
          <w:u w:val="single" w:color="auto"/>
          <w:color w:val="auto"/>
        </w:rPr>
        <w:t>Sections 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4(a)</w:t>
      </w:r>
      <w:r>
        <w:rPr>
          <w:rFonts w:ascii="Arial" w:cs="Arial" w:eastAsia="Arial" w:hAnsi="Arial"/>
          <w:sz w:val="16"/>
          <w:szCs w:val="16"/>
          <w:color w:val="auto"/>
        </w:rPr>
        <w:t xml:space="preser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The provision made pursuant to the preceding sentence shall be in a form and substance reasonably satisfactory to the Holder. The provisions of this </w:t>
      </w:r>
      <w:r>
        <w:rPr>
          <w:rFonts w:ascii="Arial" w:cs="Arial" w:eastAsia="Arial" w:hAnsi="Arial"/>
          <w:sz w:val="16"/>
          <w:szCs w:val="16"/>
          <w:u w:val="single" w:color="auto"/>
          <w:color w:val="auto"/>
        </w:rPr>
        <w:t>Section 4(b)</w:t>
      </w:r>
      <w:r>
        <w:rPr>
          <w:rFonts w:ascii="Arial" w:cs="Arial" w:eastAsia="Arial" w:hAnsi="Arial"/>
          <w:sz w:val="16"/>
          <w:szCs w:val="16"/>
          <w:color w:val="auto"/>
        </w:rPr>
        <w:t xml:space="preserve"> shall apply similarly and equally to successive Fundamental Transactions and Corporate Events.</w:t>
      </w:r>
    </w:p>
    <w:p>
      <w:pPr>
        <w:spacing w:after="0" w:line="200" w:lineRule="exact"/>
        <w:rPr>
          <w:rFonts w:ascii="Arial" w:cs="Arial" w:eastAsia="Arial" w:hAnsi="Arial"/>
          <w:sz w:val="16"/>
          <w:szCs w:val="16"/>
          <w:color w:val="auto"/>
        </w:rPr>
      </w:pPr>
    </w:p>
    <w:p>
      <w:pPr>
        <w:spacing w:after="0" w:line="203" w:lineRule="exact"/>
        <w:rPr>
          <w:rFonts w:ascii="Arial" w:cs="Arial" w:eastAsia="Arial" w:hAnsi="Arial"/>
          <w:sz w:val="16"/>
          <w:szCs w:val="16"/>
          <w:color w:val="auto"/>
        </w:rPr>
      </w:pPr>
    </w:p>
    <w:p>
      <w:pPr>
        <w:jc w:val="both"/>
        <w:ind w:firstLine="1304"/>
        <w:spacing w:after="0" w:line="269" w:lineRule="auto"/>
        <w:tabs>
          <w:tab w:leader="none" w:pos="1489"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NONCIRCUMVENTION</w:t>
      </w:r>
      <w:r>
        <w:rPr>
          <w:rFonts w:ascii="Arial" w:cs="Arial" w:eastAsia="Arial" w:hAnsi="Arial"/>
          <w:sz w:val="17"/>
          <w:szCs w:val="17"/>
          <w:color w:val="auto"/>
        </w:rPr>
        <w:t>. The Company hereby covenants and agrees that the Company will not, by amendment of its Articles of Incorporation or Bylaws,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exercise of this Warrant, and (iii) shall, so long as any of the Warrants are outstanding, take all action necessary to reserve and keep available out of its authorized and unissued shares of Common Stock, solely for the purpose of effecting the exercise of the Warrants, the number of shares of Common Stock as shall from time to time be necessary to effect the exercise of the Warrants then outstanding (without regard to any limitations on exercise).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jc w:val="both"/>
        <w:ind w:left="-20" w:firstLine="1304"/>
        <w:spacing w:after="0" w:line="288" w:lineRule="auto"/>
        <w:tabs>
          <w:tab w:leader="none" w:pos="1456"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WARRANT HOLDER NOT DEEMED A STOCKHOLDER</w:t>
      </w:r>
      <w:r>
        <w:rPr>
          <w:rFonts w:ascii="Arial" w:cs="Arial" w:eastAsia="Arial" w:hAnsi="Arial"/>
          <w:sz w:val="16"/>
          <w:szCs w:val="16"/>
          <w:color w:val="auto"/>
        </w:rPr>
        <w:t xml:space="preserve">. Except as otherwise specifically provided herein, the Holder, solely in such Person’s capacity as a holder of this Warrant, shall not be entitled to vote or receive dividends or be deemed the holder of capital stock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w:t>
      </w:r>
      <w:r>
        <w:rPr>
          <w:rFonts w:ascii="Arial" w:cs="Arial" w:eastAsia="Arial" w:hAnsi="Arial"/>
          <w:sz w:val="16"/>
          <w:szCs w:val="16"/>
          <w:u w:val="single" w:color="auto"/>
          <w:color w:val="auto"/>
        </w:rPr>
        <w:t>Section 6</w:t>
      </w:r>
      <w:r>
        <w:rPr>
          <w:rFonts w:ascii="Arial" w:cs="Arial" w:eastAsia="Arial" w:hAnsi="Arial"/>
          <w:sz w:val="16"/>
          <w:szCs w:val="16"/>
          <w:color w:val="auto"/>
        </w:rPr>
        <w:t>, the Company shall provide the Holder with copies of the same notices and other information given to the stockholders of the Company generally, contemporaneously with the giving thereof to the stockholders.</w:t>
      </w:r>
    </w:p>
    <w:p>
      <w:pPr>
        <w:spacing w:after="0" w:line="168" w:lineRule="exact"/>
        <w:rPr>
          <w:rFonts w:ascii="Arial" w:cs="Arial" w:eastAsia="Arial" w:hAnsi="Arial"/>
          <w:sz w:val="16"/>
          <w:szCs w:val="16"/>
          <w:color w:val="auto"/>
        </w:rPr>
      </w:pPr>
    </w:p>
    <w:p>
      <w:pPr>
        <w:ind w:left="1460" w:hanging="176"/>
        <w:spacing w:after="0"/>
        <w:tabs>
          <w:tab w:leader="none" w:pos="146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REISSUANCE OF WARRANTS.</w:t>
      </w:r>
    </w:p>
    <w:p>
      <w:pPr>
        <w:spacing w:after="0" w:line="225" w:lineRule="exact"/>
        <w:rPr>
          <w:rFonts w:ascii="Arial" w:cs="Arial" w:eastAsia="Arial" w:hAnsi="Arial"/>
          <w:sz w:val="18"/>
          <w:szCs w:val="18"/>
          <w:color w:val="auto"/>
        </w:rPr>
      </w:pPr>
    </w:p>
    <w:p>
      <w:pPr>
        <w:jc w:val="both"/>
        <w:ind w:left="-20" w:firstLine="1952"/>
        <w:spacing w:after="0" w:line="254" w:lineRule="auto"/>
        <w:tabs>
          <w:tab w:leader="none" w:pos="2168"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Transfer of Warrant</w:t>
      </w:r>
      <w:r>
        <w:rPr>
          <w:rFonts w:ascii="Arial" w:cs="Arial" w:eastAsia="Arial" w:hAnsi="Arial"/>
          <w:sz w:val="18"/>
          <w:szCs w:val="18"/>
          <w:color w:val="auto"/>
        </w:rPr>
        <w:t xml:space="preserve">. If this Warrant is to be transferred, the Holder shall notify the Company and surrender this Warrant to the Company, whereupon the Company will forthwith issue and deliver upon the order of the Holder a new Warrant (in accordance with </w:t>
      </w:r>
      <w:r>
        <w:rPr>
          <w:rFonts w:ascii="Arial" w:cs="Arial" w:eastAsia="Arial" w:hAnsi="Arial"/>
          <w:sz w:val="18"/>
          <w:szCs w:val="18"/>
          <w:u w:val="single" w:color="auto"/>
          <w:color w:val="auto"/>
        </w:rPr>
        <w:t>Section 7(d)</w:t>
      </w:r>
      <w:r>
        <w:rPr>
          <w:rFonts w:ascii="Arial" w:cs="Arial" w:eastAsia="Arial" w:hAnsi="Arial"/>
          <w:sz w:val="18"/>
          <w:szCs w:val="18"/>
          <w:color w:val="auto"/>
        </w:rPr>
        <w:t xml:space="preserve">), registered as the Holder may request, representing the right to purchase the number of Warrant Shares being transferred by the Holder and, if less than the total number of Warrant Shares then underlying this Warrant is being transferred, a new Warrant (in accordance with </w:t>
      </w:r>
      <w:r>
        <w:rPr>
          <w:rFonts w:ascii="Arial" w:cs="Arial" w:eastAsia="Arial" w:hAnsi="Arial"/>
          <w:sz w:val="18"/>
          <w:szCs w:val="18"/>
          <w:u w:val="single" w:color="auto"/>
          <w:color w:val="auto"/>
        </w:rPr>
        <w:t>Section 7(d)</w:t>
      </w:r>
      <w:r>
        <w:rPr>
          <w:rFonts w:ascii="Arial" w:cs="Arial" w:eastAsia="Arial" w:hAnsi="Arial"/>
          <w:sz w:val="18"/>
          <w:szCs w:val="18"/>
          <w:color w:val="auto"/>
        </w:rPr>
        <w:t>) to the Holder representing the right to purchase the number of Warrant Shares not being transferred. The Company shall not be obligated to pay any tax which may be payable with respect to any transfer (or deemed transfer) arising in connection with the registration of any certificates for Warrant Shares or Warrants in the name of any Person other than the Holder.</w:t>
      </w:r>
    </w:p>
    <w:p>
      <w:pPr>
        <w:spacing w:after="0" w:line="194" w:lineRule="exact"/>
        <w:rPr>
          <w:rFonts w:ascii="Arial" w:cs="Arial" w:eastAsia="Arial" w:hAnsi="Arial"/>
          <w:sz w:val="18"/>
          <w:szCs w:val="18"/>
          <w:color w:val="auto"/>
        </w:rPr>
      </w:pPr>
    </w:p>
    <w:p>
      <w:pPr>
        <w:jc w:val="both"/>
        <w:ind w:left="-20" w:firstLine="1952"/>
        <w:spacing w:after="0" w:line="257" w:lineRule="auto"/>
        <w:tabs>
          <w:tab w:leader="none" w:pos="2179"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Lost, Stolen or Mutilated Warrant</w:t>
      </w:r>
      <w:r>
        <w:rPr>
          <w:rFonts w:ascii="Arial" w:cs="Arial" w:eastAsia="Arial" w:hAnsi="Arial"/>
          <w:sz w:val="18"/>
          <w:szCs w:val="18"/>
          <w:color w:val="auto"/>
        </w:rPr>
        <w:t xml:space="preserve">. Upon receipt by the Company of evidence reasonably satisfactory to the Company of the loss, theft, destruction or mutilation of this Warrant, and, in the case of loss, theft or destruction, of any indemnification undertaking by the Holder to the Company in customary form (but without the obligation to post a bond) and, in the case of mutilation, upon surrender and cancellation of this Warrant, the Company shall execute and deliver to the Holder a new Warrant (in accordance with </w:t>
      </w:r>
      <w:r>
        <w:rPr>
          <w:rFonts w:ascii="Arial" w:cs="Arial" w:eastAsia="Arial" w:hAnsi="Arial"/>
          <w:sz w:val="18"/>
          <w:szCs w:val="18"/>
          <w:u w:val="single" w:color="auto"/>
          <w:color w:val="auto"/>
        </w:rPr>
        <w:t>Section 7(d)</w:t>
      </w:r>
      <w:r>
        <w:rPr>
          <w:rFonts w:ascii="Arial" w:cs="Arial" w:eastAsia="Arial" w:hAnsi="Arial"/>
          <w:sz w:val="18"/>
          <w:szCs w:val="18"/>
          <w:color w:val="auto"/>
        </w:rPr>
        <w:t>) representing the right to purchase the Warrant Shares then underlying this Warrant.</w:t>
      </w:r>
    </w:p>
    <w:p>
      <w:pPr>
        <w:spacing w:after="0" w:line="187" w:lineRule="exact"/>
        <w:rPr>
          <w:rFonts w:ascii="Arial" w:cs="Arial" w:eastAsia="Arial" w:hAnsi="Arial"/>
          <w:sz w:val="18"/>
          <w:szCs w:val="18"/>
          <w:color w:val="auto"/>
        </w:rPr>
      </w:pPr>
    </w:p>
    <w:p>
      <w:pPr>
        <w:jc w:val="both"/>
        <w:ind w:left="-20" w:firstLine="1952"/>
        <w:spacing w:after="0" w:line="259" w:lineRule="auto"/>
        <w:tabs>
          <w:tab w:leader="none" w:pos="2168"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Exchangeable for Multiple Warrants</w:t>
      </w:r>
      <w:r>
        <w:rPr>
          <w:rFonts w:ascii="Arial" w:cs="Arial" w:eastAsia="Arial" w:hAnsi="Arial"/>
          <w:sz w:val="18"/>
          <w:szCs w:val="18"/>
          <w:color w:val="auto"/>
        </w:rPr>
        <w:t xml:space="preserve">. This Warrant is exchangeable, upon the surrender hereof by the Holder at the principal office of the Company, for a new Warrant or Warrants (in accordance with </w:t>
      </w:r>
      <w:r>
        <w:rPr>
          <w:rFonts w:ascii="Arial" w:cs="Arial" w:eastAsia="Arial" w:hAnsi="Arial"/>
          <w:sz w:val="18"/>
          <w:szCs w:val="18"/>
          <w:u w:val="single" w:color="auto"/>
          <w:color w:val="auto"/>
        </w:rPr>
        <w:t>Section 7(d)</w:t>
      </w:r>
      <w:r>
        <w:rPr>
          <w:rFonts w:ascii="Arial" w:cs="Arial" w:eastAsia="Arial" w:hAnsi="Arial"/>
          <w:sz w:val="18"/>
          <w:szCs w:val="18"/>
          <w:color w:val="auto"/>
        </w:rPr>
        <w:t>) representing in the aggregate the right to purchase the number of Warrant Shares then underlying this Warrant, and each such new Warrant will represent the right to purchase such portion of such Warrant Shares as is designated by the Holder at the time of such surrender.</w:t>
      </w:r>
    </w:p>
    <w:p>
      <w:pPr>
        <w:spacing w:after="0" w:line="186" w:lineRule="exact"/>
        <w:rPr>
          <w:rFonts w:ascii="Arial" w:cs="Arial" w:eastAsia="Arial" w:hAnsi="Arial"/>
          <w:sz w:val="18"/>
          <w:szCs w:val="18"/>
          <w:color w:val="auto"/>
        </w:rPr>
      </w:pPr>
    </w:p>
    <w:p>
      <w:pPr>
        <w:jc w:val="both"/>
        <w:ind w:left="-20" w:firstLine="1952"/>
        <w:spacing w:after="0" w:line="293" w:lineRule="auto"/>
        <w:tabs>
          <w:tab w:leader="none" w:pos="2179" w:val="left"/>
        </w:tabs>
        <w:numPr>
          <w:ilvl w:val="1"/>
          <w:numId w:val="39"/>
        </w:numPr>
        <w:rPr>
          <w:rFonts w:ascii="Arial" w:cs="Arial" w:eastAsia="Arial" w:hAnsi="Arial"/>
          <w:sz w:val="16"/>
          <w:szCs w:val="16"/>
          <w:color w:val="auto"/>
        </w:rPr>
      </w:pPr>
      <w:r>
        <w:rPr>
          <w:rFonts w:ascii="Arial" w:cs="Arial" w:eastAsia="Arial" w:hAnsi="Arial"/>
          <w:sz w:val="16"/>
          <w:szCs w:val="16"/>
          <w:u w:val="single" w:color="auto"/>
          <w:color w:val="auto"/>
        </w:rPr>
        <w:t>Issuance of New Warrants</w:t>
      </w:r>
      <w:r>
        <w:rPr>
          <w:rFonts w:ascii="Arial" w:cs="Arial" w:eastAsia="Arial" w:hAnsi="Arial"/>
          <w:sz w:val="16"/>
          <w:szCs w:val="16"/>
          <w:color w:val="auto"/>
        </w:rPr>
        <w:t xml:space="preserve">.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w:t>
      </w:r>
      <w:r>
        <w:rPr>
          <w:rFonts w:ascii="Arial" w:cs="Arial" w:eastAsia="Arial" w:hAnsi="Arial"/>
          <w:sz w:val="16"/>
          <w:szCs w:val="16"/>
          <w:u w:val="single" w:color="auto"/>
          <w:color w:val="auto"/>
        </w:rPr>
        <w:t>Section 7(a)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7(c)</w:t>
      </w:r>
      <w:r>
        <w:rPr>
          <w:rFonts w:ascii="Arial" w:cs="Arial" w:eastAsia="Arial" w:hAnsi="Arial"/>
          <w:sz w:val="16"/>
          <w:szCs w:val="16"/>
          <w:color w:val="auto"/>
        </w:rPr>
        <w:t>,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37" w:name="page38"/>
    <w:bookmarkEnd w:id="37"/>
    <w:p>
      <w:pPr>
        <w:jc w:val="both"/>
        <w:ind w:firstLine="1304"/>
        <w:spacing w:after="0" w:line="270" w:lineRule="auto"/>
        <w:tabs>
          <w:tab w:leader="none" w:pos="1503"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xml:space="preserve">. Whenever notice is required to be given under this Warrant, including, without limitation, an Exercise Notice, unless otherwise provided herein, such notice shall be given in writing, (i) if delivered (a) from within the domestic United States, by first-class registered or certified airmail, or nationally recognized overnight express courier, postage prepaid or electronic mail or (b) from outside the United States, by International Federal Express or electronic mail, and (ii) will be deemed given (A) if delivered by first-class registered or certified mail domestic, three (3) Business Days after so mailed, (B) if delivered by nationally recognized overnight carrier, one (1) Business Day after so mailed, (C) if delivered by International Federal Express, two (2) Business Days after so mailed and (D) at the time of transmission, if delivered by electronic mail to each of the email addresses specified in this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prior to 5:00 p.m. (New York time) on a Trading Day and (E) the next Trading Day after the date of transmission, if delivered by electronic mail to each of the email addresses specified in this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on a day that is not a Trading Day or later than 5:00 p.m. (New York time) on any Trading Day, and will be delivered and addressed as follows: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 if to the Company,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Agrify Corporation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2468 Industrial Row Drive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Troy, MI 48084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Telephone: (919) 619-7346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Joshua Savitz, Esq., Associate General Counsel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josh.savitz@agrify.com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(for informational purposes only)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Burns &amp; Levinson LLP</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125 High Street</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Boston, MA 02110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Telephone: (617) 345-3000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Frank A. Segall, Esq.</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fsegall@burnslev.com</w:t>
      </w:r>
    </w:p>
    <w:p>
      <w:pPr>
        <w:spacing w:after="0" w:line="211" w:lineRule="exact"/>
        <w:rPr>
          <w:sz w:val="20"/>
          <w:szCs w:val="20"/>
          <w:color w:val="auto"/>
        </w:rPr>
      </w:pPr>
    </w:p>
    <w:p>
      <w:pPr>
        <w:ind w:firstLine="1304"/>
        <w:spacing w:after="0" w:line="277" w:lineRule="auto"/>
        <w:tabs>
          <w:tab w:leader="none" w:pos="1563"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to the Holder, at such address or other contact information delivered by the Holder to Company or as is on the books and records of the Company (provided that, with respect to the Holder, such notice may only be delivered via electronic mail),</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(for informational purposes only)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12670 High Bluff Drive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Diego, CA 92130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Telephone: (858) 523-5400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Michael E. Sullivan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michael.sullivan@lw.com</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jc w:val="both"/>
        <w:spacing w:after="0" w:line="269" w:lineRule="auto"/>
        <w:rPr>
          <w:sz w:val="20"/>
          <w:szCs w:val="20"/>
          <w:color w:val="auto"/>
        </w:rPr>
      </w:pPr>
      <w:r>
        <w:rPr>
          <w:rFonts w:ascii="Arial" w:cs="Arial" w:eastAsia="Arial" w:hAnsi="Arial"/>
          <w:sz w:val="17"/>
          <w:szCs w:val="17"/>
          <w:color w:val="auto"/>
        </w:rPr>
        <w:t xml:space="preserve">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 (i) promptly upon any adjustment of the Exercise Price, setting forth in reasonable detail, and certifying, the calculation of such adjustment, (ii) at least fifteen (15) days prior to the date on which the Company closes its books or takes a record (A) with respect to any dividend or distribution upon the shares of Common Stock, (B) with respect to any grants, issuances or sales of any Options, Convertible Securities or rights to purchase stock, warrants, securities or other property pro rata to holders of shares of Common Stock or (C) for determining rights to vote with respect to any Fundamental Transaction, dissolution or liquidation and (iii) ten (10) Business Days (or such shorter period as is reasonably practicable under the circumstances if the Company does not have 10 Business Days’ prior notice) prior to the consummation of any Fundamental Transaction;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each case that such information shall be made known to the public prior to or in conjunction with such notice being provided to the Holder but only to the extent the information in such notice constitutes material non-public information regarding the Company. It is expressly understood and agreed that the time of exercise specified by the Holder in each Exercise Notice shall be definitive and may not be disputed or challenged by the Company.</w:t>
      </w:r>
    </w:p>
    <w:p>
      <w:pPr>
        <w:spacing w:after="0" w:line="182" w:lineRule="exact"/>
        <w:rPr>
          <w:sz w:val="20"/>
          <w:szCs w:val="20"/>
          <w:color w:val="auto"/>
        </w:rPr>
      </w:pPr>
    </w:p>
    <w:p>
      <w:pPr>
        <w:jc w:val="both"/>
        <w:ind w:firstLine="1304"/>
        <w:spacing w:after="0" w:line="254" w:lineRule="auto"/>
        <w:tabs>
          <w:tab w:leader="none" w:pos="1476"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AMENDMENT AND WAIVER</w:t>
      </w:r>
      <w:r>
        <w:rPr>
          <w:rFonts w:ascii="Arial" w:cs="Arial" w:eastAsia="Arial" w:hAnsi="Arial"/>
          <w:sz w:val="18"/>
          <w:szCs w:val="18"/>
          <w:color w:val="auto"/>
        </w:rPr>
        <w:t>. Except as otherwise provided herein, the provisions of this Warrant may be amended or waived and the Company may take any action herein prohibited, or omit to perform any act herein required to be performed by it, only if the Company has obtained the written consent of the Holder. No waiver by any party shall operate or be construed as a waiver in respect of any failure, breach or default not expressly identified by such written waiver, whether of a similar or different character, and whether occurring before or after that waiver. No failure to exercise, or delay in exercising, any rights, remedy, power or privilege arising from this Warrant shall operate or be construed as a waiver thereof; nor shall any single or partial exercise of any right, remedy, power or privilege hereunder preclude any other or further exercise thereof or the exercise of any other right, remedy, power or privilege.</w:t>
      </w:r>
    </w:p>
    <w:p>
      <w:pPr>
        <w:spacing w:after="0" w:line="194" w:lineRule="exact"/>
        <w:rPr>
          <w:rFonts w:ascii="Arial" w:cs="Arial" w:eastAsia="Arial" w:hAnsi="Arial"/>
          <w:sz w:val="18"/>
          <w:szCs w:val="18"/>
          <w:color w:val="auto"/>
        </w:rPr>
      </w:pPr>
    </w:p>
    <w:p>
      <w:pPr>
        <w:jc w:val="both"/>
        <w:ind w:firstLine="1304"/>
        <w:spacing w:after="0" w:line="282" w:lineRule="auto"/>
        <w:tabs>
          <w:tab w:leader="none" w:pos="1566"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GOVERNING LAW; JURISDICTION; JURY TRIAL</w:t>
      </w:r>
      <w:r>
        <w:rPr>
          <w:rFonts w:ascii="Arial" w:cs="Arial" w:eastAsia="Arial" w:hAnsi="Arial"/>
          <w:sz w:val="16"/>
          <w:szCs w:val="16"/>
          <w:color w:val="auto"/>
        </w:rPr>
        <w:t xml:space="preserve">. This Warrant shall be governed by and construed and enforced in accordance with, and all questions concerning the construction, validity, interpretation and performance of this Warrant shall be governed by, the internal laws of the State of Delaware, without giving effect to any choice of law or conflict of law provision or rule (whether of the State of Delaware or any other jurisdictions) that would cause the application of the laws of any jurisdictions other than the State of New York. Each party hereto hereby irrevocably submits to the exclusive jurisdiction of the Court of Chancery of the State of Delaware, for the adjudication of any dispute hereunder or in connection herewith or with any transaction contemplated hereby or discussed herein, and hereby irrevocably waives, and agrees not to assert in any suit, action or proceeding, any claim that such party is not personally subject to the jurisdiction of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set forth with respect to such party in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or such other address as such party subsequently delivers to the other party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a party hereto from bringing suit or taking other legal action against the other party in any other jurisdiction to collect on its obligations to the other party, to realize on any collateral or any other security for such obligations, or to enforce a judgment or other court ruling in favor of the other party.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 </w:t>
      </w:r>
      <w:r>
        <w:rPr>
          <w:rFonts w:ascii="Arial" w:cs="Arial" w:eastAsia="Arial" w:hAnsi="Arial"/>
          <w:sz w:val="16"/>
          <w:szCs w:val="16"/>
          <w:b w:val="1"/>
          <w:bCs w:val="1"/>
          <w:color w:val="auto"/>
        </w:rPr>
        <w:t>EACH PARTY HERETO HEREBY</w:t>
      </w:r>
    </w:p>
    <w:p>
      <w:pPr>
        <w:spacing w:after="0" w:line="11" w:lineRule="exact"/>
        <w:rPr>
          <w:rFonts w:ascii="Arial" w:cs="Arial" w:eastAsia="Arial" w:hAnsi="Arial"/>
          <w:sz w:val="16"/>
          <w:szCs w:val="16"/>
          <w:color w:val="auto"/>
        </w:rPr>
      </w:pPr>
    </w:p>
    <w:p>
      <w:pPr>
        <w:jc w:val="both"/>
        <w:spacing w:after="0" w:line="255" w:lineRule="auto"/>
        <w:rPr>
          <w:rFonts w:ascii="Arial" w:cs="Arial" w:eastAsia="Arial" w:hAnsi="Arial"/>
          <w:sz w:val="16"/>
          <w:szCs w:val="16"/>
          <w:color w:val="auto"/>
        </w:rPr>
      </w:pPr>
      <w:r>
        <w:rPr>
          <w:rFonts w:ascii="Arial" w:cs="Arial" w:eastAsia="Arial" w:hAnsi="Arial"/>
          <w:sz w:val="18"/>
          <w:szCs w:val="18"/>
          <w:b w:val="1"/>
          <w:bCs w:val="1"/>
          <w:color w:val="auto"/>
        </w:rPr>
        <w:t>IRREVOCABLY WAIVES ANY RIGHT IT MAY HAVE, AND AGREES NOT TO REQUEST, A JURY TRIAL FOR THE ADJUDICATION OF ANY DISPUTE HEREUNDER OR IN CONNECTION WITH OR ARISING OUT OF THIS WARRANT OR ANY TRANSACTION CONTEMPLATED HEREBY</w:t>
      </w:r>
      <w:r>
        <w:rPr>
          <w:rFonts w:ascii="Arial" w:cs="Arial" w:eastAsia="Arial" w:hAnsi="Arial"/>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jc w:val="both"/>
        <w:ind w:firstLine="1304"/>
        <w:spacing w:after="0" w:line="288" w:lineRule="auto"/>
        <w:tabs>
          <w:tab w:leader="none" w:pos="1559"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DISPUTE RESOLUTION</w:t>
      </w:r>
      <w:r>
        <w:rPr>
          <w:rFonts w:ascii="Arial" w:cs="Arial" w:eastAsia="Arial" w:hAnsi="Arial"/>
          <w:sz w:val="16"/>
          <w:szCs w:val="16"/>
          <w:color w:val="auto"/>
        </w:rPr>
        <w:t>. In the case of a dispute as to the determination of the Exercise Price or the arithmetic calculation of the Warrant Shares, the Company shall submit the disputed determinations or arithmetic calculations via electronic mail within two (2) Business Days of receipt of the Exercise Notice or other event giving rise to such dispute, as the case may be, to the Holder. If the Holder and the Company are unable to agree upon such determination or calculation of the Exercise Price or the Warrant Shares within three (3) Business Days of such disputed determination or arithmetic calculation being submitted to the Holder, then the Company shall, within two (2) Business Days submit via electronic mail (a) the disputed determination of the Exercise Price to an independent, reputable investment bank selected by the Company and approved by the Holder or (b) the disputed arithmetic calculation of the Warrant Shares to the Company’s independent, outside accountant. The Company shall cause, at its expense, the investment bank or the accountant, as the case may be, to perform the determinations or calculations and notify the Company and the Holder of the results no later than ten (10) Business Days from the time it receives the disputed determinations or calculations. Such investment bank’s or accountant’s determination or calculation, as the case may be, shall be binding upon all parties absent demonstrable error.</w:t>
      </w:r>
    </w:p>
    <w:p>
      <w:pPr>
        <w:spacing w:after="0" w:line="168" w:lineRule="exact"/>
        <w:rPr>
          <w:rFonts w:ascii="Arial" w:cs="Arial" w:eastAsia="Arial" w:hAnsi="Arial"/>
          <w:sz w:val="16"/>
          <w:szCs w:val="16"/>
          <w:color w:val="auto"/>
        </w:rPr>
      </w:pPr>
    </w:p>
    <w:p>
      <w:pPr>
        <w:jc w:val="both"/>
        <w:ind w:firstLine="1304"/>
        <w:spacing w:after="0" w:line="291" w:lineRule="auto"/>
        <w:tabs>
          <w:tab w:leader="none" w:pos="1566"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REMEDIES, OTHER OBLIGATIONS, BREACHES AND INJUNCTIVE RELIEF</w:t>
      </w:r>
      <w:r>
        <w:rPr>
          <w:rFonts w:ascii="Arial" w:cs="Arial" w:eastAsia="Arial" w:hAnsi="Arial"/>
          <w:sz w:val="16"/>
          <w:szCs w:val="16"/>
          <w:color w:val="auto"/>
        </w:rPr>
        <w:t>. The remedies provided in this Warrant shall be cumulative and in addition to all other remedies available under this Warrant and any other Transaction Documents, at law or in equity (including a decree of specific performance and/or other injunctive relief), and nothing herein shall limit the right of the Holder or the Company to pursue actual damages for any failure by the other party to comply with the terms of this Warrant. Each of the Company and the Holder acknowledges that a breach by such party of its obligations hereunder will cause irreparable harm to the other party and that the remedy at law for any such breach may be inadequate. The Company and the Holder therefore agree that, in the event of any such breach or threatened breach, the other party shall be entitled, in addition to all other available remedies, to an injunction restraining any breach, without the necessity of showing economic loss and without any bond or other security being required.</w:t>
      </w:r>
    </w:p>
    <w:p>
      <w:pPr>
        <w:spacing w:after="0" w:line="166" w:lineRule="exact"/>
        <w:rPr>
          <w:rFonts w:ascii="Arial" w:cs="Arial" w:eastAsia="Arial" w:hAnsi="Arial"/>
          <w:sz w:val="16"/>
          <w:szCs w:val="16"/>
          <w:color w:val="auto"/>
        </w:rPr>
      </w:pPr>
    </w:p>
    <w:p>
      <w:pPr>
        <w:ind w:firstLine="1304"/>
        <w:spacing w:after="0" w:line="277" w:lineRule="auto"/>
        <w:tabs>
          <w:tab w:leader="none" w:pos="1566"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 xml:space="preserve">. Subject to compliance with </w:t>
      </w:r>
      <w:r>
        <w:rPr>
          <w:rFonts w:ascii="Arial" w:cs="Arial" w:eastAsia="Arial" w:hAnsi="Arial"/>
          <w:sz w:val="18"/>
          <w:szCs w:val="18"/>
          <w:u w:val="single" w:color="auto"/>
          <w:color w:val="auto"/>
        </w:rPr>
        <w:t>Section 7(a)</w:t>
      </w:r>
      <w:r>
        <w:rPr>
          <w:rFonts w:ascii="Arial" w:cs="Arial" w:eastAsia="Arial" w:hAnsi="Arial"/>
          <w:sz w:val="18"/>
          <w:szCs w:val="18"/>
          <w:color w:val="auto"/>
        </w:rPr>
        <w:t>, this Warrant and the Warrant Shares may be offered for sale, sold, transferred, pledged or assigned without the consent of the Company.</w:t>
      </w:r>
    </w:p>
    <w:p>
      <w:pPr>
        <w:spacing w:after="0" w:line="170" w:lineRule="exact"/>
        <w:rPr>
          <w:rFonts w:ascii="Arial" w:cs="Arial" w:eastAsia="Arial" w:hAnsi="Arial"/>
          <w:sz w:val="18"/>
          <w:szCs w:val="18"/>
          <w:color w:val="auto"/>
        </w:rPr>
      </w:pPr>
    </w:p>
    <w:p>
      <w:pPr>
        <w:ind w:left="1580" w:hanging="276"/>
        <w:spacing w:after="0"/>
        <w:tabs>
          <w:tab w:leader="none" w:pos="158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COMPLIANCE WITH THE SECURITIES ACT.</w:t>
      </w:r>
    </w:p>
    <w:p>
      <w:pPr>
        <w:spacing w:after="0" w:line="225" w:lineRule="exact"/>
        <w:rPr>
          <w:rFonts w:ascii="Arial" w:cs="Arial" w:eastAsia="Arial" w:hAnsi="Arial"/>
          <w:sz w:val="18"/>
          <w:szCs w:val="18"/>
          <w:color w:val="auto"/>
        </w:rPr>
      </w:pPr>
    </w:p>
    <w:p>
      <w:pPr>
        <w:ind w:firstLine="1952"/>
        <w:spacing w:after="0" w:line="277" w:lineRule="auto"/>
        <w:tabs>
          <w:tab w:leader="none" w:pos="2188"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Representations of the Holder</w:t>
      </w:r>
      <w:r>
        <w:rPr>
          <w:rFonts w:ascii="Arial" w:cs="Arial" w:eastAsia="Arial" w:hAnsi="Arial"/>
          <w:sz w:val="18"/>
          <w:szCs w:val="18"/>
          <w:color w:val="auto"/>
        </w:rPr>
        <w:t>. In connection with the issuance of this Warrant, the Holder specifically represents, as of the date hereof, to the Company by acceptance of this Warrant as follows:</w:t>
      </w:r>
    </w:p>
    <w:p>
      <w:pPr>
        <w:spacing w:after="0" w:line="170" w:lineRule="exact"/>
        <w:rPr>
          <w:rFonts w:ascii="Arial" w:cs="Arial" w:eastAsia="Arial" w:hAnsi="Arial"/>
          <w:sz w:val="18"/>
          <w:szCs w:val="18"/>
          <w:color w:val="auto"/>
        </w:rPr>
      </w:pPr>
    </w:p>
    <w:p>
      <w:pPr>
        <w:jc w:val="both"/>
        <w:ind w:firstLine="2600"/>
        <w:spacing w:after="0" w:line="259" w:lineRule="auto"/>
        <w:tabs>
          <w:tab w:leader="none" w:pos="2853" w:val="left"/>
        </w:tabs>
        <w:numPr>
          <w:ilvl w:val="2"/>
          <w:numId w:val="43"/>
        </w:numPr>
        <w:rPr>
          <w:rFonts w:ascii="Arial" w:cs="Arial" w:eastAsia="Arial" w:hAnsi="Arial"/>
          <w:sz w:val="18"/>
          <w:szCs w:val="18"/>
          <w:color w:val="auto"/>
        </w:rPr>
      </w:pPr>
      <w:r>
        <w:rPr>
          <w:rFonts w:ascii="Arial" w:cs="Arial" w:eastAsia="Arial" w:hAnsi="Arial"/>
          <w:sz w:val="18"/>
          <w:szCs w:val="18"/>
          <w:color w:val="auto"/>
        </w:rPr>
        <w:t>The Holder is an “accredited investor” as defined in Rule 501(a) of Regulation D promulgated under the Securities Act. The Holder is acquiring this Warrant and the shares of Common Stock to be issued upon exercise hereof for investment for its own account and not with a view towards, or for resale in connection with, the public sale or distribution of this Warrant or the Warrant Shares, except pursuant to sales registered or exempted under the Securities Act.</w:t>
      </w:r>
    </w:p>
    <w:p>
      <w:pPr>
        <w:spacing w:after="0" w:line="186" w:lineRule="exact"/>
        <w:rPr>
          <w:rFonts w:ascii="Arial" w:cs="Arial" w:eastAsia="Arial" w:hAnsi="Arial"/>
          <w:sz w:val="18"/>
          <w:szCs w:val="18"/>
          <w:color w:val="auto"/>
        </w:rPr>
      </w:pPr>
    </w:p>
    <w:p>
      <w:pPr>
        <w:jc w:val="both"/>
        <w:ind w:firstLine="2600"/>
        <w:spacing w:after="0" w:line="275" w:lineRule="auto"/>
        <w:tabs>
          <w:tab w:leader="none" w:pos="2864" w:val="left"/>
        </w:tabs>
        <w:numPr>
          <w:ilvl w:val="2"/>
          <w:numId w:val="43"/>
        </w:numPr>
        <w:rPr>
          <w:rFonts w:ascii="Arial" w:cs="Arial" w:eastAsia="Arial" w:hAnsi="Arial"/>
          <w:sz w:val="17"/>
          <w:szCs w:val="17"/>
          <w:color w:val="auto"/>
        </w:rPr>
      </w:pPr>
      <w:r>
        <w:rPr>
          <w:rFonts w:ascii="Arial" w:cs="Arial" w:eastAsia="Arial" w:hAnsi="Arial"/>
          <w:sz w:val="17"/>
          <w:szCs w:val="17"/>
          <w:color w:val="auto"/>
        </w:rPr>
        <w:t>The Holder understands and acknowledges that this Warrant and the shares of Common Stock to be issued upon exercise hereof are “restricted securities” under the federal securities laws inasmuch as they are being acquired from the Company in a transaction not involving a public offering and that, under such laws and applicable regulations, such securities may be resold without registration under the Securities Act only in certain limited circumstances. In addition, the Holder represents that it is familiar with Rule 144 under the Securities Act, as presently in effect (“</w:t>
      </w:r>
      <w:r>
        <w:rPr>
          <w:rFonts w:ascii="Arial" w:cs="Arial" w:eastAsia="Arial" w:hAnsi="Arial"/>
          <w:sz w:val="17"/>
          <w:szCs w:val="17"/>
          <w:b w:val="1"/>
          <w:bCs w:val="1"/>
          <w:color w:val="auto"/>
        </w:rPr>
        <w:t>Rule 144</w:t>
      </w:r>
      <w:r>
        <w:rPr>
          <w:rFonts w:ascii="Arial" w:cs="Arial" w:eastAsia="Arial" w:hAnsi="Arial"/>
          <w:sz w:val="17"/>
          <w:szCs w:val="17"/>
          <w:color w:val="auto"/>
        </w:rPr>
        <w:t>”), and understands the resale limitations imposed thereby and by the Securities Act.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jc w:val="both"/>
        <w:ind w:firstLine="2600"/>
        <w:spacing w:after="0" w:line="279" w:lineRule="auto"/>
        <w:tabs>
          <w:tab w:leader="none" w:pos="2851" w:val="left"/>
        </w:tabs>
        <w:numPr>
          <w:ilvl w:val="2"/>
          <w:numId w:val="44"/>
        </w:numPr>
        <w:rPr>
          <w:rFonts w:ascii="Arial" w:cs="Arial" w:eastAsia="Arial" w:hAnsi="Arial"/>
          <w:sz w:val="17"/>
          <w:szCs w:val="17"/>
          <w:color w:val="auto"/>
        </w:rPr>
      </w:pPr>
      <w:r>
        <w:rPr>
          <w:rFonts w:ascii="Arial" w:cs="Arial" w:eastAsia="Arial" w:hAnsi="Arial"/>
          <w:sz w:val="17"/>
          <w:szCs w:val="17"/>
          <w:color w:val="auto"/>
        </w:rPr>
        <w:t>The Holder acknowledges that it can bear the economic and financial risk of its investment for an indefinite period, and has such knowledge and experience in financial or business matters that it is capable of evaluating the merits and risks of the investment in the Warrant and the Warrant Shares. The Holder has had an opportunity to ask questions and receive answers from the Company regarding the terms and conditions of the offering of the Warrant and the business, properties, prospects and financial condition of the Company.</w:t>
      </w:r>
    </w:p>
    <w:p>
      <w:pPr>
        <w:spacing w:after="0" w:line="171" w:lineRule="exact"/>
        <w:rPr>
          <w:rFonts w:ascii="Arial" w:cs="Arial" w:eastAsia="Arial" w:hAnsi="Arial"/>
          <w:sz w:val="17"/>
          <w:szCs w:val="17"/>
          <w:color w:val="auto"/>
        </w:rPr>
      </w:pPr>
    </w:p>
    <w:p>
      <w:pPr>
        <w:jc w:val="both"/>
        <w:ind w:firstLine="1952"/>
        <w:spacing w:after="0" w:line="254" w:lineRule="auto"/>
        <w:tabs>
          <w:tab w:leader="none" w:pos="2199"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Acknowledgement of the Company</w:t>
      </w:r>
      <w:r>
        <w:rPr>
          <w:rFonts w:ascii="Arial" w:cs="Arial" w:eastAsia="Arial" w:hAnsi="Arial"/>
          <w:sz w:val="18"/>
          <w:szCs w:val="18"/>
          <w:color w:val="auto"/>
        </w:rPr>
        <w:t>. The Company acknowledges and agrees that the Holder may from time to time pledge pursuant to a bona fide margin agreement with a registered broker-dealer or grant a security interest in some or all of this Warrant or the Warrant Shares to a financial institution that is an “accredited investor” as defined in Rule 501(a) under the Securities Act and, if required under the terms of such arrangement, Holder may transfer any pledged or secured Warrant or Warrant Shares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Holder’s expense, the Company will execute and deliver such reasonable documentation as a pledgee or secured party of this Warrants or any Warrant Shares may reasonably request in connection with a pledge or transfer of this Warrant or any Warrant Shares.</w:t>
      </w:r>
    </w:p>
    <w:p>
      <w:pPr>
        <w:spacing w:after="0" w:line="191" w:lineRule="exact"/>
        <w:rPr>
          <w:rFonts w:ascii="Arial" w:cs="Arial" w:eastAsia="Arial" w:hAnsi="Arial"/>
          <w:sz w:val="18"/>
          <w:szCs w:val="18"/>
          <w:color w:val="auto"/>
        </w:rPr>
      </w:pPr>
    </w:p>
    <w:p>
      <w:pPr>
        <w:ind w:left="2200" w:hanging="248"/>
        <w:spacing w:after="0"/>
        <w:tabs>
          <w:tab w:leader="none" w:pos="2200"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No Legends</w:t>
      </w:r>
      <w:r>
        <w:rPr>
          <w:rFonts w:ascii="Arial" w:cs="Arial" w:eastAsia="Arial" w:hAnsi="Arial"/>
          <w:sz w:val="18"/>
          <w:szCs w:val="18"/>
          <w:color w:val="auto"/>
        </w:rPr>
        <w:t>. The Warrant Shares shall not be required to contain any restrictive legend.</w:t>
      </w:r>
    </w:p>
    <w:p>
      <w:pPr>
        <w:spacing w:after="0" w:line="225" w:lineRule="exact"/>
        <w:rPr>
          <w:rFonts w:ascii="Arial" w:cs="Arial" w:eastAsia="Arial" w:hAnsi="Arial"/>
          <w:sz w:val="18"/>
          <w:szCs w:val="18"/>
          <w:color w:val="auto"/>
        </w:rPr>
      </w:pPr>
    </w:p>
    <w:p>
      <w:pPr>
        <w:jc w:val="both"/>
        <w:ind w:firstLine="1952"/>
        <w:spacing w:after="0" w:line="259" w:lineRule="auto"/>
        <w:tabs>
          <w:tab w:leader="none" w:pos="2217" w:val="left"/>
        </w:tabs>
        <w:numPr>
          <w:ilvl w:val="1"/>
          <w:numId w:val="45"/>
        </w:numPr>
        <w:rPr>
          <w:rFonts w:ascii="Arial" w:cs="Arial" w:eastAsia="Arial" w:hAnsi="Arial"/>
          <w:sz w:val="18"/>
          <w:szCs w:val="18"/>
          <w:color w:val="auto"/>
        </w:rPr>
      </w:pPr>
      <w:r>
        <w:rPr>
          <w:rFonts w:ascii="Arial" w:cs="Arial" w:eastAsia="Arial" w:hAnsi="Arial"/>
          <w:sz w:val="18"/>
          <w:szCs w:val="18"/>
          <w:color w:val="auto"/>
        </w:rPr>
        <w:t>In order to facilitate the Company filing any registration statement covering the issuance or resale of any Warrant Shares issued and issuable upon exercise of this Warrant, the Holder hereby agrees to provide the Company with, following reasonable advance written request by the Company, an executed selling stockholder questionnaire in a form reasonably acceptable to the Holder and the Company as is customary under the circumstances.</w:t>
      </w:r>
    </w:p>
    <w:p>
      <w:pPr>
        <w:spacing w:after="0" w:line="186" w:lineRule="exact"/>
        <w:rPr>
          <w:rFonts w:ascii="Arial" w:cs="Arial" w:eastAsia="Arial" w:hAnsi="Arial"/>
          <w:sz w:val="18"/>
          <w:szCs w:val="18"/>
          <w:color w:val="auto"/>
        </w:rPr>
      </w:pPr>
    </w:p>
    <w:p>
      <w:pPr>
        <w:jc w:val="both"/>
        <w:ind w:firstLine="1304"/>
        <w:spacing w:after="0" w:line="269" w:lineRule="auto"/>
        <w:tabs>
          <w:tab w:leader="none" w:pos="1566"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SEVERABILITY; CONSTRUCTION; HEADINGS</w:t>
      </w:r>
      <w:r>
        <w:rPr>
          <w:rFonts w:ascii="Arial" w:cs="Arial" w:eastAsia="Arial" w:hAnsi="Arial"/>
          <w:sz w:val="17"/>
          <w:szCs w:val="17"/>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jc w:val="both"/>
        <w:ind w:firstLine="1304"/>
        <w:spacing w:after="0" w:line="269" w:lineRule="auto"/>
        <w:tabs>
          <w:tab w:leader="none" w:pos="1593"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DISCLOSURE</w:t>
      </w:r>
      <w:r>
        <w:rPr>
          <w:rFonts w:ascii="Arial" w:cs="Arial" w:eastAsia="Arial" w:hAnsi="Arial"/>
          <w:sz w:val="17"/>
          <w:szCs w:val="17"/>
          <w:color w:val="auto"/>
        </w:rPr>
        <w:t xml:space="preserve">. Upon delivery by the Company to the Holder (or receipt by the Company from the Holder) of any notice in accordance with the terms of this Warrant, unless the Company has in good faith determined that the matters relating to such notice do not constitute material, non-public information relating to the Company or any of its subsidiaries, the Company shall on or prior to 9:00 am, New York City time on the Business Day immediately following such notice delivery date, publicly disclose such material, non-public information on a Current Report on Form 8-K or otherwise. In the event that the Company believes that a notice contains material, non-public information relating to the Company or any of its subsidiaries, the Company so shall indicate to the Holder explicitly in writing in such notice (or immediately upon receipt of notice from the Holder, as applicable), and in the absence of any such written indication in such notice (or notification from the Company immediately upon receipt of notice from the Holder), the Holder shall be entitled to presume that information contained in the notice does not constitute material, non-public information relating to the Company or any of its subsidiaries. Nothing contained in this </w:t>
      </w:r>
      <w:r>
        <w:rPr>
          <w:rFonts w:ascii="Arial" w:cs="Arial" w:eastAsia="Arial" w:hAnsi="Arial"/>
          <w:sz w:val="17"/>
          <w:szCs w:val="17"/>
          <w:u w:val="single" w:color="auto"/>
          <w:color w:val="auto"/>
        </w:rPr>
        <w:t>Section 16</w:t>
      </w:r>
      <w:r>
        <w:rPr>
          <w:rFonts w:ascii="Arial" w:cs="Arial" w:eastAsia="Arial" w:hAnsi="Arial"/>
          <w:sz w:val="17"/>
          <w:szCs w:val="17"/>
          <w:color w:val="auto"/>
        </w:rPr>
        <w:t xml:space="preserve"> shall limit any obligations of the Company, or any rights of the Holder, under any other agreement by and between the Company and the Holder.</w:t>
      </w:r>
    </w:p>
    <w:p>
      <w:pPr>
        <w:spacing w:after="0" w:line="185" w:lineRule="exact"/>
        <w:rPr>
          <w:rFonts w:ascii="Arial" w:cs="Arial" w:eastAsia="Arial" w:hAnsi="Arial"/>
          <w:sz w:val="17"/>
          <w:szCs w:val="17"/>
          <w:color w:val="auto"/>
        </w:rPr>
      </w:pPr>
    </w:p>
    <w:p>
      <w:pPr>
        <w:jc w:val="both"/>
        <w:ind w:firstLine="1304"/>
        <w:spacing w:after="0" w:line="273" w:lineRule="auto"/>
        <w:tabs>
          <w:tab w:leader="none" w:pos="1566"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ABSENCE OF TRADING AND DISCLOSURE RESTRICTIONS</w:t>
      </w:r>
      <w:r>
        <w:rPr>
          <w:rFonts w:ascii="Arial" w:cs="Arial" w:eastAsia="Arial" w:hAnsi="Arial"/>
          <w:sz w:val="17"/>
          <w:szCs w:val="17"/>
          <w:color w:val="auto"/>
        </w:rPr>
        <w:t>. The Company acknowledges and agrees that the Holder is not a fiduciary or agent of the Company and that the Holder shall have no obligation to (a) maintain the confidentiality of any information provided by the Company or (b) refrain from trading any securities while in possession of such information in the absence of a written non-disclosure agreement signed by the Holder that explicitly provides for such confidentiality and trading restrictions. In the absence of such an executed, written non-disclosure agreement, the Company acknowledges that the Holder may freely trade in any securities issued by the Company, may possess and use any information provided by the Company in connection with such trading activity, and may disclose any such information to any third party.</w:t>
      </w:r>
    </w:p>
    <w:p>
      <w:pPr>
        <w:spacing w:after="0" w:line="177" w:lineRule="exact"/>
        <w:rPr>
          <w:rFonts w:ascii="Arial" w:cs="Arial" w:eastAsia="Arial" w:hAnsi="Arial"/>
          <w:sz w:val="17"/>
          <w:szCs w:val="17"/>
          <w:color w:val="auto"/>
        </w:rPr>
      </w:pPr>
    </w:p>
    <w:p>
      <w:pPr>
        <w:jc w:val="both"/>
        <w:ind w:firstLine="1304"/>
        <w:spacing w:after="0" w:line="296" w:lineRule="auto"/>
        <w:tabs>
          <w:tab w:leader="none" w:pos="1566"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COUNTERPARTS; ELECTRONIC SIGNATURES</w:t>
      </w:r>
      <w:r>
        <w:rPr>
          <w:rFonts w:ascii="Arial" w:cs="Arial" w:eastAsia="Arial" w:hAnsi="Arial"/>
          <w:sz w:val="16"/>
          <w:szCs w:val="16"/>
          <w:color w:val="auto"/>
        </w:rPr>
        <w:t>. This Warrant may be executed in counterparts, each of which shall be deemed an original, but all of which together shall be deemed to be one and the same agreement. A signed copy of this Warrant delivered by facsimile, e-mail or other means of electronic transmission shall be deemed to have the same legal effect as delivery of an original signed copy of this Warrant. A party’s electronic signature (complying with the New York Electronic Signatures and Records Act (N.Y. State Tech. §§ 301-309), as amended from time to time, or other applicable law) of this Agreement shall have the same validity and effect as a signature affixed by the party’s hand.</w:t>
      </w:r>
    </w:p>
    <w:p>
      <w:pPr>
        <w:spacing w:after="0" w:line="161" w:lineRule="exact"/>
        <w:rPr>
          <w:rFonts w:ascii="Arial" w:cs="Arial" w:eastAsia="Arial" w:hAnsi="Arial"/>
          <w:sz w:val="16"/>
          <w:szCs w:val="16"/>
          <w:color w:val="auto"/>
        </w:rPr>
      </w:pPr>
    </w:p>
    <w:p>
      <w:pPr>
        <w:ind w:left="1580" w:hanging="276"/>
        <w:spacing w:after="0"/>
        <w:tabs>
          <w:tab w:leader="none" w:pos="158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Warrant, the following terms shall have the following meanings:</w:t>
      </w:r>
    </w:p>
    <w:p>
      <w:pPr>
        <w:spacing w:after="0" w:line="221" w:lineRule="exact"/>
        <w:rPr>
          <w:rFonts w:ascii="Arial" w:cs="Arial" w:eastAsia="Arial" w:hAnsi="Arial"/>
          <w:sz w:val="18"/>
          <w:szCs w:val="18"/>
          <w:color w:val="auto"/>
        </w:rPr>
      </w:pPr>
    </w:p>
    <w:p>
      <w:pPr>
        <w:jc w:val="both"/>
        <w:ind w:firstLine="1952"/>
        <w:spacing w:after="0" w:line="261" w:lineRule="auto"/>
        <w:tabs>
          <w:tab w:leader="none" w:pos="2189" w:val="left"/>
        </w:tabs>
        <w:numPr>
          <w:ilvl w:val="1"/>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Adjustment Right</w:t>
      </w:r>
      <w:r>
        <w:rPr>
          <w:rFonts w:ascii="Arial" w:cs="Arial" w:eastAsia="Arial" w:hAnsi="Arial"/>
          <w:sz w:val="18"/>
          <w:szCs w:val="18"/>
          <w:color w:val="auto"/>
        </w:rPr>
        <w:t>” means any right granted with respect to any securities issued in connection with, or with respect to, any issuance or sale (or deemed issuance or sale in accordance with Section 2) of shares of Common Stock (other than rights of the type described in Section 3 and 4 hereof) that could result in a decrease in the net consideration received by the Company in connection with, or with respect to, such securities (including, without limitation, any cash settlement rights, cash adjustment or other similar rights).</w:t>
      </w:r>
    </w:p>
    <w:p>
      <w:pPr>
        <w:spacing w:after="0" w:line="179" w:lineRule="exact"/>
        <w:rPr>
          <w:rFonts w:ascii="Arial" w:cs="Arial" w:eastAsia="Arial" w:hAnsi="Arial"/>
          <w:sz w:val="18"/>
          <w:szCs w:val="18"/>
          <w:color w:val="auto"/>
        </w:rPr>
      </w:pPr>
    </w:p>
    <w:p>
      <w:pPr>
        <w:jc w:val="both"/>
        <w:ind w:firstLine="1952"/>
        <w:spacing w:after="0" w:line="261" w:lineRule="auto"/>
        <w:tabs>
          <w:tab w:leader="none" w:pos="2212" w:val="left"/>
        </w:tabs>
        <w:numPr>
          <w:ilvl w:val="1"/>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Person, any other Person that directly or indirectly controls, is controlled by, or is under common control with, such Person, it being understood for purposes of this definition that “control” of a Person means the power directly or indirectly either to vote 10% or more of the stock having ordinary voting power for the election of directors of such Person or direct or cause the direction of the management and policies of such Person whether by contract or otherwise.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jc w:val="both"/>
        <w:ind w:firstLine="1952"/>
        <w:spacing w:after="0" w:line="255" w:lineRule="auto"/>
        <w:tabs>
          <w:tab w:leader="none" w:pos="2202" w:val="left"/>
        </w:tabs>
        <w:numPr>
          <w:ilvl w:val="0"/>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Attribution Parties</w:t>
      </w:r>
      <w:r>
        <w:rPr>
          <w:rFonts w:ascii="Arial" w:cs="Arial" w:eastAsia="Arial" w:hAnsi="Arial"/>
          <w:sz w:val="18"/>
          <w:szCs w:val="18"/>
          <w:color w:val="auto"/>
        </w:rPr>
        <w:t>” means, collectively, the following Persons and entities: (i) any investment vehicle, including, any funds, feeder funds or managed accounts, currently, or from time to time after the Subscription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1934 Act. For clarity, the purpose of the foregoing is to subject collectively the Holder and all other Attribution Parties to the Maximum Percentage.</w:t>
      </w:r>
    </w:p>
    <w:p>
      <w:pPr>
        <w:spacing w:after="0" w:line="188" w:lineRule="exact"/>
        <w:rPr>
          <w:rFonts w:ascii="Arial" w:cs="Arial" w:eastAsia="Arial" w:hAnsi="Arial"/>
          <w:sz w:val="18"/>
          <w:szCs w:val="18"/>
          <w:color w:val="auto"/>
        </w:rPr>
      </w:pPr>
    </w:p>
    <w:p>
      <w:pPr>
        <w:jc w:val="both"/>
        <w:ind w:firstLine="1952"/>
        <w:spacing w:after="0" w:line="269" w:lineRule="auto"/>
        <w:tabs>
          <w:tab w:leader="none" w:pos="2199" w:val="left"/>
        </w:tabs>
        <w:numPr>
          <w:ilvl w:val="0"/>
          <w:numId w:val="4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Bid Price</w:t>
      </w:r>
      <w:r>
        <w:rPr>
          <w:rFonts w:ascii="Arial" w:cs="Arial" w:eastAsia="Arial" w:hAnsi="Arial"/>
          <w:sz w:val="17"/>
          <w:szCs w:val="17"/>
          <w:color w:val="auto"/>
        </w:rPr>
        <w:t xml:space="preserve">” means, for any security as of the particular time of determination, the bid price for such security on the Principal Market as reported by Bloomberg as of such time of determination, or, if the Principal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any market makers for such security as reported in the “pink sheets” by OTC Markets Group Inc. (formerly Pink Sheets LLC) as of such time of determination. If the Bid Price cannot be calculated for a security as of the particular time of determination on any of the foregoing bases, the Bid Price of such security as of such time of determination shall be the fair market value as mutually determined by the Company and the Holder. If the Company and the Holder are unable to agree upon the fair market value of such security, then such dispute shall be resolved in accordance with the procedures in </w:t>
      </w:r>
      <w:r>
        <w:rPr>
          <w:rFonts w:ascii="Arial" w:cs="Arial" w:eastAsia="Arial" w:hAnsi="Arial"/>
          <w:sz w:val="17"/>
          <w:szCs w:val="17"/>
          <w:u w:val="single" w:color="auto"/>
          <w:color w:val="auto"/>
        </w:rPr>
        <w:t>Section 11</w:t>
      </w:r>
      <w:r>
        <w:rPr>
          <w:rFonts w:ascii="Arial" w:cs="Arial" w:eastAsia="Arial" w:hAnsi="Arial"/>
          <w:sz w:val="17"/>
          <w:szCs w:val="17"/>
          <w:color w:val="auto"/>
        </w:rPr>
        <w:t>. All such determinations shall be appropriately adjusted for any stock dividend, stock split, stock combination or other similar transaction during such period.</w:t>
      </w:r>
    </w:p>
    <w:p>
      <w:pPr>
        <w:spacing w:after="0" w:line="181" w:lineRule="exact"/>
        <w:rPr>
          <w:rFonts w:ascii="Arial" w:cs="Arial" w:eastAsia="Arial" w:hAnsi="Arial"/>
          <w:sz w:val="17"/>
          <w:szCs w:val="17"/>
          <w:color w:val="auto"/>
        </w:rPr>
      </w:pPr>
    </w:p>
    <w:p>
      <w:pPr>
        <w:ind w:left="2200" w:hanging="248"/>
        <w:spacing w:after="0"/>
        <w:tabs>
          <w:tab w:leader="none" w:pos="22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Financial Markets.</w:t>
      </w:r>
    </w:p>
    <w:p>
      <w:pPr>
        <w:spacing w:after="0" w:line="225" w:lineRule="exact"/>
        <w:rPr>
          <w:rFonts w:ascii="Arial" w:cs="Arial" w:eastAsia="Arial" w:hAnsi="Arial"/>
          <w:sz w:val="18"/>
          <w:szCs w:val="18"/>
          <w:color w:val="auto"/>
        </w:rPr>
      </w:pPr>
    </w:p>
    <w:p>
      <w:pPr>
        <w:ind w:firstLine="1952"/>
        <w:spacing w:after="0" w:line="282" w:lineRule="auto"/>
        <w:tabs>
          <w:tab w:leader="none" w:pos="2169" w:val="left"/>
        </w:tabs>
        <w:numPr>
          <w:ilvl w:val="0"/>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Sunday or other day on which commercial banks in The City of New York are authorized or required by law to remain closed.</w:t>
      </w:r>
    </w:p>
    <w:p>
      <w:pPr>
        <w:spacing w:after="0" w:line="161" w:lineRule="exact"/>
        <w:rPr>
          <w:rFonts w:ascii="Arial" w:cs="Arial" w:eastAsia="Arial" w:hAnsi="Arial"/>
          <w:sz w:val="18"/>
          <w:szCs w:val="18"/>
          <w:color w:val="auto"/>
        </w:rPr>
      </w:pPr>
    </w:p>
    <w:p>
      <w:pPr>
        <w:jc w:val="both"/>
        <w:ind w:firstLine="1952"/>
        <w:spacing w:after="0" w:line="269" w:lineRule="auto"/>
        <w:tabs>
          <w:tab w:leader="none" w:pos="2266" w:val="left"/>
        </w:tabs>
        <w:numPr>
          <w:ilvl w:val="0"/>
          <w:numId w:val="4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Change of Control</w:t>
      </w:r>
      <w:r>
        <w:rPr>
          <w:rFonts w:ascii="Arial" w:cs="Arial" w:eastAsia="Arial" w:hAnsi="Arial"/>
          <w:sz w:val="17"/>
          <w:szCs w:val="17"/>
          <w:color w:val="auto"/>
        </w:rPr>
        <w:t>” means any Fundamental Transaction other than (i) any reorganization, recapitalization or reclassification of the Common Stock in which holders of the Company’s voting power immediately prior to such reorganization, recapitalization or reclassification continue after such reorganization, recapitalization or reclassification to hold publicly traded securities and, directly or indirectly, are, in all material respects, the holders of the voting power of the surviving entity (or entities with the authority or voting power to elect the members of the board of directors (or their equivalent if other than a corporation) of such entity or entities) after such reorganization, recapitalization or reclassification, (ii) pursuant to a migratory merger effected solely for the purpose of changing the jurisdiction of incorporation of the Company or (iii) a merger in connection with a bona fide acquisition by the Company of any Person in which (x) the gross consideration paid, directly or indirectly, by the Company in such acquisition is not equal to or greater than 50% of the Company’s market capitalization as calculated on the date of the announcement of such merger and the date of the consummation of such merger and (y) such merger does not contemplate a change to the identity of a majority of the Board of Directors of the Company. Notwithstanding anything herein to the contrary, any transaction or series of transaction that, directly or indirectly, results in the Company or the Successor Entity not having Common Stock or common stock, as applicable, registered under the 1934 Act and listed on an Eligible Market shall be deemed a Change of Control.</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ind w:firstLine="1952"/>
        <w:spacing w:after="0" w:line="269" w:lineRule="auto"/>
        <w:tabs>
          <w:tab w:leader="none" w:pos="2199" w:val="left"/>
        </w:tabs>
        <w:numPr>
          <w:ilvl w:val="0"/>
          <w:numId w:val="4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Closing Sale Price</w:t>
      </w:r>
      <w:r>
        <w:rPr>
          <w:rFonts w:ascii="Arial" w:cs="Arial" w:eastAsia="Arial" w:hAnsi="Arial"/>
          <w:sz w:val="17"/>
          <w:szCs w:val="17"/>
          <w:color w:val="auto"/>
        </w:rPr>
        <w:t xml:space="preserve">” means, for any security as of any date, the last closing trade price, respectively, for such security on the Principal Market, as reported by Bloomberg, or, if the Principal Market begins to operate on an extended hours basis and does not designate the closing trade price then the last trade price, of such security prior to 4:00:00 p.m., New York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 not apply, the last trade price of such security in the over-the-counter market on the electronic bulletin board for such security as reported by Bloomberg, or, if no last trade price is reported for such security by Bloomberg, the average of the bid prices, or the ask prices, respectively, of any market makers for such security as reported in the OTC Link or on the “pink sheets” by OTC Markets Group Inc. (formerly Pink Sheets LLC).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such dispute shall be resolved pursuant to </w:t>
      </w:r>
      <w:r>
        <w:rPr>
          <w:rFonts w:ascii="Arial" w:cs="Arial" w:eastAsia="Arial" w:hAnsi="Arial"/>
          <w:sz w:val="17"/>
          <w:szCs w:val="17"/>
          <w:u w:val="single" w:color="auto"/>
          <w:color w:val="auto"/>
        </w:rPr>
        <w:t>Section 11</w:t>
      </w:r>
      <w:r>
        <w:rPr>
          <w:rFonts w:ascii="Arial" w:cs="Arial" w:eastAsia="Arial" w:hAnsi="Arial"/>
          <w:sz w:val="17"/>
          <w:szCs w:val="17"/>
          <w:color w:val="auto"/>
        </w:rPr>
        <w:t>. All such determinations to be appropriately adjusted for any stock dividend, stock split, stock combination, reclassification or other similar transaction during the applicable calculation period.</w:t>
      </w:r>
    </w:p>
    <w:p>
      <w:pPr>
        <w:spacing w:after="0" w:line="178" w:lineRule="exact"/>
        <w:rPr>
          <w:rFonts w:ascii="Arial" w:cs="Arial" w:eastAsia="Arial" w:hAnsi="Arial"/>
          <w:sz w:val="17"/>
          <w:szCs w:val="17"/>
          <w:color w:val="auto"/>
        </w:rPr>
      </w:pPr>
    </w:p>
    <w:p>
      <w:pPr>
        <w:ind w:right="20" w:firstLine="1952"/>
        <w:spacing w:after="0" w:line="282" w:lineRule="auto"/>
        <w:tabs>
          <w:tab w:leader="none" w:pos="2159"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(i) the Company’s Common Stock, par value $0.001 per share, and (ii) any capital stock into which such Common Stock shall have been changed or any capital stock resulting from a reclassification of such Common Stock.</w:t>
      </w:r>
    </w:p>
    <w:p>
      <w:pPr>
        <w:spacing w:after="0" w:line="161" w:lineRule="exact"/>
        <w:rPr>
          <w:rFonts w:ascii="Arial" w:cs="Arial" w:eastAsia="Arial" w:hAnsi="Arial"/>
          <w:sz w:val="18"/>
          <w:szCs w:val="18"/>
          <w:color w:val="auto"/>
        </w:rPr>
      </w:pPr>
    </w:p>
    <w:p>
      <w:pPr>
        <w:jc w:val="both"/>
        <w:ind w:firstLine="1952"/>
        <w:spacing w:after="0" w:line="261" w:lineRule="auto"/>
        <w:tabs>
          <w:tab w:leader="none" w:pos="2172"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Securities</w:t>
      </w:r>
      <w:r>
        <w:rPr>
          <w:rFonts w:ascii="Arial" w:cs="Arial" w:eastAsia="Arial" w:hAnsi="Arial"/>
          <w:sz w:val="18"/>
          <w:szCs w:val="18"/>
          <w:color w:val="auto"/>
        </w:rPr>
        <w:t>” means any capital stock or other security of the Company or any of its subsidiaries (other than Options) that is at any time and under any circumstances directly or indirectly convertible into, exercisable or exchangeable for, or which otherwise entitles the holder thereof to acquire, any capital stock or other security of the Company (including, without limitation, shares of Common Stock) or any of its subsidiaries.</w:t>
      </w:r>
    </w:p>
    <w:p>
      <w:pPr>
        <w:spacing w:after="0" w:line="179" w:lineRule="exact"/>
        <w:rPr>
          <w:rFonts w:ascii="Arial" w:cs="Arial" w:eastAsia="Arial" w:hAnsi="Arial"/>
          <w:sz w:val="18"/>
          <w:szCs w:val="18"/>
          <w:color w:val="auto"/>
        </w:rPr>
      </w:pPr>
    </w:p>
    <w:p>
      <w:pPr>
        <w:jc w:val="both"/>
        <w:ind w:firstLine="1952"/>
        <w:spacing w:after="0" w:line="274" w:lineRule="auto"/>
        <w:tabs>
          <w:tab w:leader="none" w:pos="2199" w:val="left"/>
        </w:tabs>
        <w:numPr>
          <w:ilvl w:val="0"/>
          <w:numId w:val="4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Daily VWAP</w:t>
      </w:r>
      <w:r>
        <w:rPr>
          <w:rFonts w:ascii="Arial" w:cs="Arial" w:eastAsia="Arial" w:hAnsi="Arial"/>
          <w:sz w:val="17"/>
          <w:szCs w:val="17"/>
          <w:color w:val="auto"/>
        </w:rPr>
        <w:t>” means, for any VWAP Trading Day, the per share volume-weighted average price of the Common Stock as displayed under the heading “Bloomberg VWAP” on Bloomberg page “AGFY &lt;EQUITY&gt; VAP” (or, if such page is not available, its equivalent successor page) in respect of the period from the scheduled open of trading until the scheduled close of trading of the primary trading session on such VWAP Trading Day (or, if such volume-weighted average price is unavailable, the market value of one share of Common Stock on such VWAP Trading Day, determined, using a volume-weighted average price method, by a nationally recognized independent investment banking firm selected by the Company). The Daily VWAP will be determined without regard to after-hours trading or any other trading outside of the regular trading session.</w:t>
      </w:r>
    </w:p>
    <w:p>
      <w:pPr>
        <w:spacing w:after="0" w:line="173" w:lineRule="exact"/>
        <w:rPr>
          <w:rFonts w:ascii="Arial" w:cs="Arial" w:eastAsia="Arial" w:hAnsi="Arial"/>
          <w:sz w:val="17"/>
          <w:szCs w:val="17"/>
          <w:color w:val="auto"/>
        </w:rPr>
      </w:pPr>
    </w:p>
    <w:p>
      <w:pPr>
        <w:ind w:firstLine="1952"/>
        <w:spacing w:after="0" w:line="282" w:lineRule="auto"/>
        <w:tabs>
          <w:tab w:leader="none" w:pos="2172"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Nasdaq Capital Market, the NYSE American LLC, The Nasdaq Global Select Market, The Nasdaq Global Market or The New York Stock Exchange, Inc.</w:t>
      </w:r>
    </w:p>
    <w:p>
      <w:pPr>
        <w:spacing w:after="0" w:line="161" w:lineRule="exact"/>
        <w:rPr>
          <w:rFonts w:ascii="Arial" w:cs="Arial" w:eastAsia="Arial" w:hAnsi="Arial"/>
          <w:sz w:val="18"/>
          <w:szCs w:val="18"/>
          <w:color w:val="auto"/>
        </w:rPr>
      </w:pPr>
    </w:p>
    <w:p>
      <w:pPr>
        <w:ind w:firstLine="1952"/>
        <w:spacing w:after="0" w:line="282" w:lineRule="auto"/>
        <w:tabs>
          <w:tab w:leader="none" w:pos="2249"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Expiration Date</w:t>
      </w:r>
      <w:r>
        <w:rPr>
          <w:rFonts w:ascii="Arial" w:cs="Arial" w:eastAsia="Arial" w:hAnsi="Arial"/>
          <w:sz w:val="18"/>
          <w:szCs w:val="18"/>
          <w:color w:val="auto"/>
        </w:rPr>
        <w:t>” means the date that is five (5) years after the Issuance Date or, if such date falls on a day other than a Business Day or on which trading does not take place on the Principal Market (a “</w:t>
      </w:r>
      <w:r>
        <w:rPr>
          <w:rFonts w:ascii="Arial" w:cs="Arial" w:eastAsia="Arial" w:hAnsi="Arial"/>
          <w:sz w:val="18"/>
          <w:szCs w:val="18"/>
          <w:b w:val="1"/>
          <w:bCs w:val="1"/>
          <w:color w:val="auto"/>
        </w:rPr>
        <w:t>Holiday</w:t>
      </w:r>
      <w:r>
        <w:rPr>
          <w:rFonts w:ascii="Arial" w:cs="Arial" w:eastAsia="Arial" w:hAnsi="Arial"/>
          <w:sz w:val="18"/>
          <w:szCs w:val="18"/>
          <w:color w:val="auto"/>
        </w:rPr>
        <w:t>”), the next day that is not a Holiday.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firstLine="1952"/>
        <w:spacing w:after="0" w:line="284" w:lineRule="auto"/>
        <w:tabs>
          <w:tab w:leader="none" w:pos="2226" w:val="left"/>
        </w:tabs>
        <w:numPr>
          <w:ilvl w:val="0"/>
          <w:numId w:val="5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Transaction</w:t>
      </w:r>
      <w:r>
        <w:rPr>
          <w:rFonts w:ascii="Arial" w:cs="Arial" w:eastAsia="Arial" w:hAnsi="Arial"/>
          <w:sz w:val="16"/>
          <w:szCs w:val="16"/>
          <w:color w:val="auto"/>
        </w:rPr>
        <w:t>” means (A) that the Company shall, directly or indirectly, including through subsidiaries, Affiliates or otherwise, in one or more related transactions, (i) consolidate or merge with or into (whether or not the Company is the surviving corporation) another Subject Entity, (ii) sell, assign, transfer, convey or otherwise dispose of all or substantially all of the properties or assets of the Company or any of its “significant subsidiaries” (as defined in Rule 1-02 of Regulation S-X) to one or more Subject Entities, (iii) make, or allow one or more Subject Entities to make, or allow the Company to be subject to or have its shares of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1934 Act) of at least 50% of the outstanding shares of Common Stock, (iv) consummate a stock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1934 Act) of at least 50% of the outstanding shares of Common Stock, or (v) reorganize, recapitalize or reclassify its shares of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1934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shares of Common Stock, (y) at least 50% of the aggregate ordinary voting power represented by issued and outstanding shares of Common Stock not held by all such Subject Entities as of the Subscription Date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spacing w:after="0" w:line="164" w:lineRule="exact"/>
        <w:rPr>
          <w:rFonts w:ascii="Arial" w:cs="Arial" w:eastAsia="Arial" w:hAnsi="Arial"/>
          <w:sz w:val="16"/>
          <w:szCs w:val="16"/>
          <w:color w:val="auto"/>
        </w:rPr>
      </w:pPr>
    </w:p>
    <w:p>
      <w:pPr>
        <w:ind w:left="2200" w:hanging="248"/>
        <w:spacing w:after="0"/>
        <w:tabs>
          <w:tab w:leader="none" w:pos="22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Group</w:t>
      </w:r>
      <w:r>
        <w:rPr>
          <w:rFonts w:ascii="Arial" w:cs="Arial" w:eastAsia="Arial" w:hAnsi="Arial"/>
          <w:sz w:val="17"/>
          <w:szCs w:val="17"/>
          <w:color w:val="auto"/>
        </w:rPr>
        <w:t>” means a “group” as that term is used in Section 13(d) of the 1934 Act and as defined in Rule 13d-5 thereunder.</w:t>
      </w:r>
    </w:p>
    <w:p>
      <w:pPr>
        <w:spacing w:after="0" w:line="236" w:lineRule="exact"/>
        <w:rPr>
          <w:rFonts w:ascii="Arial" w:cs="Arial" w:eastAsia="Arial" w:hAnsi="Arial"/>
          <w:sz w:val="17"/>
          <w:szCs w:val="17"/>
          <w:color w:val="auto"/>
        </w:rPr>
      </w:pPr>
    </w:p>
    <w:p>
      <w:pPr>
        <w:ind w:left="2240" w:hanging="288"/>
        <w:spacing w:after="0"/>
        <w:tabs>
          <w:tab w:leader="none" w:pos="22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Options</w:t>
      </w:r>
      <w:r>
        <w:rPr>
          <w:rFonts w:ascii="Arial" w:cs="Arial" w:eastAsia="Arial" w:hAnsi="Arial"/>
          <w:sz w:val="17"/>
          <w:szCs w:val="17"/>
          <w:color w:val="auto"/>
        </w:rPr>
        <w:t>” means any rights, warrants or options to subscribe for or purchase shares of Common Stock or Convertible</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Securities.</w:t>
      </w:r>
    </w:p>
    <w:p>
      <w:pPr>
        <w:spacing w:after="0" w:line="206" w:lineRule="exact"/>
        <w:rPr>
          <w:rFonts w:ascii="Arial" w:cs="Arial" w:eastAsia="Arial" w:hAnsi="Arial"/>
          <w:sz w:val="17"/>
          <w:szCs w:val="17"/>
          <w:color w:val="auto"/>
        </w:rPr>
      </w:pPr>
    </w:p>
    <w:p>
      <w:pPr>
        <w:jc w:val="both"/>
        <w:ind w:right="20" w:firstLine="1952"/>
        <w:spacing w:after="0" w:line="258" w:lineRule="auto"/>
        <w:tabs>
          <w:tab w:leader="none" w:pos="2199"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Entity</w:t>
      </w:r>
      <w:r>
        <w:rPr>
          <w:rFonts w:ascii="Arial" w:cs="Arial" w:eastAsia="Arial" w:hAnsi="Arial"/>
          <w:sz w:val="18"/>
          <w:szCs w:val="18"/>
          <w:color w:val="auto"/>
        </w:rPr>
        <w:t>” of a Person means an entity that, directly or indirectly, controls the applicable Person, including such entity whose common stock or equivalent equity security is quoted or listed on an Eligible Market (or, if so elected by the Holder, any other market, exchange or quotation system), or, if there is more than one such Person or such entity, the Person or such entity designated by the Holder or in the absence of such designation, such Person or entity with the largest public market capitalization as of the date of consummation of the Fundamental Transaction or Change of Control.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ind w:firstLine="1952"/>
        <w:spacing w:after="0" w:line="282" w:lineRule="auto"/>
        <w:tabs>
          <w:tab w:leader="none" w:pos="2209"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any other entity and a government or any department or agency thereof.</w:t>
      </w:r>
    </w:p>
    <w:p>
      <w:pPr>
        <w:spacing w:after="0" w:line="161" w:lineRule="exact"/>
        <w:rPr>
          <w:rFonts w:ascii="Arial" w:cs="Arial" w:eastAsia="Arial" w:hAnsi="Arial"/>
          <w:sz w:val="18"/>
          <w:szCs w:val="18"/>
          <w:color w:val="auto"/>
        </w:rPr>
      </w:pPr>
    </w:p>
    <w:p>
      <w:pPr>
        <w:ind w:left="2180" w:hanging="228"/>
        <w:spacing w:after="0"/>
        <w:tabs>
          <w:tab w:leader="none" w:pos="2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Nasdaq Capital Market.</w:t>
      </w:r>
    </w:p>
    <w:p>
      <w:pPr>
        <w:spacing w:after="0" w:line="225" w:lineRule="exact"/>
        <w:rPr>
          <w:rFonts w:ascii="Arial" w:cs="Arial" w:eastAsia="Arial" w:hAnsi="Arial"/>
          <w:sz w:val="18"/>
          <w:szCs w:val="18"/>
          <w:color w:val="auto"/>
        </w:rPr>
      </w:pPr>
    </w:p>
    <w:p>
      <w:pPr>
        <w:jc w:val="both"/>
        <w:ind w:firstLine="1952"/>
        <w:spacing w:after="0" w:line="266" w:lineRule="auto"/>
        <w:tabs>
          <w:tab w:leader="none" w:pos="2186"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 xml:space="preserve">“Standard Settlement Period” </w:t>
      </w:r>
      <w:r>
        <w:rPr>
          <w:rFonts w:ascii="Arial" w:cs="Arial" w:eastAsia="Arial" w:hAnsi="Arial"/>
          <w:sz w:val="18"/>
          <w:szCs w:val="18"/>
          <w:color w:val="auto"/>
        </w:rPr>
        <w:t>means the standard settlement period, expressed in a number of Trading Days,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primary trading market or quotation system with respect to the Common Stock that is in effect on the date of receipt of an applicable Exercise Notice.</w:t>
      </w:r>
    </w:p>
    <w:p>
      <w:pPr>
        <w:spacing w:after="0" w:line="175" w:lineRule="exact"/>
        <w:rPr>
          <w:rFonts w:ascii="Arial" w:cs="Arial" w:eastAsia="Arial" w:hAnsi="Arial"/>
          <w:sz w:val="18"/>
          <w:szCs w:val="18"/>
          <w:color w:val="auto"/>
        </w:rPr>
      </w:pPr>
    </w:p>
    <w:p>
      <w:pPr>
        <w:ind w:left="2200" w:hanging="248"/>
        <w:spacing w:after="0"/>
        <w:tabs>
          <w:tab w:leader="none" w:pos="22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Subject Entity</w:t>
      </w:r>
      <w:r>
        <w:rPr>
          <w:rFonts w:ascii="Arial" w:cs="Arial" w:eastAsia="Arial" w:hAnsi="Arial"/>
          <w:sz w:val="16"/>
          <w:szCs w:val="16"/>
          <w:color w:val="auto"/>
        </w:rPr>
        <w:t>” means any Person, Persons or Group or any Affiliate or associate of any such Person, Persons or Group.</w:t>
      </w:r>
    </w:p>
    <w:p>
      <w:pPr>
        <w:spacing w:after="0" w:line="248" w:lineRule="exact"/>
        <w:rPr>
          <w:rFonts w:ascii="Arial" w:cs="Arial" w:eastAsia="Arial" w:hAnsi="Arial"/>
          <w:sz w:val="16"/>
          <w:szCs w:val="16"/>
          <w:color w:val="auto"/>
        </w:rPr>
      </w:pPr>
    </w:p>
    <w:p>
      <w:pPr>
        <w:jc w:val="both"/>
        <w:ind w:firstLine="1952"/>
        <w:spacing w:after="0" w:line="289" w:lineRule="auto"/>
        <w:tabs>
          <w:tab w:leader="none" w:pos="2212" w:val="left"/>
        </w:tabs>
        <w:numPr>
          <w:ilvl w:val="0"/>
          <w:numId w:val="5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Successor Entity</w:t>
      </w:r>
      <w:r>
        <w:rPr>
          <w:rFonts w:ascii="Arial" w:cs="Arial" w:eastAsia="Arial" w:hAnsi="Arial"/>
          <w:sz w:val="17"/>
          <w:szCs w:val="17"/>
          <w:color w:val="auto"/>
        </w:rPr>
        <w:t>” means one or more Person or Persons (or, if so elected by the Holder, the Company or Parent Entity) formed by, resulting from or surviving any Fundamental Transaction or Change of Control or one or more Person or Persons (or, if so elected by the Holder, the Company or the Parent Entity) with which such Fundamental Transaction or Change of Control shall have been entered into.</w:t>
      </w:r>
    </w:p>
    <w:p>
      <w:pPr>
        <w:spacing w:after="0" w:line="157" w:lineRule="exact"/>
        <w:rPr>
          <w:rFonts w:ascii="Arial" w:cs="Arial" w:eastAsia="Arial" w:hAnsi="Arial"/>
          <w:sz w:val="17"/>
          <w:szCs w:val="17"/>
          <w:color w:val="auto"/>
        </w:rPr>
      </w:pPr>
    </w:p>
    <w:p>
      <w:pPr>
        <w:jc w:val="both"/>
        <w:ind w:firstLine="1952"/>
        <w:spacing w:after="0" w:line="266" w:lineRule="auto"/>
        <w:tabs>
          <w:tab w:leader="none" w:pos="2239"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means any day on which the Common Stock is traded on the Principal Market, or, if the Principal Market is not the principal trading market for the Common Stock, then on the principal securities exchange or securities market on which the Common Stock is then traded.</w:t>
      </w:r>
    </w:p>
    <w:p>
      <w:pPr>
        <w:spacing w:after="0" w:line="175" w:lineRule="exact"/>
        <w:rPr>
          <w:rFonts w:ascii="Arial" w:cs="Arial" w:eastAsia="Arial" w:hAnsi="Arial"/>
          <w:sz w:val="18"/>
          <w:szCs w:val="18"/>
          <w:color w:val="auto"/>
        </w:rPr>
      </w:pPr>
    </w:p>
    <w:p>
      <w:pPr>
        <w:ind w:firstLine="1952"/>
        <w:spacing w:after="0" w:line="282" w:lineRule="auto"/>
        <w:tabs>
          <w:tab w:leader="none" w:pos="2199"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Documents</w:t>
      </w:r>
      <w:r>
        <w:rPr>
          <w:rFonts w:ascii="Arial" w:cs="Arial" w:eastAsia="Arial" w:hAnsi="Arial"/>
          <w:sz w:val="18"/>
          <w:szCs w:val="18"/>
          <w:color w:val="auto"/>
        </w:rPr>
        <w:t>” means any agreement entered into by and between the Company and the Holder, as applicable, in connection with or pursuant to this Warrant.</w:t>
      </w:r>
    </w:p>
    <w:p>
      <w:pPr>
        <w:spacing w:after="0" w:line="161" w:lineRule="exact"/>
        <w:rPr>
          <w:rFonts w:ascii="Arial" w:cs="Arial" w:eastAsia="Arial" w:hAnsi="Arial"/>
          <w:sz w:val="18"/>
          <w:szCs w:val="18"/>
          <w:color w:val="auto"/>
        </w:rPr>
      </w:pPr>
    </w:p>
    <w:p>
      <w:pPr>
        <w:jc w:val="both"/>
        <w:ind w:firstLine="1952"/>
        <w:spacing w:after="0" w:line="294" w:lineRule="auto"/>
        <w:tabs>
          <w:tab w:leader="none" w:pos="2226" w:val="left"/>
        </w:tabs>
        <w:numPr>
          <w:ilvl w:val="0"/>
          <w:numId w:val="5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VWAP Market Disruption Event</w:t>
      </w:r>
      <w:r>
        <w:rPr>
          <w:rFonts w:ascii="Arial" w:cs="Arial" w:eastAsia="Arial" w:hAnsi="Arial"/>
          <w:sz w:val="16"/>
          <w:szCs w:val="16"/>
          <w:color w:val="auto"/>
        </w:rPr>
        <w:t>” means, with respect to any date, (A) the failure by the principal U.S. national or regional securities exchange on which the Common Stock is then listed, or, if the Common Stock is not then listed on a U.S. national or regional securities exchange, the principal other market on which the Common Stock is then traded, to open for trading during its regular trading session on such date; or (B) the occurrence or existence, for more than one half hour period in the aggregate, of any suspension or limitation imposed on trading (by reason of movements in price exceeding limits permitted by the relevant exchange or otherwise) in the Common Stock or in any options contracts or futures contracts relating to the Common Stock, and such suspension or limitation occurs or exists at any time before 1:00 p.m., New York City time, on such date.</w:t>
      </w:r>
    </w:p>
    <w:p>
      <w:pPr>
        <w:spacing w:after="0" w:line="159" w:lineRule="exact"/>
        <w:rPr>
          <w:rFonts w:ascii="Arial" w:cs="Arial" w:eastAsia="Arial" w:hAnsi="Arial"/>
          <w:sz w:val="16"/>
          <w:szCs w:val="16"/>
          <w:color w:val="auto"/>
        </w:rPr>
      </w:pPr>
    </w:p>
    <w:p>
      <w:pPr>
        <w:jc w:val="both"/>
        <w:ind w:firstLine="1952"/>
        <w:spacing w:after="0" w:line="258" w:lineRule="auto"/>
        <w:tabs>
          <w:tab w:leader="none" w:pos="2189"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VWAP Trading Day</w:t>
      </w:r>
      <w:r>
        <w:rPr>
          <w:rFonts w:ascii="Arial" w:cs="Arial" w:eastAsia="Arial" w:hAnsi="Arial"/>
          <w:sz w:val="18"/>
          <w:szCs w:val="18"/>
          <w:color w:val="auto"/>
        </w:rPr>
        <w:t>” means a day on which (A) there is no VWAP Market Disruption Event; provided that the Holder, by notice to the Company, may waive any such VWAP Market Disruption Event; and (B)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If the Common Stock is not so listed or traded, then “VWAP Trading Day” means a Business Day.</w:t>
      </w:r>
    </w:p>
    <w:p>
      <w:pPr>
        <w:spacing w:after="0" w:line="183" w:lineRule="exact"/>
        <w:rPr>
          <w:sz w:val="20"/>
          <w:szCs w:val="20"/>
          <w:color w:val="auto"/>
        </w:rPr>
      </w:pPr>
    </w:p>
    <w:p>
      <w:pPr>
        <w:jc w:val="both"/>
        <w:ind w:firstLine="1952"/>
        <w:spacing w:after="0" w:line="268" w:lineRule="auto"/>
        <w:tabs>
          <w:tab w:leader="none" w:pos="2296" w:val="left"/>
        </w:tabs>
        <w:numPr>
          <w:ilvl w:val="0"/>
          <w:numId w:val="5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Weighted Average Price</w:t>
      </w:r>
      <w:r>
        <w:rPr>
          <w:rFonts w:ascii="Arial" w:cs="Arial" w:eastAsia="Arial" w:hAnsi="Arial"/>
          <w:sz w:val="17"/>
          <w:szCs w:val="17"/>
          <w:color w:val="auto"/>
        </w:rPr>
        <w:t xml:space="preserve">” means, for any security as of any date, the dollar volume-weighted average price for such security on the Principal Market during the period beginning at 9:30:01 a.m., New York time (or such other time as the Principal Market publicly announces is the official open of trading), and ending at 4:00:00 p.m., New York time (or such other time as the Principal Market publicly announces is the official close of trading),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(or such other time as such market publicly announces is the official open of trading), and ending at 4:00:00 p.m., New York time (or such other time as such market publicly announces is the official close of trading), as reported by Bloomberg, or, if no dollar volume-weighted average price is reported for such security by Bloomberg for such hours, the average of the highest closing bid price and the lowest closing ask price of any of the market makers for such security as reported in the OTC Link or “pink sheets” by OTC Markets Group Inc. (formerly Pink OTC Markets Inc.). If the Weighted Average Price cannot be calculated for a security on a particular date on any of the foregoing bases, the Weighted Average Price of such security on such date shall be the fair market value as mutually determined by the Company and the Holder. If the Company and the Holder are unable to agree upon the fair market value of such security, then such dispute shall be resolved pursuant to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with the term “Weighted Average Price” being substituted for the term “Exercise Price.” All such determinations shall be appropriately adjusted for any stock dividend, stock split, stock combination, reclassification or other similar transaction during the applicable calculation period.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ind w:left="66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Company has caused this Warrant to Purchase Common Stock to be duly executed as of the Issuance Date set out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0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AGRIFY CORPORATION</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Raymond Chang</w:t>
      </w:r>
    </w:p>
    <w:p>
      <w:pPr>
        <w:spacing w:after="0" w:line="36"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NOTICE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EXECUTED BY THE REGISTERED HOLDER TO EXERCISE THIS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COMMON STOCK</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undersigned holder hereby exercises the right to purchase _________________ shares of Common Stock (“</w:t>
      </w:r>
      <w:r>
        <w:rPr>
          <w:rFonts w:ascii="Arial" w:cs="Arial" w:eastAsia="Arial" w:hAnsi="Arial"/>
          <w:sz w:val="17"/>
          <w:szCs w:val="17"/>
          <w:b w:val="1"/>
          <w:bCs w:val="1"/>
          <w:color w:val="auto"/>
        </w:rPr>
        <w:t>Warrant Shares</w:t>
      </w:r>
      <w:r>
        <w:rPr>
          <w:rFonts w:ascii="Arial" w:cs="Arial" w:eastAsia="Arial" w:hAnsi="Arial"/>
          <w:sz w:val="17"/>
          <w:szCs w:val="17"/>
          <w:color w:val="auto"/>
        </w:rPr>
        <w:t>”) of Agrify</w:t>
      </w:r>
    </w:p>
    <w:p>
      <w:pPr>
        <w:spacing w:after="0" w:line="39"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Corporation, a corporation organized under the laws of Delaware (the “</w:t>
      </w:r>
      <w:r>
        <w:rPr>
          <w:rFonts w:ascii="Arial" w:cs="Arial" w:eastAsia="Arial" w:hAnsi="Arial"/>
          <w:sz w:val="17"/>
          <w:szCs w:val="17"/>
          <w:b w:val="1"/>
          <w:bCs w:val="1"/>
          <w:color w:val="auto"/>
        </w:rPr>
        <w:t>Company</w:t>
      </w:r>
      <w:r>
        <w:rPr>
          <w:rFonts w:ascii="Arial" w:cs="Arial" w:eastAsia="Arial" w:hAnsi="Arial"/>
          <w:sz w:val="17"/>
          <w:szCs w:val="17"/>
          <w:color w:val="auto"/>
        </w:rPr>
        <w:t>”), evidenced by the attached Warrant to Purchase Common Stock (the “</w:t>
      </w:r>
      <w:r>
        <w:rPr>
          <w:rFonts w:ascii="Arial" w:cs="Arial" w:eastAsia="Arial" w:hAnsi="Arial"/>
          <w:sz w:val="17"/>
          <w:szCs w:val="17"/>
          <w:b w:val="1"/>
          <w:bCs w:val="1"/>
          <w:color w:val="auto"/>
        </w:rPr>
        <w:t>Warrant</w:t>
      </w:r>
      <w:r>
        <w:rPr>
          <w:rFonts w:ascii="Arial" w:cs="Arial" w:eastAsia="Arial" w:hAnsi="Arial"/>
          <w:sz w:val="17"/>
          <w:szCs w:val="17"/>
          <w:color w:val="auto"/>
        </w:rPr>
        <w:t>”). Capitalized terms used herein and not otherwise defined shall have the respective meanings set forth in the Warrant.</w:t>
      </w:r>
    </w:p>
    <w:p>
      <w:pPr>
        <w:spacing w:after="0" w:line="161" w:lineRule="exact"/>
        <w:rPr>
          <w:sz w:val="20"/>
          <w:szCs w:val="20"/>
          <w:color w:val="auto"/>
        </w:rPr>
      </w:pPr>
    </w:p>
    <w:p>
      <w:pPr>
        <w:ind w:left="840" w:hanging="184"/>
        <w:spacing w:after="0"/>
        <w:tabs>
          <w:tab w:leader="none" w:pos="8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Form of Exercise Price. The Holder intends that payment of the Exercise Price shall be made as:</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____________ a “</w:t>
      </w:r>
      <w:r>
        <w:rPr>
          <w:rFonts w:ascii="Arial" w:cs="Arial" w:eastAsia="Arial" w:hAnsi="Arial"/>
          <w:sz w:val="18"/>
          <w:szCs w:val="18"/>
          <w:u w:val="single" w:color="auto"/>
          <w:color w:val="auto"/>
        </w:rPr>
        <w:t>Cash Exercise”</w:t>
      </w:r>
      <w:r>
        <w:rPr>
          <w:rFonts w:ascii="Arial" w:cs="Arial" w:eastAsia="Arial" w:hAnsi="Arial"/>
          <w:sz w:val="18"/>
          <w:szCs w:val="18"/>
          <w:color w:val="auto"/>
        </w:rPr>
        <w:t xml:space="preserve"> with respect to _________________ Warrant Shares; and/or</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 xml:space="preserve">____________ a </w:t>
      </w:r>
      <w:r>
        <w:rPr>
          <w:rFonts w:ascii="Arial" w:cs="Arial" w:eastAsia="Arial" w:hAnsi="Arial"/>
          <w:sz w:val="18"/>
          <w:szCs w:val="18"/>
          <w:u w:val="single" w:color="auto"/>
          <w:color w:val="auto"/>
        </w:rPr>
        <w:t>“Cashless Exercise”</w:t>
      </w:r>
      <w:r>
        <w:rPr>
          <w:rFonts w:ascii="Arial" w:cs="Arial" w:eastAsia="Arial" w:hAnsi="Arial"/>
          <w:sz w:val="18"/>
          <w:szCs w:val="18"/>
          <w:color w:val="auto"/>
        </w:rPr>
        <w:t xml:space="preserve"> with respect to _______________ Warrant Shares.</w:t>
      </w:r>
    </w:p>
    <w:p>
      <w:pPr>
        <w:spacing w:after="0" w:line="225" w:lineRule="exact"/>
        <w:rPr>
          <w:rFonts w:ascii="Arial" w:cs="Arial" w:eastAsia="Arial" w:hAnsi="Arial"/>
          <w:sz w:val="18"/>
          <w:szCs w:val="18"/>
          <w:color w:val="auto"/>
        </w:rPr>
      </w:pPr>
    </w:p>
    <w:p>
      <w:pPr>
        <w:jc w:val="both"/>
        <w:ind w:firstLine="656"/>
        <w:spacing w:after="0" w:line="263" w:lineRule="auto"/>
        <w:tabs>
          <w:tab w:leader="none" w:pos="905" w:val="left"/>
        </w:tabs>
        <w:numPr>
          <w:ilvl w:val="0"/>
          <w:numId w:val="53"/>
        </w:numPr>
        <w:rPr>
          <w:rFonts w:ascii="Arial" w:cs="Arial" w:eastAsia="Arial" w:hAnsi="Arial"/>
          <w:sz w:val="18"/>
          <w:szCs w:val="18"/>
          <w:color w:val="auto"/>
        </w:rPr>
      </w:pPr>
      <w:r>
        <w:rPr>
          <w:rFonts w:ascii="Arial" w:cs="Arial" w:eastAsia="Arial" w:hAnsi="Arial"/>
          <w:sz w:val="18"/>
          <w:szCs w:val="18"/>
          <w:color w:val="auto"/>
        </w:rPr>
        <w:t>Payment of Exercise Price. In the event that the holder has elected a Cash Exercise with respect to some or all of the Warrant Shares to be issued pursuant hereto, the holder shall pay the Aggregate Exercise Price in the sum of $___________________ to the Company in accordance with the terms of the Warrant.</w:t>
      </w:r>
    </w:p>
    <w:p>
      <w:pPr>
        <w:spacing w:after="0" w:line="183" w:lineRule="exact"/>
        <w:rPr>
          <w:rFonts w:ascii="Arial" w:cs="Arial" w:eastAsia="Arial" w:hAnsi="Arial"/>
          <w:sz w:val="18"/>
          <w:szCs w:val="18"/>
          <w:color w:val="auto"/>
        </w:rPr>
      </w:pPr>
    </w:p>
    <w:p>
      <w:pPr>
        <w:ind w:left="840" w:hanging="184"/>
        <w:spacing w:after="0"/>
        <w:tabs>
          <w:tab w:leader="none" w:pos="8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Delivery of Warrant Shares. The Company shall deliver to the holder __________ Warrant Shares in accordance with the terms of the Warrant.</w:t>
      </w:r>
    </w:p>
    <w:p>
      <w:pPr>
        <w:spacing w:after="0" w:line="248" w:lineRule="exact"/>
        <w:rPr>
          <w:rFonts w:ascii="Arial" w:cs="Arial" w:eastAsia="Arial" w:hAnsi="Arial"/>
          <w:sz w:val="16"/>
          <w:szCs w:val="16"/>
          <w:color w:val="auto"/>
        </w:rPr>
      </w:pPr>
    </w:p>
    <w:p>
      <w:pPr>
        <w:jc w:val="both"/>
        <w:ind w:firstLine="656"/>
        <w:spacing w:after="0" w:line="257" w:lineRule="auto"/>
        <w:tabs>
          <w:tab w:leader="none" w:pos="865"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Maximum Percentage Representation. Notwithstanding anything to the contrary contained herein, this Exercise Notice shall constitute a representation by the Holder of the Warrant submitting this Exercise Notice that, after giving effect to the exercise provided for in this Exercise Notice, such Holder (together with the other Attribution Parties) will not have beneficial ownership of a number of shares of Common Stock in excess of the Maximum Percentage of the total outstanding shares of Common Stock of the Company as determined pursuant to the provisions of </w:t>
      </w:r>
      <w:r>
        <w:rPr>
          <w:rFonts w:ascii="Arial" w:cs="Arial" w:eastAsia="Arial" w:hAnsi="Arial"/>
          <w:sz w:val="18"/>
          <w:szCs w:val="18"/>
          <w:u w:val="single" w:color="auto"/>
          <w:color w:val="auto"/>
        </w:rPr>
        <w:t>Section 1(f)</w:t>
      </w:r>
      <w:r>
        <w:rPr>
          <w:rFonts w:ascii="Arial" w:cs="Arial" w:eastAsia="Arial" w:hAnsi="Arial"/>
          <w:sz w:val="18"/>
          <w:szCs w:val="18"/>
          <w:color w:val="auto"/>
        </w:rPr>
        <w:t xml:space="preserve"> of the Warrant.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 __, 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285432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Name of Registered 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49428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ACKNOWLEDGMENT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hereby acknowledges this Exercise Notice and hereby directs Broadridge Corporate Issuer Solutions, Inc. to issue the above indicated number of shares of Common Stock on or prior to the applicable Share Delivery Date.</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AGRIFY CORPORATION</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9" w:name="page50"/>
    <w:bookmarkEnd w:id="49"/>
    <w:p>
      <w:pPr>
        <w:ind w:left="10400"/>
        <w:spacing w:after="0"/>
        <w:rPr>
          <w:sz w:val="20"/>
          <w:szCs w:val="20"/>
          <w:color w:val="auto"/>
        </w:rPr>
      </w:pPr>
      <w:r>
        <w:rPr>
          <w:rFonts w:ascii="Arial" w:cs="Arial" w:eastAsia="Arial" w:hAnsi="Arial"/>
          <w:sz w:val="16"/>
          <w:szCs w:val="16"/>
          <w:b w:val="1"/>
          <w:bCs w:val="1"/>
          <w:color w:val="auto"/>
        </w:rPr>
        <w:t>Exhibit 4.3</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 PURCHASE WARRANT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AGRIFY CORPORATION</w:t>
      </w:r>
    </w:p>
    <w:p>
      <w:pPr>
        <w:sectPr>
          <w:pgSz w:w="11900" w:h="16838" w:orient="portrait"/>
          <w:cols w:equalWidth="0" w:num="1">
            <w:col w:w="11240"/>
          </w:cols>
          <w:pgMar w:left="320" w:top="121" w:right="3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color w:val="auto"/>
        </w:rPr>
        <w:t>Warrant Shares: 750,000</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Initial Exercise Date: October 18, 2023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Issue Date: October 18, 2023</w:t>
      </w:r>
    </w:p>
    <w:p>
      <w:pPr>
        <w:spacing w:after="0" w:line="200" w:lineRule="exact"/>
        <w:rPr>
          <w:sz w:val="20"/>
          <w:szCs w:val="20"/>
          <w:color w:val="auto"/>
        </w:rPr>
      </w:pPr>
    </w:p>
    <w:p>
      <w:pPr>
        <w:sectPr>
          <w:pgSz w:w="11900" w:h="16838" w:orient="portrait"/>
          <w:cols w:equalWidth="0" w:num="2">
            <w:col w:w="6040" w:space="720"/>
            <w:col w:w="4480"/>
          </w:cols>
          <w:pgMar w:left="320" w:top="121" w:right="339" w:bottom="1440" w:gutter="0" w:footer="0" w:header="0"/>
          <w:type w:val="continuous"/>
        </w:sectPr>
      </w:pPr>
    </w:p>
    <w:p>
      <w:pPr>
        <w:spacing w:after="0" w:line="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COMMON STOCK PURCHASE WARRANT (the “</w:t>
      </w:r>
      <w:r>
        <w:rPr>
          <w:rFonts w:ascii="Arial" w:cs="Arial" w:eastAsia="Arial" w:hAnsi="Arial"/>
          <w:sz w:val="18"/>
          <w:szCs w:val="18"/>
          <w:u w:val="single" w:color="auto"/>
          <w:color w:val="auto"/>
        </w:rPr>
        <w:t>Warrant</w:t>
      </w:r>
      <w:r>
        <w:rPr>
          <w:rFonts w:ascii="Arial" w:cs="Arial" w:eastAsia="Arial" w:hAnsi="Arial"/>
          <w:sz w:val="18"/>
          <w:szCs w:val="18"/>
          <w:color w:val="auto"/>
        </w:rPr>
        <w:t>”) certifies that, for value received, MACK MOLDING COMPANY, INC. or its assigns (the “</w:t>
      </w:r>
      <w:r>
        <w:rPr>
          <w:rFonts w:ascii="Arial" w:cs="Arial" w:eastAsia="Arial" w:hAnsi="Arial"/>
          <w:sz w:val="18"/>
          <w:szCs w:val="18"/>
          <w:u w:val="single" w:color="auto"/>
          <w:color w:val="auto"/>
        </w:rPr>
        <w:t>Holder</w:t>
      </w:r>
      <w:r>
        <w:rPr>
          <w:rFonts w:ascii="Arial" w:cs="Arial" w:eastAsia="Arial" w:hAnsi="Arial"/>
          <w:sz w:val="18"/>
          <w:szCs w:val="18"/>
          <w:color w:val="auto"/>
        </w:rPr>
        <w:t>”) is entitled, upon the terms and subject to the limitations on exercise and the conditions hereinafter set forth, at any time on or after October 18, 2023 (the “</w:t>
      </w:r>
      <w:r>
        <w:rPr>
          <w:rFonts w:ascii="Arial" w:cs="Arial" w:eastAsia="Arial" w:hAnsi="Arial"/>
          <w:sz w:val="18"/>
          <w:szCs w:val="18"/>
          <w:u w:val="single" w:color="auto"/>
          <w:color w:val="auto"/>
        </w:rPr>
        <w:t>Initial Exercise Date</w:t>
      </w:r>
      <w:r>
        <w:rPr>
          <w:rFonts w:ascii="Arial" w:cs="Arial" w:eastAsia="Arial" w:hAnsi="Arial"/>
          <w:sz w:val="18"/>
          <w:szCs w:val="18"/>
          <w:color w:val="auto"/>
        </w:rPr>
        <w:t>”) and on or prior to 5:00 p.m. (New York City time) on October 18, 2026 (the “</w:t>
      </w:r>
      <w:r>
        <w:rPr>
          <w:rFonts w:ascii="Arial" w:cs="Arial" w:eastAsia="Arial" w:hAnsi="Arial"/>
          <w:sz w:val="18"/>
          <w:szCs w:val="18"/>
          <w:u w:val="single" w:color="auto"/>
          <w:color w:val="auto"/>
        </w:rPr>
        <w:t>Termination Date</w:t>
      </w:r>
      <w:r>
        <w:rPr>
          <w:rFonts w:ascii="Arial" w:cs="Arial" w:eastAsia="Arial" w:hAnsi="Arial"/>
          <w:sz w:val="18"/>
          <w:szCs w:val="18"/>
          <w:color w:val="auto"/>
        </w:rPr>
        <w:t>”) but not thereafter, to subscribe for and purchase from Agrify Corporation, a Nevada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up to 750,000 shares (as subject to adjustment hereunder, the “</w:t>
      </w:r>
      <w:r>
        <w:rPr>
          <w:rFonts w:ascii="Arial" w:cs="Arial" w:eastAsia="Arial" w:hAnsi="Arial"/>
          <w:sz w:val="18"/>
          <w:szCs w:val="18"/>
          <w:u w:val="single" w:color="auto"/>
          <w:color w:val="auto"/>
        </w:rPr>
        <w:t>Warrant Shares</w:t>
      </w:r>
      <w:r>
        <w:rPr>
          <w:rFonts w:ascii="Arial" w:cs="Arial" w:eastAsia="Arial" w:hAnsi="Arial"/>
          <w:sz w:val="18"/>
          <w:szCs w:val="18"/>
          <w:color w:val="auto"/>
        </w:rPr>
        <w:t>”) of Common Stock. The purchase price of one share of Common Stock under this Warrant shall be equal to the Exercise Price, as defined in Section 2(b).</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w:t>
      </w: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and not otherwise defined herein shall have the meanings set forth in that certain Modification and Settlement Agreement (the “</w:t>
      </w:r>
      <w:r>
        <w:rPr>
          <w:rFonts w:ascii="Arial" w:cs="Arial" w:eastAsia="Arial" w:hAnsi="Arial"/>
          <w:sz w:val="18"/>
          <w:szCs w:val="18"/>
          <w:u w:val="single" w:color="auto"/>
          <w:color w:val="auto"/>
        </w:rPr>
        <w:t>Modification Agreement</w:t>
      </w:r>
      <w:r>
        <w:rPr>
          <w:rFonts w:ascii="Arial" w:cs="Arial" w:eastAsia="Arial" w:hAnsi="Arial"/>
          <w:sz w:val="18"/>
          <w:szCs w:val="18"/>
          <w:color w:val="auto"/>
        </w:rPr>
        <w:t>”), dated October 18, 2023, between the Company and the Holder.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Exercise</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4"/>
        <w:spacing w:after="0" w:line="285" w:lineRule="auto"/>
        <w:tabs>
          <w:tab w:leader="none" w:pos="1493"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Exercise of Warrant</w:t>
      </w:r>
      <w:r>
        <w:rPr>
          <w:rFonts w:ascii="Arial" w:cs="Arial" w:eastAsia="Arial" w:hAnsi="Arial"/>
          <w:sz w:val="16"/>
          <w:szCs w:val="16"/>
          <w:color w:val="auto"/>
        </w:rPr>
        <w:t>. Exercise of the purchase rights represented by this Warrant may be made, in whole or in part, at any time or times on or after the Initial Exercise Date and on or before the Termination Date by delivery to the Company of a duly executed facsimile copy or PDF copy submitted by e-mail (or e-mail attachment) of the Notice of Exercise in the form annexed hereto (the “</w:t>
      </w:r>
      <w:r>
        <w:rPr>
          <w:rFonts w:ascii="Arial" w:cs="Arial" w:eastAsia="Arial" w:hAnsi="Arial"/>
          <w:sz w:val="16"/>
          <w:szCs w:val="16"/>
          <w:u w:val="single" w:color="auto"/>
          <w:color w:val="auto"/>
        </w:rPr>
        <w:t>Notice of Exercise</w:t>
      </w:r>
      <w:r>
        <w:rPr>
          <w:rFonts w:ascii="Arial" w:cs="Arial" w:eastAsia="Arial" w:hAnsi="Arial"/>
          <w:sz w:val="16"/>
          <w:szCs w:val="16"/>
          <w:color w:val="auto"/>
        </w:rPr>
        <w:t xml:space="preserve">”). Within the earlier of (i) two (2) Trading Days and (ii) the number of Trading Days comprising the Standard Settlement Period (as defined in Section 2(d)(i) herein) following the date of exercise as aforesaid, the Holder shall deliver the aggregate Exercise Price for the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Business Day of receipt of such notice. </w:t>
      </w:r>
      <w:r>
        <w:rPr>
          <w:rFonts w:ascii="Arial" w:cs="Arial" w:eastAsia="Arial" w:hAnsi="Arial"/>
          <w:sz w:val="16"/>
          <w:szCs w:val="16"/>
          <w:b w:val="1"/>
          <w:bCs w:val="1"/>
          <w:color w:val="auto"/>
        </w:rPr>
        <w:t>The Holder and any assignee, by</w:t>
      </w:r>
      <w:r>
        <w:rPr>
          <w:rFonts w:ascii="Arial" w:cs="Arial" w:eastAsia="Arial" w:hAnsi="Arial"/>
          <w:sz w:val="16"/>
          <w:szCs w:val="16"/>
          <w:color w:val="auto"/>
        </w:rPr>
        <w:t xml:space="preserve"> </w:t>
      </w:r>
      <w:r>
        <w:rPr>
          <w:rFonts w:ascii="Arial" w:cs="Arial" w:eastAsia="Arial" w:hAnsi="Arial"/>
          <w:sz w:val="16"/>
          <w:szCs w:val="16"/>
          <w:b w:val="1"/>
          <w:bCs w:val="1"/>
          <w:color w:val="auto"/>
        </w:rPr>
        <w:t>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0" w:name="page51"/>
    <w:bookmarkEnd w:id="50"/>
    <w:p>
      <w:pPr>
        <w:ind w:left="-460" w:firstLine="644"/>
        <w:spacing w:after="0" w:line="282" w:lineRule="auto"/>
        <w:tabs>
          <w:tab w:leader="none" w:pos="383" w:val="left"/>
        </w:tabs>
        <w:numPr>
          <w:ilvl w:val="0"/>
          <w:numId w:val="5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xml:space="preserve">. The exercise price per share of Common Stock under this Warrant shall be </w:t>
      </w:r>
      <w:r>
        <w:rPr>
          <w:rFonts w:ascii="Arial" w:cs="Arial" w:eastAsia="Arial" w:hAnsi="Arial"/>
          <w:sz w:val="18"/>
          <w:szCs w:val="18"/>
          <w:b w:val="1"/>
          <w:bCs w:val="1"/>
          <w:color w:val="auto"/>
        </w:rPr>
        <w:t>$4.00</w:t>
      </w:r>
      <w:r>
        <w:rPr>
          <w:rFonts w:ascii="Arial" w:cs="Arial" w:eastAsia="Arial" w:hAnsi="Arial"/>
          <w:sz w:val="18"/>
          <w:szCs w:val="18"/>
          <w:color w:val="auto"/>
        </w:rPr>
        <w:t>, subject to adjustment hereunder (the “</w:t>
      </w:r>
      <w:r>
        <w:rPr>
          <w:rFonts w:ascii="Arial" w:cs="Arial" w:eastAsia="Arial" w:hAnsi="Arial"/>
          <w:sz w:val="18"/>
          <w:szCs w:val="18"/>
          <w:u w:val="single" w:color="auto"/>
          <w:color w:val="auto"/>
        </w:rPr>
        <w:t>Exercise Price</w:t>
      </w:r>
      <w:r>
        <w:rPr>
          <w:rFonts w:ascii="Arial" w:cs="Arial" w:eastAsia="Arial" w:hAnsi="Arial"/>
          <w:sz w:val="18"/>
          <w:szCs w:val="18"/>
          <w:color w:val="auto"/>
        </w:rPr>
        <w:t>”).</w:t>
      </w:r>
    </w:p>
    <w:p>
      <w:pPr>
        <w:spacing w:after="0" w:line="165" w:lineRule="exact"/>
        <w:rPr>
          <w:rFonts w:ascii="Arial" w:cs="Arial" w:eastAsia="Arial" w:hAnsi="Arial"/>
          <w:sz w:val="18"/>
          <w:szCs w:val="18"/>
          <w:u w:val="single" w:color="auto"/>
          <w:color w:val="auto"/>
        </w:rPr>
      </w:pPr>
    </w:p>
    <w:p>
      <w:pPr>
        <w:jc w:val="both"/>
        <w:ind w:left="-460" w:firstLine="644"/>
        <w:spacing w:after="0" w:line="259" w:lineRule="auto"/>
        <w:tabs>
          <w:tab w:leader="none" w:pos="373" w:val="left"/>
        </w:tabs>
        <w:numPr>
          <w:ilvl w:val="0"/>
          <w:numId w:val="5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Cashless Exercise</w:t>
      </w:r>
      <w:r>
        <w:rPr>
          <w:rFonts w:ascii="Arial" w:cs="Arial" w:eastAsia="Arial" w:hAnsi="Arial"/>
          <w:sz w:val="18"/>
          <w:szCs w:val="18"/>
          <w:color w:val="auto"/>
        </w:rPr>
        <w:t>. If at the time of exercise hereof there is no effective registration statement registering, or the prospectus contained therein is not available for the resale of the Warrant Shares by the Holder, then this Warrant may also be exercised, in whole or in part, at such time by means of a “cashless exercise” in which the Holder shall be entitled to receive a number of Warrant Shares equal to the quotient obtained by dividing [(A-B) (X)] by (A), where:</w:t>
      </w:r>
    </w:p>
    <w:p>
      <w:pPr>
        <w:spacing w:after="0" w:line="187" w:lineRule="exact"/>
        <w:rPr>
          <w:sz w:val="20"/>
          <w:szCs w:val="20"/>
          <w:color w:val="auto"/>
        </w:rPr>
      </w:pPr>
    </w:p>
    <w:p>
      <w:pPr>
        <w:jc w:val="both"/>
        <w:ind w:left="580" w:hanging="390"/>
        <w:spacing w:after="0" w:line="269" w:lineRule="auto"/>
        <w:rPr>
          <w:sz w:val="20"/>
          <w:szCs w:val="20"/>
          <w:color w:val="auto"/>
        </w:rPr>
      </w:pPr>
      <w:r>
        <w:rPr>
          <w:rFonts w:ascii="Arial" w:cs="Arial" w:eastAsia="Arial" w:hAnsi="Arial"/>
          <w:sz w:val="17"/>
          <w:szCs w:val="17"/>
          <w:color w:val="auto"/>
        </w:rPr>
        <w:t>(A)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w:t>
      </w:r>
      <w:r>
        <w:rPr>
          <w:rFonts w:ascii="Arial" w:cs="Arial" w:eastAsia="Arial" w:hAnsi="Arial"/>
          <w:sz w:val="17"/>
          <w:szCs w:val="17"/>
          <w:u w:val="single" w:color="auto"/>
          <w:color w:val="auto"/>
        </w:rPr>
        <w:t>Bloomberg</w:t>
      </w:r>
      <w:r>
        <w:rPr>
          <w:rFonts w:ascii="Arial" w:cs="Arial" w:eastAsia="Arial" w:hAnsi="Arial"/>
          <w:sz w:val="17"/>
          <w:szCs w:val="17"/>
          <w:color w:val="auto"/>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39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51" w:name="page52"/>
    <w:bookmarkEnd w:id="51"/>
    <w:p>
      <w:pPr>
        <w:ind w:left="640"/>
        <w:spacing w:after="0"/>
        <w:rPr>
          <w:sz w:val="20"/>
          <w:szCs w:val="20"/>
          <w:color w:val="auto"/>
        </w:rPr>
      </w:pPr>
      <w:r>
        <w:rPr>
          <w:rFonts w:ascii="Arial" w:cs="Arial" w:eastAsia="Arial" w:hAnsi="Arial"/>
          <w:sz w:val="18"/>
          <w:szCs w:val="18"/>
          <w:color w:val="auto"/>
        </w:rPr>
        <w:t>(B) =the Exercise Price of this Warrant, as adjusted hereunder; and</w:t>
      </w:r>
    </w:p>
    <w:p>
      <w:pPr>
        <w:spacing w:after="0" w:line="225" w:lineRule="exact"/>
        <w:rPr>
          <w:sz w:val="20"/>
          <w:szCs w:val="20"/>
          <w:color w:val="auto"/>
        </w:rPr>
      </w:pPr>
    </w:p>
    <w:p>
      <w:pPr>
        <w:ind w:left="1040" w:hanging="396"/>
        <w:spacing w:after="0" w:line="277" w:lineRule="auto"/>
        <w:tabs>
          <w:tab w:leader="none" w:pos="93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number of Warrant Shares that would be issuable upon exercise of this Warrant in accordance with the terms of this Warrant if such exercise were by means of a cash exercise rather than a cashless exercise.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Warrant Shares are issued in such a cashless exercise, the parties acknowledge and agree that in accordance with Section 3(a)(9) of the Securities Act, the Warrant Shares shall take on the characteristics of the Warrants being exercised, and the cashless exercise shall be treated by Company as a reorganization described in Section 368(a)(1)(E) of the Internal Revenue Code of 1986, as amended, such that the holding period of the Warrant Shares being issued may be tacked on to the holding period of this Warrant. The Company agrees not to take any position contrary to this Section 2(c).</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Bid Price</w:t>
      </w:r>
      <w:r>
        <w:rPr>
          <w:rFonts w:ascii="Arial" w:cs="Arial" w:eastAsia="Arial" w:hAnsi="Arial"/>
          <w:sz w:val="17"/>
          <w:szCs w:val="17"/>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8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VWAP</w:t>
      </w:r>
      <w:r>
        <w:rPr>
          <w:rFonts w:ascii="Arial" w:cs="Arial" w:eastAsia="Arial" w:hAnsi="Arial"/>
          <w:sz w:val="17"/>
          <w:szCs w:val="17"/>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in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200" w:lineRule="exact"/>
        <w:rPr>
          <w:sz w:val="20"/>
          <w:szCs w:val="20"/>
          <w:color w:val="auto"/>
        </w:rPr>
      </w:pPr>
    </w:p>
    <w:p>
      <w:pPr>
        <w:spacing w:after="0" w:line="20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52" w:name="page53"/>
    <w:bookmarkEnd w:id="52"/>
    <w:p>
      <w:pPr>
        <w:ind w:firstLine="648"/>
        <w:spacing w:after="0" w:line="277" w:lineRule="auto"/>
        <w:rPr>
          <w:sz w:val="20"/>
          <w:szCs w:val="20"/>
          <w:color w:val="auto"/>
        </w:rPr>
      </w:pPr>
      <w:r>
        <w:rPr>
          <w:rFonts w:ascii="Arial" w:cs="Arial" w:eastAsia="Arial" w:hAnsi="Arial"/>
          <w:sz w:val="18"/>
          <w:szCs w:val="18"/>
          <w:color w:val="auto"/>
        </w:rPr>
        <w:t>Notwithstanding anything herein to the contrary, on the Termination Date, this Warrant shall be automatically exercised via cashless exercise pursuant to this Section 2(c).</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d) Mechanics of Exercise</w:t>
      </w:r>
      <w:r>
        <w:rPr>
          <w:rFonts w:ascii="Arial" w:cs="Arial" w:eastAsia="Arial" w:hAnsi="Arial"/>
          <w:sz w:val="18"/>
          <w:szCs w:val="18"/>
          <w:color w:val="auto"/>
        </w:rPr>
        <w:t>.</w:t>
      </w:r>
    </w:p>
    <w:p>
      <w:pPr>
        <w:spacing w:after="0" w:line="225" w:lineRule="exact"/>
        <w:rPr>
          <w:sz w:val="20"/>
          <w:szCs w:val="20"/>
          <w:color w:val="auto"/>
        </w:rPr>
      </w:pPr>
    </w:p>
    <w:p>
      <w:pPr>
        <w:jc w:val="both"/>
        <w:ind w:left="960" w:firstLine="648"/>
        <w:spacing w:after="0" w:line="267" w:lineRule="auto"/>
        <w:rPr>
          <w:sz w:val="20"/>
          <w:szCs w:val="20"/>
          <w:color w:val="auto"/>
        </w:rPr>
      </w:pPr>
      <w:r>
        <w:rPr>
          <w:rFonts w:ascii="Arial" w:cs="Arial" w:eastAsia="Arial" w:hAnsi="Arial"/>
          <w:sz w:val="17"/>
          <w:szCs w:val="17"/>
          <w:u w:val="single" w:color="auto"/>
          <w:color w:val="auto"/>
        </w:rPr>
        <w:t>i</w:t>
      </w:r>
      <w:r>
        <w:rPr>
          <w:rFonts w:ascii="Arial" w:cs="Arial" w:eastAsia="Arial" w:hAnsi="Arial"/>
          <w:sz w:val="17"/>
          <w:szCs w:val="17"/>
          <w:color w:val="auto"/>
        </w:rPr>
        <w:t xml:space="preserve">. </w:t>
      </w:r>
      <w:r>
        <w:rPr>
          <w:rFonts w:ascii="Arial" w:cs="Arial" w:eastAsia="Arial" w:hAnsi="Arial"/>
          <w:sz w:val="17"/>
          <w:szCs w:val="17"/>
          <w:u w:val="single" w:color="auto"/>
          <w:color w:val="auto"/>
        </w:rPr>
        <w:t>Delivery of Warrant Shares Upon Exercise</w:t>
      </w:r>
      <w:r>
        <w:rPr>
          <w:rFonts w:ascii="Arial" w:cs="Arial" w:eastAsia="Arial" w:hAnsi="Arial"/>
          <w:sz w:val="17"/>
          <w:szCs w:val="17"/>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Arial" w:cs="Arial" w:eastAsia="Arial" w:hAnsi="Arial"/>
          <w:sz w:val="17"/>
          <w:szCs w:val="17"/>
          <w:u w:val="single" w:color="auto"/>
          <w:color w:val="auto"/>
        </w:rPr>
        <w:t>DWAC</w:t>
      </w:r>
      <w:r>
        <w:rPr>
          <w:rFonts w:ascii="Arial" w:cs="Arial" w:eastAsia="Arial" w:hAnsi="Arial"/>
          <w:sz w:val="17"/>
          <w:szCs w:val="17"/>
          <w:color w:val="auto"/>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earliest of (i) two (2) Trading Days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Arial" w:cs="Arial" w:eastAsia="Arial" w:hAnsi="Arial"/>
          <w:sz w:val="17"/>
          <w:szCs w:val="17"/>
          <w:u w:val="single" w:color="auto"/>
          <w:color w:val="auto"/>
        </w:rPr>
        <w:t>Warrant Share Delivery Date</w:t>
      </w:r>
      <w:r>
        <w:rPr>
          <w:rFonts w:ascii="Arial" w:cs="Arial" w:eastAsia="Arial" w:hAnsi="Arial"/>
          <w:sz w:val="17"/>
          <w:szCs w:val="17"/>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two (2) Trading Days and (ii) the number of Trading Days comprising the Standard Settlement Period following delivery of the Notice of Exercise. As used herein, “</w:t>
      </w:r>
      <w:r>
        <w:rPr>
          <w:rFonts w:ascii="Arial" w:cs="Arial" w:eastAsia="Arial" w:hAnsi="Arial"/>
          <w:sz w:val="17"/>
          <w:szCs w:val="17"/>
          <w:u w:val="single" w:color="auto"/>
          <w:color w:val="auto"/>
        </w:rPr>
        <w:t>Standard Settlement Period</w:t>
      </w:r>
      <w:r>
        <w:rPr>
          <w:rFonts w:ascii="Arial" w:cs="Arial" w:eastAsia="Arial" w:hAnsi="Arial"/>
          <w:sz w:val="17"/>
          <w:szCs w:val="17"/>
          <w:color w:val="auto"/>
        </w:rPr>
        <w:t>” means the standard settlement period, expressed in a number of Trading Days, on the Company’s primary Trading Market with respect to the Common Stock as in effect on the date of delivery of the Notice of Exercise.</w:t>
      </w:r>
    </w:p>
    <w:p>
      <w:pPr>
        <w:spacing w:after="0" w:line="190" w:lineRule="exact"/>
        <w:rPr>
          <w:sz w:val="20"/>
          <w:szCs w:val="20"/>
          <w:color w:val="auto"/>
        </w:rPr>
      </w:pPr>
    </w:p>
    <w:p>
      <w:pPr>
        <w:jc w:val="both"/>
        <w:ind w:left="960" w:firstLine="648"/>
        <w:spacing w:after="0" w:line="259" w:lineRule="auto"/>
        <w:rPr>
          <w:sz w:val="20"/>
          <w:szCs w:val="20"/>
          <w:color w:val="auto"/>
        </w:rPr>
      </w:pPr>
      <w:r>
        <w:rPr>
          <w:rFonts w:ascii="Arial" w:cs="Arial" w:eastAsia="Arial" w:hAnsi="Arial"/>
          <w:sz w:val="18"/>
          <w:szCs w:val="18"/>
          <w:u w:val="single" w:color="auto"/>
          <w:color w:val="auto"/>
        </w:rPr>
        <w:t>ii</w:t>
      </w:r>
      <w:r>
        <w:rPr>
          <w:rFonts w:ascii="Arial" w:cs="Arial" w:eastAsia="Arial" w:hAnsi="Arial"/>
          <w:sz w:val="18"/>
          <w:szCs w:val="18"/>
          <w:color w:val="auto"/>
        </w:rPr>
        <w:t xml:space="preserve">. </w:t>
      </w:r>
      <w:r>
        <w:rPr>
          <w:rFonts w:ascii="Arial" w:cs="Arial" w:eastAsia="Arial" w:hAnsi="Arial"/>
          <w:sz w:val="18"/>
          <w:szCs w:val="18"/>
          <w:u w:val="single" w:color="auto"/>
          <w:color w:val="auto"/>
        </w:rPr>
        <w:t>Delivery of New Warrants Upon Exercise</w:t>
      </w:r>
      <w:r>
        <w:rPr>
          <w:rFonts w:ascii="Arial" w:cs="Arial" w:eastAsia="Arial" w:hAnsi="Arial"/>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200" w:lineRule="exact"/>
        <w:rPr>
          <w:sz w:val="20"/>
          <w:szCs w:val="20"/>
          <w:color w:val="auto"/>
        </w:rPr>
      </w:pPr>
    </w:p>
    <w:p>
      <w:pPr>
        <w:spacing w:after="0" w:line="20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53" w:name="page54"/>
    <w:bookmarkEnd w:id="53"/>
    <w:p>
      <w:pPr>
        <w:ind w:left="500" w:firstLine="656"/>
        <w:spacing w:after="0" w:line="308" w:lineRule="auto"/>
        <w:tabs>
          <w:tab w:leader="none" w:pos="1415" w:val="left"/>
        </w:tabs>
        <w:numPr>
          <w:ilvl w:val="0"/>
          <w:numId w:val="57"/>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Rescission Rights</w:t>
      </w:r>
      <w:r>
        <w:rPr>
          <w:rFonts w:ascii="Arial" w:cs="Arial" w:eastAsia="Arial" w:hAnsi="Arial"/>
          <w:sz w:val="17"/>
          <w:szCs w:val="17"/>
          <w:color w:val="auto"/>
        </w:rPr>
        <w:t>. If the Company fails to cause the Transfer Agent to transmit to the Holder the Warrant Shares pursuant to Section 2(d)(i) by the Warrant Share Delivery Date, then the Holder will have the right to rescind such exercise.</w:t>
      </w:r>
    </w:p>
    <w:p>
      <w:pPr>
        <w:spacing w:after="0" w:line="146" w:lineRule="exact"/>
        <w:rPr>
          <w:rFonts w:ascii="Arial" w:cs="Arial" w:eastAsia="Arial" w:hAnsi="Arial"/>
          <w:sz w:val="17"/>
          <w:szCs w:val="17"/>
          <w:u w:val="single" w:color="auto"/>
          <w:color w:val="auto"/>
        </w:rPr>
      </w:pPr>
    </w:p>
    <w:p>
      <w:pPr>
        <w:jc w:val="both"/>
        <w:ind w:left="500" w:firstLine="656"/>
        <w:spacing w:after="0" w:line="259" w:lineRule="auto"/>
        <w:tabs>
          <w:tab w:leader="none" w:pos="1393" w:val="left"/>
        </w:tabs>
        <w:numPr>
          <w:ilvl w:val="0"/>
          <w:numId w:val="57"/>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No Fractional Shares or Scrip</w:t>
      </w:r>
      <w:r>
        <w:rPr>
          <w:rFonts w:ascii="Arial" w:cs="Arial" w:eastAsia="Arial" w:hAnsi="Arial"/>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86" w:lineRule="exact"/>
        <w:rPr>
          <w:rFonts w:ascii="Arial" w:cs="Arial" w:eastAsia="Arial" w:hAnsi="Arial"/>
          <w:sz w:val="18"/>
          <w:szCs w:val="18"/>
          <w:u w:val="single" w:color="auto"/>
          <w:color w:val="auto"/>
        </w:rPr>
      </w:pPr>
    </w:p>
    <w:p>
      <w:pPr>
        <w:jc w:val="both"/>
        <w:ind w:left="500" w:firstLine="656"/>
        <w:spacing w:after="0" w:line="270" w:lineRule="auto"/>
        <w:tabs>
          <w:tab w:leader="none" w:pos="1330" w:val="left"/>
        </w:tabs>
        <w:numPr>
          <w:ilvl w:val="0"/>
          <w:numId w:val="57"/>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Charges, Taxes and Expenses</w:t>
      </w:r>
      <w:r>
        <w:rPr>
          <w:rFonts w:ascii="Arial" w:cs="Arial" w:eastAsia="Arial" w:hAnsi="Arial"/>
          <w:sz w:val="17"/>
          <w:szCs w:val="17"/>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80" w:lineRule="exact"/>
        <w:rPr>
          <w:rFonts w:ascii="Arial" w:cs="Arial" w:eastAsia="Arial" w:hAnsi="Arial"/>
          <w:sz w:val="17"/>
          <w:szCs w:val="17"/>
          <w:u w:val="single" w:color="auto"/>
          <w:color w:val="auto"/>
        </w:rPr>
      </w:pPr>
    </w:p>
    <w:p>
      <w:pPr>
        <w:ind w:left="500" w:firstLine="656"/>
        <w:spacing w:after="0" w:line="277" w:lineRule="auto"/>
        <w:tabs>
          <w:tab w:leader="none" w:pos="1378" w:val="left"/>
        </w:tabs>
        <w:numPr>
          <w:ilvl w:val="0"/>
          <w:numId w:val="57"/>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Closing of Books</w:t>
      </w:r>
      <w:r>
        <w:rPr>
          <w:rFonts w:ascii="Arial" w:cs="Arial" w:eastAsia="Arial" w:hAnsi="Arial"/>
          <w:sz w:val="18"/>
          <w:szCs w:val="18"/>
          <w:color w:val="auto"/>
        </w:rPr>
        <w:t>. The Company will not close its stockholder books or records in any manner which prevents the timely exercise of this Warrant, pursuant to the terms hereof.</w:t>
      </w:r>
    </w:p>
    <w:p>
      <w:pPr>
        <w:spacing w:after="0" w:line="38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54" w:name="page55"/>
    <w:bookmarkEnd w:id="54"/>
    <w:p>
      <w:pPr>
        <w:jc w:val="both"/>
        <w:ind w:firstLine="644"/>
        <w:spacing w:after="0" w:line="282" w:lineRule="auto"/>
        <w:tabs>
          <w:tab w:leader="none" w:pos="846"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Holder’s Exercise Limitations</w:t>
      </w:r>
      <w:r>
        <w:rPr>
          <w:rFonts w:ascii="Arial" w:cs="Arial" w:eastAsia="Arial" w:hAnsi="Arial"/>
          <w:sz w:val="16"/>
          <w:szCs w:val="16"/>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Arial" w:cs="Arial" w:eastAsia="Arial" w:hAnsi="Arial"/>
          <w:sz w:val="16"/>
          <w:szCs w:val="16"/>
          <w:u w:val="single" w:color="auto"/>
          <w:color w:val="auto"/>
        </w:rPr>
        <w:t>Attribution Parties</w:t>
      </w:r>
      <w:r>
        <w:rPr>
          <w:rFonts w:ascii="Arial" w:cs="Arial" w:eastAsia="Arial" w:hAnsi="Arial"/>
          <w:sz w:val="16"/>
          <w:szCs w:val="16"/>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Arial" w:cs="Arial" w:eastAsia="Arial" w:hAnsi="Arial"/>
          <w:sz w:val="16"/>
          <w:szCs w:val="16"/>
          <w:u w:val="single" w:color="auto"/>
          <w:color w:val="auto"/>
        </w:rPr>
        <w:t>Beneficial Ownership Limitation</w:t>
      </w:r>
      <w:r>
        <w:rPr>
          <w:rFonts w:ascii="Arial" w:cs="Arial" w:eastAsia="Arial" w:hAnsi="Arial"/>
          <w:sz w:val="16"/>
          <w:szCs w:val="16"/>
          <w:color w:val="auto"/>
        </w:rPr>
        <w:t>” shall be 4.99%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w:t>
      </w:r>
    </w:p>
    <w:p>
      <w:pPr>
        <w:spacing w:after="0" w:line="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effective until the 61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0" w:lineRule="exact"/>
        <w:rPr>
          <w:sz w:val="20"/>
          <w:szCs w:val="20"/>
          <w:color w:val="auto"/>
        </w:rPr>
      </w:pPr>
    </w:p>
    <w:p>
      <w:pPr>
        <w:spacing w:after="0" w:line="20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w:t>
      </w:r>
      <w:r>
        <w:rPr>
          <w:rFonts w:ascii="Arial" w:cs="Arial" w:eastAsia="Arial" w:hAnsi="Arial"/>
          <w:sz w:val="18"/>
          <w:szCs w:val="18"/>
          <w:u w:val="single" w:color="auto"/>
          <w:color w:val="auto"/>
        </w:rPr>
        <w:t>Certain Adjustments</w:t>
      </w:r>
      <w:r>
        <w:rPr>
          <w:rFonts w:ascii="Arial" w:cs="Arial" w:eastAsia="Arial" w:hAnsi="Arial"/>
          <w:sz w:val="18"/>
          <w:szCs w:val="18"/>
          <w:color w:val="auto"/>
        </w:rPr>
        <w:t>.</w:t>
      </w:r>
    </w:p>
    <w:p>
      <w:pPr>
        <w:spacing w:after="0" w:line="225" w:lineRule="exact"/>
        <w:rPr>
          <w:sz w:val="20"/>
          <w:szCs w:val="20"/>
          <w:color w:val="auto"/>
        </w:rPr>
      </w:pPr>
    </w:p>
    <w:p>
      <w:pPr>
        <w:jc w:val="both"/>
        <w:ind w:firstLine="644"/>
        <w:spacing w:after="0" w:line="269" w:lineRule="auto"/>
        <w:tabs>
          <w:tab w:leader="none" w:pos="853" w:val="left"/>
        </w:tabs>
        <w:numPr>
          <w:ilvl w:val="0"/>
          <w:numId w:val="59"/>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Stock Dividends and Splits</w:t>
      </w:r>
      <w:r>
        <w:rPr>
          <w:rFonts w:ascii="Arial" w:cs="Arial" w:eastAsia="Arial" w:hAnsi="Arial"/>
          <w:sz w:val="17"/>
          <w:szCs w:val="17"/>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subject to the limitation on fractional shares in Section 2(d)(iv).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78" w:lineRule="exact"/>
        <w:rPr>
          <w:rFonts w:ascii="Arial" w:cs="Arial" w:eastAsia="Arial" w:hAnsi="Arial"/>
          <w:sz w:val="17"/>
          <w:szCs w:val="17"/>
          <w:u w:val="single" w:color="auto"/>
          <w:color w:val="auto"/>
        </w:rPr>
      </w:pPr>
    </w:p>
    <w:p>
      <w:pPr>
        <w:jc w:val="both"/>
        <w:ind w:firstLine="644"/>
        <w:spacing w:after="0" w:line="269" w:lineRule="auto"/>
        <w:tabs>
          <w:tab w:leader="none" w:pos="847" w:val="left"/>
        </w:tabs>
        <w:numPr>
          <w:ilvl w:val="0"/>
          <w:numId w:val="59"/>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Subsequent Rights Offerings</w:t>
      </w:r>
      <w:r>
        <w:rPr>
          <w:rFonts w:ascii="Arial" w:cs="Arial" w:eastAsia="Arial" w:hAnsi="Arial"/>
          <w:sz w:val="17"/>
          <w:szCs w:val="17"/>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Arial" w:cs="Arial" w:eastAsia="Arial" w:hAnsi="Arial"/>
          <w:sz w:val="17"/>
          <w:szCs w:val="17"/>
          <w:u w:val="single" w:color="auto"/>
          <w:color w:val="auto"/>
        </w:rPr>
        <w:t>Purchase Rights</w:t>
      </w:r>
      <w:r>
        <w:rPr>
          <w:rFonts w:ascii="Arial" w:cs="Arial" w:eastAsia="Arial" w:hAnsi="Arial"/>
          <w:sz w:val="17"/>
          <w:szCs w:val="17"/>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78" w:lineRule="exact"/>
        <w:rPr>
          <w:rFonts w:ascii="Arial" w:cs="Arial" w:eastAsia="Arial" w:hAnsi="Arial"/>
          <w:sz w:val="17"/>
          <w:szCs w:val="17"/>
          <w:u w:val="single" w:color="auto"/>
          <w:color w:val="auto"/>
        </w:rPr>
      </w:pPr>
    </w:p>
    <w:p>
      <w:pPr>
        <w:jc w:val="both"/>
        <w:ind w:firstLine="644"/>
        <w:spacing w:after="0" w:line="286" w:lineRule="auto"/>
        <w:tabs>
          <w:tab w:leader="none" w:pos="842" w:val="left"/>
        </w:tabs>
        <w:numPr>
          <w:ilvl w:val="0"/>
          <w:numId w:val="59"/>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Pro Rata Distributions</w:t>
      </w:r>
      <w:r>
        <w:rPr>
          <w:rFonts w:ascii="Arial" w:cs="Arial" w:eastAsia="Arial" w:hAnsi="Arial"/>
          <w:sz w:val="16"/>
          <w:szCs w:val="16"/>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other than a dividend or other distribution of the type described in Section 3(a) above (a “</w:t>
      </w:r>
      <w:r>
        <w:rPr>
          <w:rFonts w:ascii="Arial" w:cs="Arial" w:eastAsia="Arial" w:hAnsi="Arial"/>
          <w:sz w:val="16"/>
          <w:szCs w:val="16"/>
          <w:u w:val="single" w:color="auto"/>
          <w:color w:val="auto"/>
        </w:rPr>
        <w:t>Distribution</w:t>
      </w:r>
      <w:r>
        <w:rPr>
          <w:rFonts w:ascii="Arial" w:cs="Arial" w:eastAsia="Arial" w:hAnsi="Arial"/>
          <w:sz w:val="16"/>
          <w:szCs w:val="16"/>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39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56" w:name="page57"/>
    <w:bookmarkEnd w:id="56"/>
    <w:p>
      <w:pPr>
        <w:jc w:val="both"/>
        <w:ind w:left="-460" w:firstLine="644"/>
        <w:spacing w:after="0" w:line="283" w:lineRule="auto"/>
        <w:tabs>
          <w:tab w:leader="none" w:pos="403" w:val="left"/>
        </w:tabs>
        <w:numPr>
          <w:ilvl w:val="0"/>
          <w:numId w:val="60"/>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Fundamental Transaction</w:t>
      </w:r>
      <w:r>
        <w:rPr>
          <w:rFonts w:ascii="Arial" w:cs="Arial" w:eastAsia="Arial" w:hAnsi="Arial"/>
          <w:sz w:val="16"/>
          <w:szCs w:val="16"/>
          <w:color w:val="auto"/>
        </w:rPr>
        <w:t>. If, at any time while this Warrant is outstanding, (i) the Company, directly or indirectly, in one or more related transactions effects any merger or consolidation of the Company with or into another Person, (ii) the Company (together with all of its Subsidiaries, taken as a whole),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Arial" w:cs="Arial" w:eastAsia="Arial" w:hAnsi="Arial"/>
          <w:sz w:val="16"/>
          <w:szCs w:val="16"/>
          <w:u w:val="single" w:color="auto"/>
          <w:color w:val="auto"/>
        </w:rPr>
        <w:t>Fundamental Transaction</w:t>
      </w:r>
      <w:r>
        <w:rPr>
          <w:rFonts w:ascii="Arial" w:cs="Arial" w:eastAsia="Arial" w:hAnsi="Arial"/>
          <w:sz w:val="16"/>
          <w:szCs w:val="16"/>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Arial" w:cs="Arial" w:eastAsia="Arial" w:hAnsi="Arial"/>
          <w:sz w:val="16"/>
          <w:szCs w:val="16"/>
          <w:u w:val="single" w:color="auto"/>
          <w:color w:val="auto"/>
        </w:rPr>
        <w:t>Alternate Consideration</w:t>
      </w:r>
      <w:r>
        <w:rPr>
          <w:rFonts w:ascii="Arial" w:cs="Arial" w:eastAsia="Arial" w:hAnsi="Arial"/>
          <w:sz w:val="16"/>
          <w:szCs w:val="16"/>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Arial" w:cs="Arial" w:eastAsia="Arial" w:hAnsi="Arial"/>
          <w:sz w:val="16"/>
          <w:szCs w:val="16"/>
          <w:u w:val="single" w:color="auto"/>
          <w:color w:val="auto"/>
        </w:rPr>
        <w:t>Successor Entity</w:t>
      </w:r>
      <w:r>
        <w:rPr>
          <w:rFonts w:ascii="Arial" w:cs="Arial" w:eastAsia="Arial" w:hAnsi="Arial"/>
          <w:sz w:val="16"/>
          <w:szCs w:val="16"/>
          <w:color w:val="auto"/>
        </w:rPr>
        <w:t>”) to assume in writing all of the obligations of the Company under this Warrant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57" w:name="page58"/>
    <w:bookmarkEnd w:id="57"/>
    <w:p>
      <w:pPr>
        <w:jc w:val="both"/>
        <w:ind w:left="-460" w:firstLine="644"/>
        <w:spacing w:after="0" w:line="286" w:lineRule="auto"/>
        <w:tabs>
          <w:tab w:leader="none" w:pos="373" w:val="left"/>
        </w:tabs>
        <w:numPr>
          <w:ilvl w:val="0"/>
          <w:numId w:val="6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Calculations</w:t>
      </w:r>
      <w:r>
        <w:rPr>
          <w:rFonts w:ascii="Arial" w:cs="Arial" w:eastAsia="Arial" w:hAnsi="Arial"/>
          <w:sz w:val="17"/>
          <w:szCs w:val="17"/>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65" w:lineRule="exact"/>
        <w:rPr>
          <w:rFonts w:ascii="Arial" w:cs="Arial" w:eastAsia="Arial" w:hAnsi="Arial"/>
          <w:sz w:val="17"/>
          <w:szCs w:val="17"/>
          <w:u w:val="single" w:color="auto"/>
          <w:color w:val="auto"/>
        </w:rPr>
      </w:pPr>
    </w:p>
    <w:p>
      <w:pPr>
        <w:ind w:left="340" w:hanging="156"/>
        <w:spacing w:after="0"/>
        <w:tabs>
          <w:tab w:leader="none" w:pos="340" w:val="left"/>
        </w:tabs>
        <w:numPr>
          <w:ilvl w:val="0"/>
          <w:numId w:val="6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Notice to Holder</w:t>
      </w:r>
      <w:r>
        <w:rPr>
          <w:rFonts w:ascii="Arial" w:cs="Arial" w:eastAsia="Arial" w:hAnsi="Arial"/>
          <w:sz w:val="18"/>
          <w:szCs w:val="18"/>
          <w:color w:val="auto"/>
        </w:rPr>
        <w:t>.</w:t>
      </w:r>
    </w:p>
    <w:p>
      <w:pPr>
        <w:spacing w:after="0" w:line="225" w:lineRule="exact"/>
        <w:rPr>
          <w:sz w:val="20"/>
          <w:szCs w:val="20"/>
          <w:color w:val="auto"/>
        </w:rPr>
      </w:pPr>
    </w:p>
    <w:p>
      <w:pPr>
        <w:jc w:val="both"/>
        <w:ind w:left="500" w:firstLine="648"/>
        <w:spacing w:after="0" w:line="259" w:lineRule="auto"/>
        <w:rPr>
          <w:sz w:val="20"/>
          <w:szCs w:val="20"/>
          <w:color w:val="auto"/>
        </w:rPr>
      </w:pPr>
      <w:r>
        <w:rPr>
          <w:rFonts w:ascii="Arial" w:cs="Arial" w:eastAsia="Arial" w:hAnsi="Arial"/>
          <w:sz w:val="18"/>
          <w:szCs w:val="18"/>
          <w:u w:val="single" w:color="auto"/>
          <w:color w:val="auto"/>
        </w:rPr>
        <w:t>i</w:t>
      </w:r>
      <w:r>
        <w:rPr>
          <w:rFonts w:ascii="Arial" w:cs="Arial" w:eastAsia="Arial" w:hAnsi="Arial"/>
          <w:sz w:val="18"/>
          <w:szCs w:val="18"/>
          <w:color w:val="auto"/>
        </w:rPr>
        <w:t xml:space="preserve">. </w:t>
      </w:r>
      <w:r>
        <w:rPr>
          <w:rFonts w:ascii="Arial" w:cs="Arial" w:eastAsia="Arial" w:hAnsi="Arial"/>
          <w:sz w:val="18"/>
          <w:szCs w:val="18"/>
          <w:u w:val="single" w:color="auto"/>
          <w:color w:val="auto"/>
        </w:rPr>
        <w:t>Adjustment to Exercise Price</w:t>
      </w:r>
      <w:r>
        <w:rPr>
          <w:rFonts w:ascii="Arial" w:cs="Arial" w:eastAsia="Arial" w:hAnsi="Arial"/>
          <w:sz w:val="18"/>
          <w:szCs w:val="18"/>
          <w:color w:val="auto"/>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spacing w:after="0" w:line="187" w:lineRule="exact"/>
        <w:rPr>
          <w:sz w:val="20"/>
          <w:szCs w:val="20"/>
          <w:color w:val="auto"/>
        </w:rPr>
      </w:pPr>
    </w:p>
    <w:p>
      <w:pPr>
        <w:jc w:val="both"/>
        <w:ind w:left="500" w:firstLine="648"/>
        <w:spacing w:after="0" w:line="284" w:lineRule="auto"/>
        <w:rPr>
          <w:sz w:val="20"/>
          <w:szCs w:val="20"/>
          <w:color w:val="auto"/>
        </w:rPr>
      </w:pPr>
      <w:r>
        <w:rPr>
          <w:rFonts w:ascii="Arial" w:cs="Arial" w:eastAsia="Arial" w:hAnsi="Arial"/>
          <w:sz w:val="16"/>
          <w:szCs w:val="16"/>
          <w:u w:val="single" w:color="auto"/>
          <w:color w:val="auto"/>
        </w:rPr>
        <w:t>ii</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Notice to Allow Exercise by Holder</w:t>
      </w:r>
      <w:r>
        <w:rPr>
          <w:rFonts w:ascii="Arial" w:cs="Arial" w:eastAsia="Arial" w:hAnsi="Arial"/>
          <w:sz w:val="16"/>
          <w:szCs w:val="16"/>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39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Transfer of Warrant</w:t>
      </w:r>
      <w:r>
        <w:rPr>
          <w:rFonts w:ascii="Arial" w:cs="Arial" w:eastAsia="Arial" w:hAnsi="Arial"/>
          <w:sz w:val="18"/>
          <w:szCs w:val="18"/>
          <w:color w:val="auto"/>
        </w:rPr>
        <w:t>.</w:t>
      </w:r>
    </w:p>
    <w:p>
      <w:pPr>
        <w:spacing w:after="0" w:line="225" w:lineRule="exact"/>
        <w:rPr>
          <w:sz w:val="20"/>
          <w:szCs w:val="20"/>
          <w:color w:val="auto"/>
        </w:rPr>
      </w:pPr>
    </w:p>
    <w:p>
      <w:pPr>
        <w:jc w:val="both"/>
        <w:ind w:firstLine="644"/>
        <w:spacing w:after="0" w:line="269" w:lineRule="auto"/>
        <w:tabs>
          <w:tab w:leader="none" w:pos="846" w:val="left"/>
        </w:tabs>
        <w:numPr>
          <w:ilvl w:val="0"/>
          <w:numId w:val="62"/>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Subject to compliance with any applicable securities laws,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81" w:lineRule="exact"/>
        <w:rPr>
          <w:rFonts w:ascii="Arial" w:cs="Arial" w:eastAsia="Arial" w:hAnsi="Arial"/>
          <w:sz w:val="17"/>
          <w:szCs w:val="17"/>
          <w:u w:val="single" w:color="auto"/>
          <w:color w:val="auto"/>
        </w:rPr>
      </w:pPr>
    </w:p>
    <w:p>
      <w:pPr>
        <w:jc w:val="both"/>
        <w:ind w:firstLine="644"/>
        <w:spacing w:after="0" w:line="273" w:lineRule="auto"/>
        <w:tabs>
          <w:tab w:leader="none" w:pos="843" w:val="left"/>
        </w:tabs>
        <w:numPr>
          <w:ilvl w:val="0"/>
          <w:numId w:val="62"/>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New Warrants</w:t>
      </w:r>
      <w:r>
        <w:rPr>
          <w:rFonts w:ascii="Arial" w:cs="Arial" w:eastAsia="Arial" w:hAnsi="Arial"/>
          <w:sz w:val="17"/>
          <w:szCs w:val="17"/>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original Issue Date and shall be identical with this Warrant except as to the number of Warrant Shares issuable pursuant thereto.</w:t>
      </w:r>
    </w:p>
    <w:p>
      <w:pPr>
        <w:spacing w:after="0" w:line="177" w:lineRule="exact"/>
        <w:rPr>
          <w:rFonts w:ascii="Arial" w:cs="Arial" w:eastAsia="Arial" w:hAnsi="Arial"/>
          <w:sz w:val="17"/>
          <w:szCs w:val="17"/>
          <w:u w:val="single" w:color="auto"/>
          <w:color w:val="auto"/>
        </w:rPr>
      </w:pPr>
    </w:p>
    <w:p>
      <w:pPr>
        <w:jc w:val="both"/>
        <w:ind w:firstLine="644"/>
        <w:spacing w:after="0" w:line="259" w:lineRule="auto"/>
        <w:tabs>
          <w:tab w:leader="none" w:pos="846" w:val="left"/>
        </w:tabs>
        <w:numPr>
          <w:ilvl w:val="0"/>
          <w:numId w:val="6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Warrant Register</w:t>
      </w:r>
      <w:r>
        <w:rPr>
          <w:rFonts w:ascii="Arial" w:cs="Arial" w:eastAsia="Arial" w:hAnsi="Arial"/>
          <w:sz w:val="18"/>
          <w:szCs w:val="18"/>
          <w:color w:val="auto"/>
        </w:rPr>
        <w:t>. The Company shall register this Warrant, upon records to be maintained by the Company for that purpose (the “</w:t>
      </w:r>
      <w:r>
        <w:rPr>
          <w:rFonts w:ascii="Arial" w:cs="Arial" w:eastAsia="Arial" w:hAnsi="Arial"/>
          <w:sz w:val="18"/>
          <w:szCs w:val="18"/>
          <w:u w:val="single" w:color="auto"/>
          <w:color w:val="auto"/>
        </w:rPr>
        <w:t>Warrant Register</w:t>
      </w:r>
      <w:r>
        <w:rPr>
          <w:rFonts w:ascii="Arial" w:cs="Arial" w:eastAsia="Arial" w:hAnsi="Arial"/>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6" w:lineRule="exact"/>
        <w:rPr>
          <w:rFonts w:ascii="Arial" w:cs="Arial" w:eastAsia="Arial" w:hAnsi="Arial"/>
          <w:sz w:val="18"/>
          <w:szCs w:val="18"/>
          <w:u w:val="single" w:color="auto"/>
          <w:color w:val="auto"/>
        </w:rPr>
      </w:pPr>
    </w:p>
    <w:p>
      <w:pPr>
        <w:jc w:val="both"/>
        <w:ind w:firstLine="644"/>
        <w:spacing w:after="0" w:line="259" w:lineRule="auto"/>
        <w:tabs>
          <w:tab w:leader="none" w:pos="843" w:val="left"/>
        </w:tabs>
        <w:numPr>
          <w:ilvl w:val="0"/>
          <w:numId w:val="6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Representation by the Holder</w:t>
      </w:r>
      <w:r>
        <w:rPr>
          <w:rFonts w:ascii="Arial" w:cs="Arial" w:eastAsia="Arial" w:hAnsi="Arial"/>
          <w:sz w:val="18"/>
          <w:szCs w:val="18"/>
          <w:color w:val="auto"/>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spacing w:after="0" w:line="200" w:lineRule="exact"/>
        <w:rPr>
          <w:sz w:val="20"/>
          <w:szCs w:val="20"/>
          <w:color w:val="auto"/>
        </w:rPr>
      </w:pPr>
    </w:p>
    <w:p>
      <w:pPr>
        <w:spacing w:after="0" w:line="20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644"/>
        <w:spacing w:after="0" w:line="259" w:lineRule="auto"/>
        <w:tabs>
          <w:tab w:leader="none" w:pos="860" w:val="left"/>
        </w:tabs>
        <w:numPr>
          <w:ilvl w:val="0"/>
          <w:numId w:val="6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No Rights as Stockholder Until Exercise; No Settlement in Cash</w:t>
      </w:r>
      <w:r>
        <w:rPr>
          <w:rFonts w:ascii="Arial" w:cs="Arial" w:eastAsia="Arial" w:hAnsi="Arial"/>
          <w:sz w:val="18"/>
          <w:szCs w:val="18"/>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in no event shall the Company be required to net cash settle an exercise of this Warrant.</w:t>
      </w:r>
    </w:p>
    <w:p>
      <w:pPr>
        <w:spacing w:after="0" w:line="186" w:lineRule="exact"/>
        <w:rPr>
          <w:rFonts w:ascii="Arial" w:cs="Arial" w:eastAsia="Arial" w:hAnsi="Arial"/>
          <w:sz w:val="18"/>
          <w:szCs w:val="18"/>
          <w:u w:val="single" w:color="auto"/>
          <w:color w:val="auto"/>
        </w:rPr>
      </w:pPr>
    </w:p>
    <w:p>
      <w:pPr>
        <w:jc w:val="both"/>
        <w:ind w:firstLine="644"/>
        <w:spacing w:after="0" w:line="296" w:lineRule="auto"/>
        <w:tabs>
          <w:tab w:leader="none" w:pos="843" w:val="left"/>
        </w:tabs>
        <w:numPr>
          <w:ilvl w:val="0"/>
          <w:numId w:val="63"/>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Loss, Theft, Destruction or Mutilation of Warrant</w:t>
      </w:r>
      <w:r>
        <w:rPr>
          <w:rFonts w:ascii="Arial" w:cs="Arial" w:eastAsia="Arial" w:hAnsi="Arial"/>
          <w:sz w:val="16"/>
          <w:szCs w:val="16"/>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61" w:lineRule="exact"/>
        <w:rPr>
          <w:rFonts w:ascii="Arial" w:cs="Arial" w:eastAsia="Arial" w:hAnsi="Arial"/>
          <w:sz w:val="16"/>
          <w:szCs w:val="16"/>
          <w:u w:val="single" w:color="auto"/>
          <w:color w:val="auto"/>
        </w:rPr>
      </w:pPr>
    </w:p>
    <w:p>
      <w:pPr>
        <w:ind w:right="20" w:firstLine="644"/>
        <w:spacing w:after="0" w:line="342" w:lineRule="auto"/>
        <w:tabs>
          <w:tab w:leader="none" w:pos="833" w:val="left"/>
        </w:tabs>
        <w:numPr>
          <w:ilvl w:val="0"/>
          <w:numId w:val="63"/>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Saturdays, Sundays, Holidays, etc</w:t>
      </w:r>
      <w:r>
        <w:rPr>
          <w:rFonts w:ascii="Arial" w:cs="Arial" w:eastAsia="Arial" w:hAnsi="Arial"/>
          <w:sz w:val="16"/>
          <w:szCs w:val="16"/>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23" w:lineRule="exact"/>
        <w:rPr>
          <w:rFonts w:ascii="Arial" w:cs="Arial" w:eastAsia="Arial" w:hAnsi="Arial"/>
          <w:sz w:val="16"/>
          <w:szCs w:val="16"/>
          <w:u w:val="single" w:color="auto"/>
          <w:color w:val="auto"/>
        </w:rPr>
      </w:pPr>
    </w:p>
    <w:p>
      <w:pPr>
        <w:ind w:left="840" w:hanging="196"/>
        <w:spacing w:after="0"/>
        <w:tabs>
          <w:tab w:leader="none" w:pos="840" w:val="left"/>
        </w:tabs>
        <w:numPr>
          <w:ilvl w:val="0"/>
          <w:numId w:val="6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Authorized Shares</w:t>
      </w:r>
      <w:r>
        <w:rPr>
          <w:rFonts w:ascii="Arial" w:cs="Arial" w:eastAsia="Arial" w:hAnsi="Arial"/>
          <w:sz w:val="18"/>
          <w:szCs w:val="18"/>
          <w:color w:val="auto"/>
        </w:rPr>
        <w:t>.</w:t>
      </w:r>
    </w:p>
    <w:p>
      <w:pPr>
        <w:spacing w:after="0" w:line="225" w:lineRule="exact"/>
        <w:rPr>
          <w:sz w:val="20"/>
          <w:szCs w:val="20"/>
          <w:color w:val="auto"/>
        </w:rPr>
      </w:pPr>
    </w:p>
    <w:p>
      <w:pPr>
        <w:jc w:val="both"/>
        <w:ind w:left="640" w:firstLine="648"/>
        <w:spacing w:after="0" w:line="288" w:lineRule="auto"/>
        <w:rPr>
          <w:sz w:val="20"/>
          <w:szCs w:val="20"/>
          <w:color w:val="auto"/>
        </w:rPr>
      </w:pPr>
      <w:r>
        <w:rPr>
          <w:rFonts w:ascii="Arial" w:cs="Arial" w:eastAsia="Arial" w:hAnsi="Arial"/>
          <w:sz w:val="16"/>
          <w:szCs w:val="16"/>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38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60" w:name="page61"/>
    <w:bookmarkEnd w:id="60"/>
    <w:p>
      <w:pPr>
        <w:jc w:val="both"/>
        <w:ind w:left="180" w:firstLine="648"/>
        <w:spacing w:after="0" w:line="288" w:lineRule="auto"/>
        <w:rPr>
          <w:sz w:val="20"/>
          <w:szCs w:val="20"/>
          <w:color w:val="auto"/>
        </w:rPr>
      </w:pPr>
      <w:r>
        <w:rPr>
          <w:rFonts w:ascii="Arial" w:cs="Arial" w:eastAsia="Arial" w:hAnsi="Arial"/>
          <w:sz w:val="16"/>
          <w:szCs w:val="16"/>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68" w:lineRule="exact"/>
        <w:rPr>
          <w:sz w:val="20"/>
          <w:szCs w:val="20"/>
          <w:color w:val="auto"/>
        </w:rPr>
      </w:pPr>
    </w:p>
    <w:p>
      <w:pPr>
        <w:jc w:val="both"/>
        <w:ind w:left="180" w:firstLine="648"/>
        <w:spacing w:after="0" w:line="263" w:lineRule="auto"/>
        <w:rPr>
          <w:sz w:val="20"/>
          <w:szCs w:val="20"/>
          <w:color w:val="auto"/>
        </w:rPr>
      </w:pPr>
      <w:r>
        <w:rPr>
          <w:rFonts w:ascii="Arial" w:cs="Arial" w:eastAsia="Arial" w:hAnsi="Arial"/>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84" w:lineRule="exact"/>
        <w:rPr>
          <w:sz w:val="20"/>
          <w:szCs w:val="20"/>
          <w:color w:val="auto"/>
        </w:rPr>
      </w:pPr>
    </w:p>
    <w:p>
      <w:pPr>
        <w:ind w:left="-460" w:firstLine="644"/>
        <w:spacing w:after="0" w:line="277" w:lineRule="auto"/>
        <w:tabs>
          <w:tab w:leader="none" w:pos="373" w:val="left"/>
        </w:tabs>
        <w:numPr>
          <w:ilvl w:val="0"/>
          <w:numId w:val="64"/>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Jurisdiction</w:t>
      </w:r>
      <w:r>
        <w:rPr>
          <w:rFonts w:ascii="Arial" w:cs="Arial" w:eastAsia="Arial" w:hAnsi="Arial"/>
          <w:sz w:val="18"/>
          <w:szCs w:val="18"/>
          <w:color w:val="auto"/>
        </w:rPr>
        <w:t>. All questions concerning the construction, validity, enforcement and interpretation of this Warrant shall be determined in accordance with the provisions of the Modification Agreement.</w:t>
      </w:r>
    </w:p>
    <w:p>
      <w:pPr>
        <w:spacing w:after="0" w:line="170" w:lineRule="exact"/>
        <w:rPr>
          <w:rFonts w:ascii="Arial" w:cs="Arial" w:eastAsia="Arial" w:hAnsi="Arial"/>
          <w:sz w:val="18"/>
          <w:szCs w:val="18"/>
          <w:u w:val="single" w:color="auto"/>
          <w:color w:val="auto"/>
        </w:rPr>
      </w:pPr>
    </w:p>
    <w:p>
      <w:pPr>
        <w:ind w:left="-460" w:right="20" w:firstLine="644"/>
        <w:spacing w:after="0" w:line="308" w:lineRule="auto"/>
        <w:tabs>
          <w:tab w:leader="none" w:pos="366" w:val="left"/>
        </w:tabs>
        <w:numPr>
          <w:ilvl w:val="0"/>
          <w:numId w:val="64"/>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Restrictions</w:t>
      </w:r>
      <w:r>
        <w:rPr>
          <w:rFonts w:ascii="Arial" w:cs="Arial" w:eastAsia="Arial" w:hAnsi="Arial"/>
          <w:sz w:val="17"/>
          <w:szCs w:val="17"/>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46" w:lineRule="exact"/>
        <w:rPr>
          <w:rFonts w:ascii="Arial" w:cs="Arial" w:eastAsia="Arial" w:hAnsi="Arial"/>
          <w:sz w:val="17"/>
          <w:szCs w:val="17"/>
          <w:u w:val="single" w:color="auto"/>
          <w:color w:val="auto"/>
        </w:rPr>
      </w:pPr>
    </w:p>
    <w:p>
      <w:pPr>
        <w:jc w:val="both"/>
        <w:ind w:left="-460" w:firstLine="644"/>
        <w:spacing w:after="0" w:line="255" w:lineRule="auto"/>
        <w:tabs>
          <w:tab w:leader="none" w:pos="401" w:val="left"/>
        </w:tabs>
        <w:numPr>
          <w:ilvl w:val="0"/>
          <w:numId w:val="64"/>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Nonwaiver and Expenses</w:t>
      </w:r>
      <w:r>
        <w:rPr>
          <w:rFonts w:ascii="Arial" w:cs="Arial" w:eastAsia="Arial" w:hAnsi="Arial"/>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92" w:lineRule="exact"/>
        <w:rPr>
          <w:rFonts w:ascii="Arial" w:cs="Arial" w:eastAsia="Arial" w:hAnsi="Arial"/>
          <w:sz w:val="18"/>
          <w:szCs w:val="18"/>
          <w:u w:val="single" w:color="auto"/>
          <w:color w:val="auto"/>
        </w:rPr>
      </w:pPr>
    </w:p>
    <w:p>
      <w:pPr>
        <w:ind w:left="-460" w:right="20" w:firstLine="644"/>
        <w:spacing w:after="0" w:line="277" w:lineRule="auto"/>
        <w:tabs>
          <w:tab w:leader="none" w:pos="383" w:val="left"/>
        </w:tabs>
        <w:numPr>
          <w:ilvl w:val="0"/>
          <w:numId w:val="64"/>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request or other document required or permitted to be given or delivered to the Holder by the Company shall be delivered in accordance with the notice provisions of the Modification Agreement.</w:t>
      </w:r>
    </w:p>
    <w:p>
      <w:pPr>
        <w:spacing w:after="0" w:line="38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61" w:name="page62"/>
    <w:bookmarkEnd w:id="61"/>
    <w:p>
      <w:pPr>
        <w:jc w:val="both"/>
        <w:ind w:firstLine="644"/>
        <w:spacing w:after="0" w:line="259" w:lineRule="auto"/>
        <w:tabs>
          <w:tab w:leader="none" w:pos="803" w:val="left"/>
        </w:tabs>
        <w:numPr>
          <w:ilvl w:val="0"/>
          <w:numId w:val="6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Limitation of Liability</w:t>
      </w:r>
      <w:r>
        <w:rPr>
          <w:rFonts w:ascii="Arial" w:cs="Arial" w:eastAsia="Arial" w:hAnsi="Arial"/>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86" w:lineRule="exact"/>
        <w:rPr>
          <w:rFonts w:ascii="Arial" w:cs="Arial" w:eastAsia="Arial" w:hAnsi="Arial"/>
          <w:sz w:val="18"/>
          <w:szCs w:val="18"/>
          <w:u w:val="single" w:color="auto"/>
          <w:color w:val="auto"/>
        </w:rPr>
      </w:pPr>
    </w:p>
    <w:p>
      <w:pPr>
        <w:jc w:val="both"/>
        <w:ind w:firstLine="644"/>
        <w:spacing w:after="0" w:line="259" w:lineRule="auto"/>
        <w:tabs>
          <w:tab w:leader="none" w:pos="803" w:val="left"/>
        </w:tabs>
        <w:numPr>
          <w:ilvl w:val="0"/>
          <w:numId w:val="6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86" w:lineRule="exact"/>
        <w:rPr>
          <w:rFonts w:ascii="Arial" w:cs="Arial" w:eastAsia="Arial" w:hAnsi="Arial"/>
          <w:sz w:val="18"/>
          <w:szCs w:val="18"/>
          <w:u w:val="single" w:color="auto"/>
          <w:color w:val="auto"/>
        </w:rPr>
      </w:pPr>
    </w:p>
    <w:p>
      <w:pPr>
        <w:jc w:val="both"/>
        <w:ind w:firstLine="644"/>
        <w:spacing w:after="0" w:line="259" w:lineRule="auto"/>
        <w:tabs>
          <w:tab w:leader="none" w:pos="843" w:val="left"/>
        </w:tabs>
        <w:numPr>
          <w:ilvl w:val="0"/>
          <w:numId w:val="6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86" w:lineRule="exact"/>
        <w:rPr>
          <w:rFonts w:ascii="Arial" w:cs="Arial" w:eastAsia="Arial" w:hAnsi="Arial"/>
          <w:sz w:val="18"/>
          <w:szCs w:val="18"/>
          <w:u w:val="single" w:color="auto"/>
          <w:color w:val="auto"/>
        </w:rPr>
      </w:pPr>
    </w:p>
    <w:p>
      <w:pPr>
        <w:ind w:left="800" w:hanging="156"/>
        <w:spacing w:after="0"/>
        <w:tabs>
          <w:tab w:leader="none" w:pos="800" w:val="left"/>
        </w:tabs>
        <w:numPr>
          <w:ilvl w:val="0"/>
          <w:numId w:val="65"/>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This Warrant may be modified or amended or the provisions hereof waived with the written consent of the Company and</w:t>
      </w:r>
    </w:p>
    <w:p>
      <w:pPr>
        <w:spacing w:after="0" w:line="46" w:lineRule="exact"/>
        <w:rPr>
          <w:rFonts w:ascii="Arial" w:cs="Arial" w:eastAsia="Arial" w:hAnsi="Arial"/>
          <w:sz w:val="16"/>
          <w:szCs w:val="16"/>
          <w:u w:val="single" w:color="auto"/>
          <w:color w:val="auto"/>
        </w:rPr>
      </w:pPr>
    </w:p>
    <w:p>
      <w:pPr>
        <w:spacing w:after="0"/>
        <w:rPr>
          <w:rFonts w:ascii="Arial" w:cs="Arial" w:eastAsia="Arial" w:hAnsi="Arial"/>
          <w:sz w:val="16"/>
          <w:szCs w:val="16"/>
          <w:u w:val="single" w:color="auto"/>
          <w:color w:val="auto"/>
        </w:rPr>
      </w:pPr>
      <w:r>
        <w:rPr>
          <w:rFonts w:ascii="Arial" w:cs="Arial" w:eastAsia="Arial" w:hAnsi="Arial"/>
          <w:sz w:val="18"/>
          <w:szCs w:val="18"/>
          <w:color w:val="auto"/>
        </w:rPr>
        <w:t>the Holder.</w:t>
      </w:r>
    </w:p>
    <w:p>
      <w:pPr>
        <w:spacing w:after="0" w:line="210" w:lineRule="exact"/>
        <w:rPr>
          <w:rFonts w:ascii="Arial" w:cs="Arial" w:eastAsia="Arial" w:hAnsi="Arial"/>
          <w:sz w:val="16"/>
          <w:szCs w:val="16"/>
          <w:u w:val="single" w:color="auto"/>
          <w:color w:val="auto"/>
        </w:rPr>
      </w:pPr>
    </w:p>
    <w:p>
      <w:pPr>
        <w:jc w:val="both"/>
        <w:ind w:firstLine="644"/>
        <w:spacing w:after="0" w:line="311" w:lineRule="auto"/>
        <w:tabs>
          <w:tab w:leader="none" w:pos="893" w:val="left"/>
        </w:tabs>
        <w:numPr>
          <w:ilvl w:val="0"/>
          <w:numId w:val="65"/>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48" w:lineRule="exact"/>
        <w:rPr>
          <w:rFonts w:ascii="Arial" w:cs="Arial" w:eastAsia="Arial" w:hAnsi="Arial"/>
          <w:sz w:val="16"/>
          <w:szCs w:val="16"/>
          <w:u w:val="single" w:color="auto"/>
          <w:color w:val="auto"/>
        </w:rPr>
      </w:pPr>
    </w:p>
    <w:p>
      <w:pPr>
        <w:ind w:right="20" w:firstLine="644"/>
        <w:spacing w:after="0" w:line="277" w:lineRule="auto"/>
        <w:tabs>
          <w:tab w:leader="none" w:pos="843" w:val="left"/>
        </w:tabs>
        <w:numPr>
          <w:ilvl w:val="0"/>
          <w:numId w:val="6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used in this Warrant are for the convenience of reference only and shall not, for any purpose, be deemed a part of this Warrant.</w:t>
      </w:r>
    </w:p>
    <w:p>
      <w:pPr>
        <w:spacing w:after="0" w:line="170"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62" w:name="page63"/>
    <w:bookmarkEnd w:id="62"/>
    <w:p>
      <w:pPr>
        <w:ind w:firstLine="1296"/>
        <w:spacing w:after="0" w:line="277" w:lineRule="auto"/>
        <w:rPr>
          <w:sz w:val="20"/>
          <w:szCs w:val="20"/>
          <w:color w:val="auto"/>
        </w:rPr>
      </w:pPr>
      <w:r>
        <w:rPr>
          <w:rFonts w:ascii="Arial" w:cs="Arial" w:eastAsia="Arial" w:hAnsi="Arial"/>
          <w:sz w:val="18"/>
          <w:szCs w:val="18"/>
          <w:color w:val="auto"/>
        </w:rPr>
        <w:t>IN WITNESS WHEREOF, the Company has caused this Warrant to be executed by its officer thereunto duly authorized as of the date first above indicated.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AGRIFY CORPORATION</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Raymond Chang</w:t>
      </w:r>
    </w:p>
    <w:p>
      <w:pPr>
        <w:spacing w:after="0" w:line="23" w:lineRule="exact"/>
        <w:rPr>
          <w:sz w:val="20"/>
          <w:szCs w:val="20"/>
          <w:color w:val="auto"/>
        </w:rPr>
      </w:pPr>
    </w:p>
    <w:p>
      <w:pPr>
        <w:ind w:left="722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color w:val="auto"/>
        </w:rPr>
        <w:t>NOTICE OF EXERCISE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AGRIFY CORPORATION</w:t>
      </w:r>
    </w:p>
    <w:p>
      <w:pPr>
        <w:spacing w:after="0" w:line="225" w:lineRule="exact"/>
        <w:rPr>
          <w:sz w:val="20"/>
          <w:szCs w:val="20"/>
          <w:color w:val="auto"/>
        </w:rPr>
      </w:pPr>
    </w:p>
    <w:p>
      <w:pPr>
        <w:jc w:val="both"/>
        <w:ind w:firstLine="1304"/>
        <w:spacing w:after="0" w:line="255" w:lineRule="auto"/>
        <w:tabs>
          <w:tab w:leader="none" w:pos="1575"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undersigned hereby elects to purchase_____________ Warrant Shares of the Company pursuant to the terms of the attached Warrant (only if exercised in full), and tenders herewith payment of the exercise price in full, together with all applicable transfer taxes, if any, that are the responsibility of undersigned pursuant to subsection 2(d)(v).</w:t>
      </w:r>
    </w:p>
    <w:p>
      <w:pPr>
        <w:spacing w:after="0" w:line="2" w:lineRule="exact"/>
        <w:rPr>
          <w:rFonts w:ascii="Arial" w:cs="Arial" w:eastAsia="Arial" w:hAnsi="Arial"/>
          <w:sz w:val="18"/>
          <w:szCs w:val="18"/>
          <w:color w:val="auto"/>
        </w:rPr>
      </w:pPr>
    </w:p>
    <w:p>
      <w:pPr>
        <w:ind w:left="1560" w:hanging="256"/>
        <w:spacing w:after="0"/>
        <w:tabs>
          <w:tab w:leader="none" w:pos="15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Payment shall take the form of (check applicable box):</w:t>
      </w:r>
    </w:p>
    <w:p>
      <w:pPr>
        <w:spacing w:after="0" w:line="210" w:lineRule="exact"/>
        <w:rPr>
          <w:rFonts w:ascii="Arial" w:cs="Arial" w:eastAsia="Arial" w:hAnsi="Arial"/>
          <w:sz w:val="18"/>
          <w:szCs w:val="18"/>
          <w:color w:val="auto"/>
        </w:rPr>
      </w:pPr>
    </w:p>
    <w:p>
      <w:pPr>
        <w:ind w:left="2160" w:hanging="208"/>
        <w:spacing w:after="0"/>
        <w:tabs>
          <w:tab w:leader="none" w:pos="2160" w:val="left"/>
        </w:tabs>
        <w:numPr>
          <w:ilvl w:val="1"/>
          <w:numId w:val="66"/>
        </w:numPr>
        <w:rPr>
          <w:rFonts w:ascii="MS PGothic" w:cs="MS PGothic" w:eastAsia="MS PGothic" w:hAnsi="MS PGothic"/>
          <w:sz w:val="18"/>
          <w:szCs w:val="18"/>
          <w:color w:val="auto"/>
        </w:rPr>
      </w:pPr>
      <w:r>
        <w:rPr>
          <w:rFonts w:ascii="Arial" w:cs="Arial" w:eastAsia="Arial" w:hAnsi="Arial"/>
          <w:sz w:val="18"/>
          <w:szCs w:val="18"/>
          <w:color w:val="auto"/>
        </w:rPr>
        <w:t>in lawful money of the United States; or</w:t>
      </w:r>
    </w:p>
    <w:p>
      <w:pPr>
        <w:spacing w:after="0" w:line="225" w:lineRule="exact"/>
        <w:rPr>
          <w:rFonts w:ascii="MS PGothic" w:cs="MS PGothic" w:eastAsia="MS PGothic" w:hAnsi="MS PGothic"/>
          <w:sz w:val="18"/>
          <w:szCs w:val="18"/>
          <w:color w:val="auto"/>
        </w:rPr>
      </w:pPr>
    </w:p>
    <w:p>
      <w:pPr>
        <w:jc w:val="both"/>
        <w:ind w:left="1960" w:right="20" w:hanging="8"/>
        <w:spacing w:after="0" w:line="263" w:lineRule="auto"/>
        <w:tabs>
          <w:tab w:leader="none" w:pos="2181" w:val="left"/>
        </w:tabs>
        <w:numPr>
          <w:ilvl w:val="1"/>
          <w:numId w:val="66"/>
        </w:numPr>
        <w:rPr>
          <w:rFonts w:ascii="MS PGothic" w:cs="MS PGothic" w:eastAsia="MS PGothic" w:hAnsi="MS PGothic"/>
          <w:sz w:val="18"/>
          <w:szCs w:val="18"/>
          <w:color w:val="auto"/>
        </w:rPr>
      </w:pPr>
      <w:r>
        <w:rPr>
          <w:rFonts w:ascii="Arial" w:cs="Arial" w:eastAsia="Arial" w:hAnsi="Arial"/>
          <w:sz w:val="18"/>
          <w:szCs w:val="18"/>
          <w:color w:val="auto"/>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83" w:lineRule="exact"/>
        <w:rPr>
          <w:rFonts w:ascii="MS PGothic" w:cs="MS PGothic" w:eastAsia="MS PGothic" w:hAnsi="MS PGothic"/>
          <w:sz w:val="18"/>
          <w:szCs w:val="18"/>
          <w:color w:val="auto"/>
        </w:rPr>
      </w:pPr>
    </w:p>
    <w:p>
      <w:pPr>
        <w:ind w:left="1560" w:hanging="256"/>
        <w:spacing w:after="0"/>
        <w:tabs>
          <w:tab w:leader="none" w:pos="15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Please issue said Warrant Shares in the name of the undersigned or in such other name as is specified below:</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___________________________</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Warrant Shares shall be delivered to the following DWAC Account Number: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___________________________</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___________________________</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___________________________</w:t>
      </w:r>
    </w:p>
    <w:p>
      <w:pPr>
        <w:spacing w:after="0" w:line="211" w:lineRule="exact"/>
        <w:rPr>
          <w:sz w:val="20"/>
          <w:szCs w:val="20"/>
          <w:color w:val="auto"/>
        </w:rPr>
      </w:pPr>
    </w:p>
    <w:p>
      <w:pPr>
        <w:ind w:left="1560" w:hanging="256"/>
        <w:spacing w:after="0"/>
        <w:tabs>
          <w:tab w:leader="none" w:pos="1560"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Accredited Investor</w:t>
      </w:r>
      <w:r>
        <w:rPr>
          <w:rFonts w:ascii="Arial" w:cs="Arial" w:eastAsia="Arial" w:hAnsi="Arial"/>
          <w:sz w:val="16"/>
          <w:szCs w:val="16"/>
          <w:color w:val="auto"/>
        </w:rPr>
        <w:t>. The undersigned is an “accredited investor” as defined in Regulation D promulgated under the Securities Act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1933,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Investing Entity:______________________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Investing Entity</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 assign the foregoing Warrant, execute this form and supply required information. Do not use this form to purchase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VALUE RECEIVED, the foregoing Warrant and all rights evidenced thereby are hereby assigned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(Please Print)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(Please Print)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Dated:________________ 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Holder’s Signature:____________________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Holder’s Address:____________________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81"/>
        </w:trPr>
        <w:tc>
          <w:tcPr>
            <w:tcW w:w="1820" w:type="dxa"/>
            <w:vAlign w:val="bottom"/>
          </w:tcPr>
          <w:p>
            <w:pPr>
              <w:spacing w:after="0"/>
              <w:rPr>
                <w:sz w:val="24"/>
                <w:szCs w:val="24"/>
                <w:color w:val="auto"/>
              </w:rPr>
            </w:pPr>
          </w:p>
        </w:tc>
        <w:tc>
          <w:tcPr>
            <w:tcW w:w="9420" w:type="dxa"/>
            <w:vAlign w:val="bottom"/>
          </w:tcPr>
          <w:p>
            <w:pPr>
              <w:jc w:val="right"/>
              <w:spacing w:after="0"/>
              <w:rPr>
                <w:sz w:val="20"/>
                <w:szCs w:val="20"/>
                <w:color w:val="auto"/>
              </w:rPr>
            </w:pPr>
            <w:r>
              <w:rPr>
                <w:rFonts w:ascii="Arial" w:cs="Arial" w:eastAsia="Arial" w:hAnsi="Arial"/>
                <w:sz w:val="22"/>
                <w:szCs w:val="22"/>
                <w:b w:val="1"/>
                <w:bCs w:val="1"/>
                <w:color w:val="auto"/>
              </w:rPr>
              <w:t>Exhibit 4.4</w:t>
            </w:r>
          </w:p>
        </w:tc>
      </w:tr>
      <w:tr>
        <w:trPr>
          <w:trHeight w:val="449"/>
        </w:trPr>
        <w:tc>
          <w:tcPr>
            <w:tcW w:w="1820" w:type="dxa"/>
            <w:vAlign w:val="bottom"/>
          </w:tcPr>
          <w:p>
            <w:pPr>
              <w:spacing w:after="0"/>
              <w:rPr>
                <w:sz w:val="24"/>
                <w:szCs w:val="24"/>
                <w:color w:val="auto"/>
              </w:rPr>
            </w:pPr>
          </w:p>
        </w:tc>
        <w:tc>
          <w:tcPr>
            <w:tcW w:w="9420" w:type="dxa"/>
            <w:vAlign w:val="bottom"/>
          </w:tcPr>
          <w:p>
            <w:pPr>
              <w:jc w:val="right"/>
              <w:ind w:right="2626"/>
              <w:spacing w:after="0"/>
              <w:rPr>
                <w:sz w:val="20"/>
                <w:szCs w:val="20"/>
                <w:color w:val="auto"/>
              </w:rPr>
            </w:pPr>
            <w:r>
              <w:rPr>
                <w:rFonts w:ascii="Arial" w:cs="Arial" w:eastAsia="Arial" w:hAnsi="Arial"/>
                <w:sz w:val="18"/>
                <w:szCs w:val="18"/>
                <w:b w:val="1"/>
                <w:bCs w:val="1"/>
                <w:color w:val="auto"/>
              </w:rPr>
              <w:t>AMENDED AND RESTATED JUNIOR SECURED PROMISSORY NOTE</w:t>
            </w:r>
          </w:p>
        </w:tc>
      </w:tr>
      <w:tr>
        <w:trPr>
          <w:trHeight w:val="418"/>
        </w:trPr>
        <w:tc>
          <w:tcPr>
            <w:tcW w:w="1820" w:type="dxa"/>
            <w:vAlign w:val="bottom"/>
          </w:tcPr>
          <w:p>
            <w:pPr>
              <w:jc w:val="right"/>
              <w:ind w:right="830"/>
              <w:spacing w:after="0"/>
              <w:rPr>
                <w:sz w:val="20"/>
                <w:szCs w:val="20"/>
                <w:color w:val="auto"/>
              </w:rPr>
            </w:pPr>
            <w:r>
              <w:rPr>
                <w:rFonts w:ascii="Arial" w:cs="Arial" w:eastAsia="Arial" w:hAnsi="Arial"/>
                <w:sz w:val="18"/>
                <w:szCs w:val="18"/>
                <w:color w:val="auto"/>
                <w:w w:val="87"/>
              </w:rPr>
              <w:t>$500,000.00</w:t>
            </w:r>
          </w:p>
        </w:tc>
        <w:tc>
          <w:tcPr>
            <w:tcW w:w="9420" w:type="dxa"/>
            <w:vAlign w:val="bottom"/>
          </w:tcPr>
          <w:p>
            <w:pPr>
              <w:jc w:val="right"/>
              <w:spacing w:after="0"/>
              <w:rPr>
                <w:sz w:val="20"/>
                <w:szCs w:val="20"/>
                <w:color w:val="auto"/>
              </w:rPr>
            </w:pPr>
            <w:r>
              <w:rPr>
                <w:rFonts w:ascii="Arial" w:cs="Arial" w:eastAsia="Arial" w:hAnsi="Arial"/>
                <w:sz w:val="18"/>
                <w:szCs w:val="18"/>
                <w:color w:val="auto"/>
              </w:rPr>
              <w:t>October 27, 2023</w:t>
            </w:r>
          </w:p>
        </w:tc>
      </w:tr>
      <w:tr>
        <w:trPr>
          <w:trHeight w:val="230"/>
        </w:trPr>
        <w:tc>
          <w:tcPr>
            <w:tcW w:w="1820" w:type="dxa"/>
            <w:vAlign w:val="bottom"/>
          </w:tcPr>
          <w:p>
            <w:pPr>
              <w:spacing w:after="0"/>
              <w:rPr>
                <w:sz w:val="20"/>
                <w:szCs w:val="20"/>
                <w:color w:val="auto"/>
              </w:rPr>
            </w:pPr>
          </w:p>
        </w:tc>
        <w:tc>
          <w:tcPr>
            <w:tcW w:w="9420" w:type="dxa"/>
            <w:vAlign w:val="bottom"/>
          </w:tcPr>
          <w:p>
            <w:pPr>
              <w:jc w:val="right"/>
              <w:spacing w:after="0"/>
              <w:rPr>
                <w:sz w:val="20"/>
                <w:szCs w:val="20"/>
                <w:color w:val="auto"/>
              </w:rPr>
            </w:pPr>
            <w:r>
              <w:rPr>
                <w:rFonts w:ascii="Arial" w:cs="Arial" w:eastAsia="Arial" w:hAnsi="Arial"/>
                <w:sz w:val="18"/>
                <w:szCs w:val="18"/>
                <w:color w:val="auto"/>
              </w:rPr>
              <w:t>Boston, Massachusetts</w:t>
            </w: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FOR VALUE RECEIVED, </w:t>
      </w:r>
      <w:r>
        <w:rPr>
          <w:rFonts w:ascii="Arial" w:cs="Arial" w:eastAsia="Arial" w:hAnsi="Arial"/>
          <w:sz w:val="18"/>
          <w:szCs w:val="18"/>
          <w:b w:val="1"/>
          <w:bCs w:val="1"/>
          <w:color w:val="auto"/>
        </w:rPr>
        <w:t>AGRIFY CORPORATION</w:t>
      </w:r>
      <w:r>
        <w:rPr>
          <w:rFonts w:ascii="Arial" w:cs="Arial" w:eastAsia="Arial" w:hAnsi="Arial"/>
          <w:sz w:val="18"/>
          <w:szCs w:val="18"/>
          <w:color w:val="auto"/>
        </w:rPr>
        <w:t xml:space="preserve">, a Nevada corporation (“Maker”), promises to pay to the order of </w:t>
      </w:r>
      <w:r>
        <w:rPr>
          <w:rFonts w:ascii="Arial" w:cs="Arial" w:eastAsia="Arial" w:hAnsi="Arial"/>
          <w:sz w:val="18"/>
          <w:szCs w:val="18"/>
          <w:b w:val="1"/>
          <w:bCs w:val="1"/>
          <w:color w:val="auto"/>
        </w:rPr>
        <w:t>GIC ACQUISITION</w:t>
      </w:r>
      <w:r>
        <w:rPr>
          <w:rFonts w:ascii="Arial" w:cs="Arial" w:eastAsia="Arial" w:hAnsi="Arial"/>
          <w:sz w:val="18"/>
          <w:szCs w:val="18"/>
          <w:color w:val="auto"/>
        </w:rPr>
        <w:t xml:space="preserve"> </w:t>
      </w:r>
      <w:r>
        <w:rPr>
          <w:rFonts w:ascii="Arial" w:cs="Arial" w:eastAsia="Arial" w:hAnsi="Arial"/>
          <w:sz w:val="18"/>
          <w:szCs w:val="18"/>
          <w:b w:val="1"/>
          <w:bCs w:val="1"/>
          <w:color w:val="auto"/>
        </w:rPr>
        <w:t>LLC</w:t>
      </w:r>
      <w:r>
        <w:rPr>
          <w:rFonts w:ascii="Arial" w:cs="Arial" w:eastAsia="Arial" w:hAnsi="Arial"/>
          <w:sz w:val="18"/>
          <w:szCs w:val="18"/>
          <w:color w:val="auto"/>
        </w:rPr>
        <w:t>, a Delaware limited liability company with an office at 675 VFW Parkway, Suite 152, Chestnut Hill, Massachusetts 02467-3656 (“Holder”),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principal sum advanced to Maker from time to time up to a maximum of </w:t>
      </w:r>
      <w:r>
        <w:rPr>
          <w:rFonts w:ascii="Arial" w:cs="Arial" w:eastAsia="Arial" w:hAnsi="Arial"/>
          <w:sz w:val="18"/>
          <w:szCs w:val="18"/>
          <w:b w:val="1"/>
          <w:bCs w:val="1"/>
          <w:color w:val="auto"/>
        </w:rPr>
        <w:t>FIVE HUNDRED THOUSAND DOLLARS ($500,000.00)</w:t>
      </w:r>
      <w:r>
        <w:rPr>
          <w:rFonts w:ascii="Arial" w:cs="Arial" w:eastAsia="Arial" w:hAnsi="Arial"/>
          <w:sz w:val="18"/>
          <w:szCs w:val="18"/>
          <w:color w:val="auto"/>
        </w:rPr>
        <w:t xml:space="preserve"> in lawful money of the United States of America, under the terms and at the times stated herein.</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principal and interest due under this Amended and Restated Junior Secured Promissory Note (this “Note”) shall be payable in full on December 31, 2023.</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Note may be prepaid, in whole or in part, at any time without any penalty, fee, or premium of any kind.</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This Note represents a junior security interest in Maker, and such junior security interest herein granted and provided for is made and given to secure, and shall secure, the payment and performance of this Note,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security interest and any payments due under this Note shall be subordinate to any obligations of and interests granted in those certain senior secured notes previously issued by Maker (the “Senior Secured Notes”).</w:t>
      </w:r>
    </w:p>
    <w:p>
      <w:pPr>
        <w:spacing w:after="0" w:line="14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principal balance outstanding under this Note from time to time shall bear interest at the rate of ten percent (10%) per annum computed on the basis of a 360 day year.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Upon the occurrence a payment default, and at all times thereafter until this Note is paid in full, the principal balance of this Note shall bear interest at the default rate of eighteen percent (18%) per annum computed on the basis of a 360 day year.</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Maker waives presentment, demand, notice, protest, and delay in connection with the delivery, acceptance, performance, collection, and enforcement of this Note.</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No delay or omission on the part of Holder in exercising any right hereunder shall operate as a waiver of such right or of any other right under this Note. A waiver on anyone occasion shall not be construed as a bar to or a waiver of any such right and/or remedy on any future occasion.</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Holder shall be entitled to an award of its reasonable costs and expenses, including, but not limited to, reasonable attorney’s fees, incurred in enforcing and collecting the amounts due under this Note.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Note shall be governed by the laws of the Commonwealth of Massachusetts.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Maker will take all reasonably necessary steps to publish and file any financing statements associated with the security interest contained herein under applicable law.</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This Note constitutes an amendment and restatement, but not an extinguishment, of the Promissory Note dated as of July 12, 2022, made by Maker, (the “Prior Note”). Nothing herein shall be construed to constitute satisfaction of the outstanding obligations under the Prior Note,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however, </w:t>
      </w:r>
      <w:r>
        <w:rPr>
          <w:rFonts w:ascii="Arial" w:cs="Arial" w:eastAsia="Arial" w:hAnsi="Arial"/>
          <w:sz w:val="17"/>
          <w:szCs w:val="17"/>
          <w:color w:val="auto"/>
        </w:rPr>
        <w:t>that upon the execution and delivery of this Note, such obligations shall be enforceable in accordance with this Note and not the Prior Note.</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Note is intended to be consolidated, amended and restated and replaced in its entirety with and into certain of the Senior Secured Notes held now or in the future by Holder.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6" w:name="page67"/>
    <w:bookmarkEnd w:id="66"/>
    <w:p>
      <w:pPr>
        <w:spacing w:after="0"/>
        <w:rPr>
          <w:sz w:val="20"/>
          <w:szCs w:val="20"/>
          <w:color w:val="auto"/>
        </w:rPr>
      </w:pPr>
      <w:r>
        <w:rPr>
          <w:rFonts w:ascii="Arial" w:cs="Arial" w:eastAsia="Arial" w:hAnsi="Arial"/>
          <w:sz w:val="16"/>
          <w:szCs w:val="16"/>
          <w:color w:val="auto"/>
        </w:rPr>
        <w:t>IN WITNESS WHEREOF, Maker has executed this Note as a sealed instrument as of the date first hereinabove written.</w:t>
      </w:r>
    </w:p>
    <w:p>
      <w:pPr>
        <w:spacing w:after="0" w:line="244"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AGRIFY CORPORATION</w:t>
      </w:r>
    </w:p>
    <w:p>
      <w:pPr>
        <w:spacing w:after="0" w:line="229"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Joshua Savitz</w:t>
      </w:r>
    </w:p>
    <w:p>
      <w:pPr>
        <w:spacing w:after="0" w:line="3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Joshua Savitz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-130175</wp:posOffset>
            </wp:positionV>
            <wp:extent cx="249428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7"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417195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908" w:right="1440"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4"/>
        </w:trPr>
        <w:tc>
          <w:tcPr>
            <w:tcW w:w="24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920" w:type="dxa"/>
            <w:vAlign w:val="bottom"/>
          </w:tcPr>
          <w:p>
            <w:pPr>
              <w:jc w:val="right"/>
              <w:spacing w:after="0"/>
              <w:rPr>
                <w:sz w:val="20"/>
                <w:szCs w:val="20"/>
                <w:color w:val="auto"/>
              </w:rPr>
            </w:pPr>
            <w:r>
              <w:rPr>
                <w:rFonts w:ascii="Arial" w:cs="Arial" w:eastAsia="Arial" w:hAnsi="Arial"/>
                <w:sz w:val="18"/>
                <w:szCs w:val="18"/>
                <w:b w:val="1"/>
                <w:bCs w:val="1"/>
                <w:color w:val="auto"/>
              </w:rPr>
              <w:t>Exhibit 4.5</w:t>
            </w:r>
          </w:p>
        </w:tc>
      </w:tr>
      <w:tr>
        <w:trPr>
          <w:trHeight w:val="392"/>
        </w:trPr>
        <w:tc>
          <w:tcPr>
            <w:tcW w:w="2480" w:type="dxa"/>
            <w:vAlign w:val="bottom"/>
          </w:tcPr>
          <w:p>
            <w:pPr>
              <w:spacing w:after="0"/>
              <w:rPr>
                <w:sz w:val="24"/>
                <w:szCs w:val="24"/>
                <w:color w:val="auto"/>
              </w:rPr>
            </w:pPr>
          </w:p>
        </w:tc>
        <w:tc>
          <w:tcPr>
            <w:tcW w:w="8760" w:type="dxa"/>
            <w:vAlign w:val="bottom"/>
            <w:gridSpan w:val="3"/>
          </w:tcPr>
          <w:p>
            <w:pPr>
              <w:jc w:val="right"/>
              <w:ind w:right="3830"/>
              <w:spacing w:after="0"/>
              <w:rPr>
                <w:sz w:val="20"/>
                <w:szCs w:val="20"/>
                <w:color w:val="auto"/>
              </w:rPr>
            </w:pPr>
            <w:r>
              <w:rPr>
                <w:rFonts w:ascii="Arial" w:cs="Arial" w:eastAsia="Arial" w:hAnsi="Arial"/>
                <w:sz w:val="18"/>
                <w:szCs w:val="18"/>
                <w:b w:val="1"/>
                <w:bCs w:val="1"/>
                <w:color w:val="auto"/>
              </w:rPr>
              <w:t>JUNIOR SECURED PROMISSORY NOTE</w:t>
            </w:r>
          </w:p>
        </w:tc>
      </w:tr>
      <w:tr>
        <w:trPr>
          <w:trHeight w:val="438"/>
        </w:trPr>
        <w:tc>
          <w:tcPr>
            <w:tcW w:w="2480" w:type="dxa"/>
            <w:vAlign w:val="bottom"/>
          </w:tcPr>
          <w:p>
            <w:pPr>
              <w:jc w:val="right"/>
              <w:ind w:right="1350"/>
              <w:spacing w:after="0"/>
              <w:rPr>
                <w:sz w:val="20"/>
                <w:szCs w:val="20"/>
                <w:color w:val="auto"/>
              </w:rPr>
            </w:pPr>
            <w:r>
              <w:rPr>
                <w:rFonts w:ascii="Arial" w:cs="Arial" w:eastAsia="Arial" w:hAnsi="Arial"/>
                <w:sz w:val="18"/>
                <w:szCs w:val="18"/>
                <w:color w:val="auto"/>
                <w:w w:val="88"/>
              </w:rPr>
              <w:t>$3,000,000.00</w:t>
            </w:r>
          </w:p>
        </w:tc>
        <w:tc>
          <w:tcPr>
            <w:tcW w:w="1440" w:type="dxa"/>
            <w:vAlign w:val="bottom"/>
          </w:tcPr>
          <w:p>
            <w:pPr>
              <w:spacing w:after="0"/>
              <w:rPr>
                <w:sz w:val="24"/>
                <w:szCs w:val="24"/>
                <w:color w:val="auto"/>
              </w:rPr>
            </w:pPr>
          </w:p>
        </w:tc>
        <w:tc>
          <w:tcPr>
            <w:tcW w:w="3400" w:type="dxa"/>
            <w:vAlign w:val="bottom"/>
            <w:tcBorders>
              <w:top w:val="single" w:sz="8" w:color="auto"/>
            </w:tcBorders>
          </w:tcPr>
          <w:p>
            <w:pPr>
              <w:spacing w:after="0"/>
              <w:rPr>
                <w:sz w:val="24"/>
                <w:szCs w:val="24"/>
                <w:color w:val="auto"/>
              </w:rPr>
            </w:pPr>
          </w:p>
        </w:tc>
        <w:tc>
          <w:tcPr>
            <w:tcW w:w="3920" w:type="dxa"/>
            <w:vAlign w:val="bottom"/>
          </w:tcPr>
          <w:p>
            <w:pPr>
              <w:jc w:val="right"/>
              <w:spacing w:after="0"/>
              <w:rPr>
                <w:sz w:val="20"/>
                <w:szCs w:val="20"/>
                <w:color w:val="auto"/>
              </w:rPr>
            </w:pPr>
            <w:r>
              <w:rPr>
                <w:rFonts w:ascii="Arial" w:cs="Arial" w:eastAsia="Arial" w:hAnsi="Arial"/>
                <w:sz w:val="18"/>
                <w:szCs w:val="18"/>
                <w:color w:val="auto"/>
              </w:rPr>
              <w:t>October 27, 2023</w:t>
            </w:r>
          </w:p>
        </w:tc>
      </w:tr>
      <w:tr>
        <w:trPr>
          <w:trHeight w:val="230"/>
        </w:trPr>
        <w:tc>
          <w:tcPr>
            <w:tcW w:w="24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920" w:type="dxa"/>
            <w:vAlign w:val="bottom"/>
          </w:tcPr>
          <w:p>
            <w:pPr>
              <w:jc w:val="right"/>
              <w:spacing w:after="0"/>
              <w:rPr>
                <w:sz w:val="20"/>
                <w:szCs w:val="20"/>
                <w:color w:val="auto"/>
              </w:rPr>
            </w:pPr>
            <w:r>
              <w:rPr>
                <w:rFonts w:ascii="Arial" w:cs="Arial" w:eastAsia="Arial" w:hAnsi="Arial"/>
                <w:sz w:val="18"/>
                <w:szCs w:val="18"/>
                <w:color w:val="auto"/>
              </w:rPr>
              <w:t>Boston, Massachusetts</w:t>
            </w: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FOR VALUE RECEIVED, </w:t>
      </w:r>
      <w:r>
        <w:rPr>
          <w:rFonts w:ascii="Arial" w:cs="Arial" w:eastAsia="Arial" w:hAnsi="Arial"/>
          <w:sz w:val="18"/>
          <w:szCs w:val="18"/>
          <w:b w:val="1"/>
          <w:bCs w:val="1"/>
          <w:color w:val="auto"/>
        </w:rPr>
        <w:t>AGRIFY CORPORATION</w:t>
      </w:r>
      <w:r>
        <w:rPr>
          <w:rFonts w:ascii="Arial" w:cs="Arial" w:eastAsia="Arial" w:hAnsi="Arial"/>
          <w:sz w:val="18"/>
          <w:szCs w:val="18"/>
          <w:color w:val="auto"/>
        </w:rPr>
        <w:t xml:space="preserve">, a Nevada corporation (“Maker”), promises to pay to the order of </w:t>
      </w:r>
      <w:r>
        <w:rPr>
          <w:rFonts w:ascii="Arial" w:cs="Arial" w:eastAsia="Arial" w:hAnsi="Arial"/>
          <w:sz w:val="18"/>
          <w:szCs w:val="18"/>
          <w:b w:val="1"/>
          <w:bCs w:val="1"/>
          <w:color w:val="auto"/>
        </w:rPr>
        <w:t>CP ACQUISITIONS,</w:t>
      </w:r>
      <w:r>
        <w:rPr>
          <w:rFonts w:ascii="Arial" w:cs="Arial" w:eastAsia="Arial" w:hAnsi="Arial"/>
          <w:sz w:val="18"/>
          <w:szCs w:val="18"/>
          <w:color w:val="auto"/>
        </w:rPr>
        <w:t xml:space="preserve"> </w:t>
      </w:r>
      <w:r>
        <w:rPr>
          <w:rFonts w:ascii="Arial" w:cs="Arial" w:eastAsia="Arial" w:hAnsi="Arial"/>
          <w:sz w:val="18"/>
          <w:szCs w:val="18"/>
          <w:b w:val="1"/>
          <w:bCs w:val="1"/>
          <w:color w:val="auto"/>
        </w:rPr>
        <w:t>LLC</w:t>
      </w:r>
      <w:r>
        <w:rPr>
          <w:rFonts w:ascii="Arial" w:cs="Arial" w:eastAsia="Arial" w:hAnsi="Arial"/>
          <w:sz w:val="18"/>
          <w:szCs w:val="18"/>
          <w:color w:val="auto"/>
        </w:rPr>
        <w:t>, a Delaware limited liability company with an office at 675 VFW Parkway, Suite 152, Chestnut Hill, Massachusetts 02467-3656 (“Holder”),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principal sum advanced to Maker from time to time up to a maximum of </w:t>
      </w:r>
      <w:r>
        <w:rPr>
          <w:rFonts w:ascii="Arial" w:cs="Arial" w:eastAsia="Arial" w:hAnsi="Arial"/>
          <w:sz w:val="18"/>
          <w:szCs w:val="18"/>
          <w:b w:val="1"/>
          <w:bCs w:val="1"/>
          <w:color w:val="auto"/>
        </w:rPr>
        <w:t>THREE MILLION DOLLARS ($3,000,000.00)</w:t>
      </w:r>
      <w:r>
        <w:rPr>
          <w:rFonts w:ascii="Arial" w:cs="Arial" w:eastAsia="Arial" w:hAnsi="Arial"/>
          <w:sz w:val="18"/>
          <w:szCs w:val="18"/>
          <w:color w:val="auto"/>
        </w:rPr>
        <w:t xml:space="preserve"> in lawful money of the United States of America, under the terms and at the times stated herein.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principal and interest due under this Junior Secured Promissory Note (this “Note”) shall be payable in full on December 31, 2023.</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Note may be prepaid, in whole or in part, at any time without any penalty, fee, or premium of any kind.</w:t>
      </w:r>
    </w:p>
    <w:p>
      <w:pPr>
        <w:spacing w:after="0" w:line="225" w:lineRule="exact"/>
        <w:rPr>
          <w:sz w:val="20"/>
          <w:szCs w:val="20"/>
          <w:color w:val="auto"/>
        </w:rPr>
      </w:pPr>
    </w:p>
    <w:p>
      <w:pPr>
        <w:jc w:val="both"/>
        <w:ind w:right="60" w:firstLine="648"/>
        <w:spacing w:after="0" w:line="311" w:lineRule="auto"/>
        <w:rPr>
          <w:sz w:val="20"/>
          <w:szCs w:val="20"/>
          <w:color w:val="auto"/>
        </w:rPr>
      </w:pPr>
      <w:r>
        <w:rPr>
          <w:rFonts w:ascii="Arial" w:cs="Arial" w:eastAsia="Arial" w:hAnsi="Arial"/>
          <w:sz w:val="16"/>
          <w:szCs w:val="16"/>
          <w:color w:val="auto"/>
        </w:rPr>
        <w:t xml:space="preserve">This Note represents a junior security interest in Maker, and such junior security interest herein granted and provided for is made and given to secure, and shall secure, the payment and performance of this Note,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security interest and any payments due under this Note shall be subordinate to any obligations of and interests granted in those certain senior secured notes previously issued by Maker (the “Senior Secured Notes”).</w:t>
      </w:r>
    </w:p>
    <w:p>
      <w:pPr>
        <w:spacing w:after="0" w:line="149" w:lineRule="exact"/>
        <w:rPr>
          <w:sz w:val="20"/>
          <w:szCs w:val="20"/>
          <w:color w:val="auto"/>
        </w:rPr>
      </w:pPr>
    </w:p>
    <w:p>
      <w:pPr>
        <w:jc w:val="both"/>
        <w:ind w:right="80" w:firstLine="648"/>
        <w:spacing w:after="0" w:line="277" w:lineRule="auto"/>
        <w:rPr>
          <w:sz w:val="20"/>
          <w:szCs w:val="20"/>
          <w:color w:val="auto"/>
        </w:rPr>
      </w:pPr>
      <w:r>
        <w:rPr>
          <w:rFonts w:ascii="Arial" w:cs="Arial" w:eastAsia="Arial" w:hAnsi="Arial"/>
          <w:sz w:val="18"/>
          <w:szCs w:val="18"/>
          <w:color w:val="auto"/>
        </w:rPr>
        <w:t>The principal balance outstanding under this Note from time to time shall bear interest at the rate of ten percent (10%) per annum computed on the basis of a 360 day year.</w:t>
      </w:r>
    </w:p>
    <w:p>
      <w:pPr>
        <w:spacing w:after="0" w:line="170" w:lineRule="exact"/>
        <w:rPr>
          <w:sz w:val="20"/>
          <w:szCs w:val="20"/>
          <w:color w:val="auto"/>
        </w:rPr>
      </w:pPr>
    </w:p>
    <w:p>
      <w:pPr>
        <w:jc w:val="both"/>
        <w:ind w:right="80" w:firstLine="648"/>
        <w:spacing w:after="0" w:line="277" w:lineRule="auto"/>
        <w:rPr>
          <w:sz w:val="20"/>
          <w:szCs w:val="20"/>
          <w:color w:val="auto"/>
        </w:rPr>
      </w:pPr>
      <w:r>
        <w:rPr>
          <w:rFonts w:ascii="Arial" w:cs="Arial" w:eastAsia="Arial" w:hAnsi="Arial"/>
          <w:sz w:val="18"/>
          <w:szCs w:val="18"/>
          <w:color w:val="auto"/>
        </w:rPr>
        <w:t>Upon the occurrence a payment default, and at all times thereafter until this Note is paid in full, the principal balance of this Note shall bear interest at the default rate of eighteen percent (18%) per annum computed on the basis of a 360 day year.</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Maker waives presentment, demand, notice, protest, and delay in connection with the delivery, acceptance, performance, collection, and enforcement of this Note.</w:t>
      </w:r>
    </w:p>
    <w:p>
      <w:pPr>
        <w:spacing w:after="0" w:line="17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No delay or omission on the part of Holder in exercising any right hereunder shall operate as a waiver of such right or of any other right under this Note. A waiver on anyone occasion shall not be construed as a bar to or a waiver of any such right and/or remedy on any future occasion.</w:t>
      </w:r>
    </w:p>
    <w:p>
      <w:pPr>
        <w:spacing w:after="0" w:line="146"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Holder shall be entitled to an award of its reasonable costs and expenses, including, but not limited to, reasonable attorney’s fees, incurred in enforcing and collecting the amounts due under this Note.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Note shall be governed by the laws of the Commonwealth of Massachusetts.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Maker will take all reasonably necessary steps to publish and file any financing statements associated with the security interest contained herein under applicable law.</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Note is intended to be consolidated, amended and restated and replaced in its entirety with and into certain of the Senior Secured Notes held now or in the future by Holder.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Arial" w:cs="Arial" w:eastAsia="Arial" w:hAnsi="Arial"/>
          <w:sz w:val="16"/>
          <w:szCs w:val="16"/>
          <w:color w:val="auto"/>
        </w:rPr>
        <w:t>IN WITNESS WHEREOF, Maker has executed this Note as a sealed instrument as of the date first hereinabove written.</w:t>
      </w:r>
    </w:p>
    <w:p>
      <w:pPr>
        <w:spacing w:after="0" w:line="244"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AGRIFY CORPORATION</w:t>
      </w:r>
    </w:p>
    <w:p>
      <w:pPr>
        <w:spacing w:after="0" w:line="229"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Joshua Savitz</w:t>
      </w:r>
    </w:p>
    <w:p>
      <w:pPr>
        <w:spacing w:after="0" w:line="3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Joshua Savitz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-130175</wp:posOffset>
            </wp:positionV>
            <wp:extent cx="249428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7"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417195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908" w:right="1440" w:bottom="1440" w:gutter="0" w:footer="0" w:header="0"/>
        </w:sectPr>
      </w:pPr>
    </w:p>
    <w:bookmarkStart w:id="69" w:name="page70"/>
    <w:bookmarkEnd w:id="69"/>
    <w:p>
      <w:pPr>
        <w:jc w:val="right"/>
        <w:spacing w:after="0"/>
        <w:rPr>
          <w:sz w:val="20"/>
          <w:szCs w:val="20"/>
          <w:color w:val="auto"/>
        </w:rPr>
      </w:pPr>
      <w:r>
        <w:rPr>
          <w:rFonts w:ascii="Arial" w:cs="Arial" w:eastAsia="Arial" w:hAnsi="Arial"/>
          <w:sz w:val="22"/>
          <w:szCs w:val="22"/>
          <w:b w:val="1"/>
          <w:bCs w:val="1"/>
          <w:color w:val="auto"/>
        </w:rPr>
        <w:t>Exhibit 10.1</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COMPANY AND INVESTOR ACKNOWLEDGMENT AND RELEASE</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For good and valuable consideration, the receipt and sufficiency of which are hereby acknowledged, Agrify Corporation, on behalf of itself and the other Borrowers (“</w:t>
      </w:r>
      <w:r>
        <w:rPr>
          <w:rFonts w:ascii="Arial" w:cs="Arial" w:eastAsia="Arial" w:hAnsi="Arial"/>
          <w:sz w:val="16"/>
          <w:szCs w:val="16"/>
          <w:b w:val="1"/>
          <w:bCs w:val="1"/>
          <w:u w:val="single" w:color="auto"/>
          <w:color w:val="auto"/>
        </w:rPr>
        <w:t>Agrify</w:t>
      </w:r>
      <w:r>
        <w:rPr>
          <w:rFonts w:ascii="Arial" w:cs="Arial" w:eastAsia="Arial" w:hAnsi="Arial"/>
          <w:sz w:val="16"/>
          <w:szCs w:val="16"/>
          <w:color w:val="auto"/>
        </w:rPr>
        <w:t>”), hereby acknowledges and agrees to the Note Purchase and Sale Agreement, dated as of October 27, 2023, by and between CP Acquisitions LLC, as Investor (the “</w:t>
      </w:r>
      <w:r>
        <w:rPr>
          <w:rFonts w:ascii="Arial" w:cs="Arial" w:eastAsia="Arial" w:hAnsi="Arial"/>
          <w:sz w:val="16"/>
          <w:szCs w:val="16"/>
          <w:b w:val="1"/>
          <w:bCs w:val="1"/>
          <w:u w:val="single" w:color="auto"/>
          <w:color w:val="auto"/>
        </w:rPr>
        <w:t>Investor</w:t>
      </w:r>
      <w:r>
        <w:rPr>
          <w:rFonts w:ascii="Arial" w:cs="Arial" w:eastAsia="Arial" w:hAnsi="Arial"/>
          <w:sz w:val="16"/>
          <w:szCs w:val="16"/>
          <w:color w:val="auto"/>
        </w:rPr>
        <w:t>”), and High Trail Special Situations, LLC, as Seller (together with all exhibits and schedules thereto, as amended from time to time, the “</w:t>
      </w:r>
      <w:r>
        <w:rPr>
          <w:rFonts w:ascii="Arial" w:cs="Arial" w:eastAsia="Arial" w:hAnsi="Arial"/>
          <w:sz w:val="16"/>
          <w:szCs w:val="16"/>
          <w:b w:val="1"/>
          <w:bCs w:val="1"/>
          <w:u w:val="single" w:color="auto"/>
          <w:color w:val="auto"/>
        </w:rPr>
        <w:t>Purchase Agreement</w:t>
      </w:r>
      <w:r>
        <w:rPr>
          <w:rFonts w:ascii="Arial" w:cs="Arial" w:eastAsia="Arial" w:hAnsi="Arial"/>
          <w:sz w:val="16"/>
          <w:szCs w:val="16"/>
          <w:color w:val="auto"/>
        </w:rPr>
        <w:t>”), and the consummation of the transactions contemplated thereby, and waives notice of any amendments or modifications thereto. Effective upon the Closing, Agrify and the Investor (on behalf of itself and its Affiliates), for good and valuable consideration, the receipt and sufficiency of which are hereby acknowledged, will be deemed to release and forever discharge the Seller and its Affiliates and their respective equity holders, officers, directors, employees and agents from any and all claims, demands, actions, suits, obligations and causes of action of any nature whatsoever, whether known or unknown, arising on or before the date hereof. To the extent required by applicable state or federal law, Agrify shall file a Current Report on Form 8-K (“</w:t>
      </w:r>
      <w:r>
        <w:rPr>
          <w:rFonts w:ascii="Arial" w:cs="Arial" w:eastAsia="Arial" w:hAnsi="Arial"/>
          <w:sz w:val="16"/>
          <w:szCs w:val="16"/>
          <w:b w:val="1"/>
          <w:bCs w:val="1"/>
          <w:u w:val="single" w:color="auto"/>
          <w:color w:val="auto"/>
        </w:rPr>
        <w:t>Form 8-K</w:t>
      </w:r>
      <w:r>
        <w:rPr>
          <w:rFonts w:ascii="Arial" w:cs="Arial" w:eastAsia="Arial" w:hAnsi="Arial"/>
          <w:sz w:val="16"/>
          <w:szCs w:val="16"/>
          <w:color w:val="auto"/>
        </w:rPr>
        <w:t>”) within the time required following the Closing disclosing all the material terms of the transactions consummated thereby. From and after the issuance of the Form 8-K, Agrify shall have disclosed all material, non-public information (if any) provided to Seller by the Borrowers or any of their respective subsidiaries or any of their respective officers, directors, employees, or agents, and Seller shall not be in possession of any material, non-public information regarding any such person or entity. Agrify shall not, and shall cause each of the other Borrowers and their respective officers, directors, employees and agents not to, provide Seller with any material, non-public information regarding the Borrowers from and after the date hereof unless prior thereto Seller shall have consented in writing to the receipt of such information and agreed with the Borrowers to keep such information confidential. To the extent that any of the Borrowers delivers any material, non-public information to Seller without Seller’s prior written consent in breach of the foregoing sentence, Agrify hereby covenants and agrees that Seller shall not have any duty of confidentiality with respect to, or a duty not to trade on the basis of, such material, nonpublic information, provided Seller shall remain subject to applicable law. Terms capitalized but not defined herein shall have the meanings ascribed to them in the Purchase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AGRIFY CORPORATION</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Raymond Chang</w:t>
      </w:r>
    </w:p>
    <w:p>
      <w:pPr>
        <w:spacing w:after="0" w:line="23"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CP ACQUISITIONS LLC</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Raymond Chang</w:t>
      </w:r>
    </w:p>
    <w:p>
      <w:pPr>
        <w:spacing w:after="0" w:line="23"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Manager</w:t>
      </w:r>
    </w:p>
    <w:p>
      <w:pPr>
        <w:sectPr>
          <w:pgSz w:w="11900" w:h="16838" w:orient="portrait"/>
          <w:cols w:equalWidth="0" w:num="1">
            <w:col w:w="11240"/>
          </w:cols>
          <w:pgMar w:left="320" w:top="112"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22"/>
          <w:szCs w:val="22"/>
          <w:b w:val="1"/>
          <w:bCs w:val="1"/>
          <w:color w:val="auto"/>
        </w:rPr>
        <w:t>Exhibit 10.2</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HIGH TRAIL CAPITAL 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 River Street, Suite 4C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Hoboken, NJ 07030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October 27,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To:</w:t>
            </w:r>
          </w:p>
        </w:tc>
        <w:tc>
          <w:tcPr>
            <w:tcW w:w="3460" w:type="dxa"/>
            <w:vAlign w:val="bottom"/>
            <w:gridSpan w:val="2"/>
          </w:tcPr>
          <w:p>
            <w:pPr>
              <w:spacing w:after="0"/>
              <w:rPr>
                <w:sz w:val="20"/>
                <w:szCs w:val="20"/>
                <w:color w:val="auto"/>
              </w:rPr>
            </w:pPr>
            <w:r>
              <w:rPr>
                <w:rFonts w:ascii="Arial" w:cs="Arial" w:eastAsia="Arial" w:hAnsi="Arial"/>
                <w:sz w:val="18"/>
                <w:szCs w:val="18"/>
                <w:color w:val="auto"/>
              </w:rPr>
              <w:t>Agrify Corporation</w:t>
            </w:r>
          </w:p>
        </w:tc>
      </w:tr>
      <w:tr>
        <w:trPr>
          <w:trHeight w:val="216"/>
        </w:trPr>
        <w:tc>
          <w:tcPr>
            <w:tcW w:w="66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76 Treble Cove Road, Building 3</w:t>
            </w:r>
          </w:p>
        </w:tc>
      </w:tr>
      <w:tr>
        <w:trPr>
          <w:trHeight w:val="216"/>
        </w:trPr>
        <w:tc>
          <w:tcPr>
            <w:tcW w:w="66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Billerica, MA 01862</w:t>
            </w:r>
          </w:p>
        </w:tc>
      </w:tr>
      <w:tr>
        <w:trPr>
          <w:trHeight w:val="216"/>
        </w:trPr>
        <w:tc>
          <w:tcPr>
            <w:tcW w:w="66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w w:val="89"/>
              </w:rPr>
              <w:t>Attention: Joshua Savitz, Esq., General Counsel</w:t>
            </w:r>
          </w:p>
        </w:tc>
      </w:tr>
      <w:tr>
        <w:trPr>
          <w:trHeight w:val="230"/>
        </w:trPr>
        <w:tc>
          <w:tcPr>
            <w:tcW w:w="660" w:type="dxa"/>
            <w:vAlign w:val="bottom"/>
          </w:tcPr>
          <w:p>
            <w:pPr>
              <w:spacing w:after="0"/>
              <w:rPr>
                <w:sz w:val="20"/>
                <w:szCs w:val="20"/>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Email: josh.savitz@agrify.com</w:t>
            </w:r>
          </w:p>
        </w:tc>
      </w:tr>
      <w:tr>
        <w:trPr>
          <w:trHeight w:val="391"/>
        </w:trPr>
        <w:tc>
          <w:tcPr>
            <w:tcW w:w="660" w:type="dxa"/>
            <w:vAlign w:val="bottom"/>
          </w:tcPr>
          <w:p>
            <w:pPr>
              <w:spacing w:after="0"/>
              <w:rPr>
                <w:sz w:val="20"/>
                <w:szCs w:val="20"/>
                <w:color w:val="auto"/>
              </w:rPr>
            </w:pPr>
            <w:r>
              <w:rPr>
                <w:rFonts w:ascii="Arial" w:cs="Arial" w:eastAsia="Arial" w:hAnsi="Arial"/>
                <w:sz w:val="18"/>
                <w:szCs w:val="18"/>
                <w:color w:val="auto"/>
              </w:rPr>
              <w:t>Re:</w:t>
            </w:r>
          </w:p>
        </w:tc>
        <w:tc>
          <w:tcPr>
            <w:tcW w:w="1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Partial Debt Conversion</w:t>
            </w:r>
          </w:p>
        </w:tc>
        <w:tc>
          <w:tcPr>
            <w:tcW w:w="1720" w:type="dxa"/>
            <w:vAlign w:val="bottom"/>
          </w:tcPr>
          <w:p>
            <w:pPr>
              <w:spacing w:after="0"/>
              <w:rPr>
                <w:sz w:val="24"/>
                <w:szCs w:val="24"/>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addressee listed above:</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Reference is made to that certain Senior Secured Note due 2025 (as amended by that certain Amendment No.1 to Senior Secured Note, dated as of March 10, 2023, the “</w:t>
      </w:r>
      <w:r>
        <w:rPr>
          <w:rFonts w:ascii="Arial" w:cs="Arial" w:eastAsia="Arial" w:hAnsi="Arial"/>
          <w:sz w:val="16"/>
          <w:szCs w:val="16"/>
          <w:b w:val="1"/>
          <w:bCs w:val="1"/>
          <w:color w:val="auto"/>
        </w:rPr>
        <w:t>Note</w:t>
      </w:r>
      <w:r>
        <w:rPr>
          <w:rFonts w:ascii="Arial" w:cs="Arial" w:eastAsia="Arial" w:hAnsi="Arial"/>
          <w:sz w:val="16"/>
          <w:szCs w:val="16"/>
          <w:color w:val="auto"/>
        </w:rPr>
        <w:t>”), previously issued to High Trail Special Situations LLC (“</w:t>
      </w:r>
      <w:r>
        <w:rPr>
          <w:rFonts w:ascii="Arial" w:cs="Arial" w:eastAsia="Arial" w:hAnsi="Arial"/>
          <w:sz w:val="16"/>
          <w:szCs w:val="16"/>
          <w:b w:val="1"/>
          <w:bCs w:val="1"/>
          <w:color w:val="auto"/>
        </w:rPr>
        <w:t>High Trail</w:t>
      </w:r>
      <w:r>
        <w:rPr>
          <w:rFonts w:ascii="Arial" w:cs="Arial" w:eastAsia="Arial" w:hAnsi="Arial"/>
          <w:sz w:val="16"/>
          <w:szCs w:val="16"/>
          <w:color w:val="auto"/>
        </w:rPr>
        <w:t>”) pursuant to that certain Securities Exchange Agreement, dated as of August 18, 2022 (the “</w:t>
      </w:r>
      <w:r>
        <w:rPr>
          <w:rFonts w:ascii="Arial" w:cs="Arial" w:eastAsia="Arial" w:hAnsi="Arial"/>
          <w:sz w:val="16"/>
          <w:szCs w:val="16"/>
          <w:b w:val="1"/>
          <w:bCs w:val="1"/>
          <w:color w:val="auto"/>
        </w:rPr>
        <w:t>Exchange Agreement</w:t>
      </w:r>
      <w:r>
        <w:rPr>
          <w:rFonts w:ascii="Arial" w:cs="Arial" w:eastAsia="Arial" w:hAnsi="Arial"/>
          <w:sz w:val="16"/>
          <w:szCs w:val="16"/>
          <w:color w:val="auto"/>
        </w:rPr>
        <w:t>”) between Agrify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together with High Trail, the “</w:t>
      </w:r>
      <w:r>
        <w:rPr>
          <w:rFonts w:ascii="Arial" w:cs="Arial" w:eastAsia="Arial" w:hAnsi="Arial"/>
          <w:sz w:val="16"/>
          <w:szCs w:val="16"/>
          <w:b w:val="1"/>
          <w:bCs w:val="1"/>
          <w:color w:val="auto"/>
        </w:rPr>
        <w:t>Parties</w:t>
      </w:r>
      <w:r>
        <w:rPr>
          <w:rFonts w:ascii="Arial" w:cs="Arial" w:eastAsia="Arial" w:hAnsi="Arial"/>
          <w:sz w:val="16"/>
          <w:szCs w:val="16"/>
          <w:color w:val="auto"/>
        </w:rPr>
        <w:t>”) and High Trail in exchange for a Senior Secured Note issued by the Company to High Trail on March 23, 2022. Accordingly, for purposes of Rule 144(d)(1), the holding period for the Note and the Abeyance Shares (as defined below) commenced on March 23, 2022 and neither High Trail nor the Company shall assert any arguments or take any positions to the contrary. Reference is further made to the Letter Agreement between the Company and High Trail dated as of April 26, 2023 (the “</w:t>
      </w:r>
      <w:r>
        <w:rPr>
          <w:rFonts w:ascii="Arial" w:cs="Arial" w:eastAsia="Arial" w:hAnsi="Arial"/>
          <w:sz w:val="16"/>
          <w:szCs w:val="16"/>
          <w:b w:val="1"/>
          <w:bCs w:val="1"/>
          <w:color w:val="auto"/>
        </w:rPr>
        <w:t>Letter Agreement</w:t>
      </w:r>
      <w:r>
        <w:rPr>
          <w:rFonts w:ascii="Arial" w:cs="Arial" w:eastAsia="Arial" w:hAnsi="Arial"/>
          <w:sz w:val="16"/>
          <w:szCs w:val="16"/>
          <w:color w:val="auto"/>
        </w:rPr>
        <w:t>”), pursuant to which the Company agreed to issue 445,196 shares of Common Stock to High Trail in exchange for $2,000,000 of the Principal Amount of the Note, with 375,629 of such shares of common stock being held in abeyance (the “</w:t>
      </w:r>
      <w:r>
        <w:rPr>
          <w:rFonts w:ascii="Arial" w:cs="Arial" w:eastAsia="Arial" w:hAnsi="Arial"/>
          <w:sz w:val="16"/>
          <w:szCs w:val="16"/>
          <w:b w:val="1"/>
          <w:bCs w:val="1"/>
          <w:color w:val="auto"/>
        </w:rPr>
        <w:t>Abeyance Shares</w:t>
      </w:r>
      <w:r>
        <w:rPr>
          <w:rFonts w:ascii="Arial" w:cs="Arial" w:eastAsia="Arial" w:hAnsi="Arial"/>
          <w:sz w:val="16"/>
          <w:szCs w:val="16"/>
          <w:color w:val="auto"/>
        </w:rPr>
        <w:t>”) by the Company pursuant to the 4.99% beneficial ownership limitation set forth in the Letter Agreement. All capitalized terms used in this letter agreement, but not defined herein, shall have the meanings ascribed to such terms in the Note and the Exchange Agreement. The Parties hereby agree that in exchange for valuable consideration, the sufficiency of which is hereby acknowledged the Parties agree as follows:</w:t>
      </w:r>
    </w:p>
    <w:p>
      <w:pPr>
        <w:spacing w:after="0" w:line="172" w:lineRule="exact"/>
        <w:rPr>
          <w:sz w:val="20"/>
          <w:szCs w:val="20"/>
          <w:color w:val="auto"/>
        </w:rPr>
      </w:pPr>
    </w:p>
    <w:p>
      <w:pPr>
        <w:ind w:left="660" w:right="260" w:hanging="652"/>
        <w:spacing w:after="0" w:line="277"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Securities Act Exemption</w:t>
      </w:r>
      <w:r>
        <w:rPr>
          <w:rFonts w:ascii="Arial" w:cs="Arial" w:eastAsia="Arial" w:hAnsi="Arial"/>
          <w:sz w:val="18"/>
          <w:szCs w:val="18"/>
          <w:color w:val="auto"/>
        </w:rPr>
        <w:t>. The Company and High Trail are executing and delivering this letter agreement in reliance upon the exemption from securities registration afforded by Section 3(a)(9) of the Securities Act of 1933, as amended (the “1933 Act”).</w:t>
      </w:r>
    </w:p>
    <w:p>
      <w:pPr>
        <w:spacing w:after="0" w:line="166" w:lineRule="exact"/>
        <w:rPr>
          <w:rFonts w:ascii="Arial" w:cs="Arial" w:eastAsia="Arial" w:hAnsi="Arial"/>
          <w:sz w:val="18"/>
          <w:szCs w:val="18"/>
          <w:color w:val="auto"/>
        </w:rPr>
      </w:pPr>
    </w:p>
    <w:p>
      <w:pPr>
        <w:jc w:val="both"/>
        <w:ind w:left="660" w:hanging="652"/>
        <w:spacing w:after="0" w:line="258"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Exchange of Debt for Warrants</w:t>
      </w:r>
      <w:r>
        <w:rPr>
          <w:rFonts w:ascii="Arial" w:cs="Arial" w:eastAsia="Arial" w:hAnsi="Arial"/>
          <w:sz w:val="18"/>
          <w:szCs w:val="18"/>
          <w:color w:val="auto"/>
        </w:rPr>
        <w:t>. The Company shall on the date hereof (the “</w:t>
      </w:r>
      <w:r>
        <w:rPr>
          <w:rFonts w:ascii="Arial" w:cs="Arial" w:eastAsia="Arial" w:hAnsi="Arial"/>
          <w:sz w:val="18"/>
          <w:szCs w:val="18"/>
          <w:b w:val="1"/>
          <w:bCs w:val="1"/>
          <w:color w:val="auto"/>
        </w:rPr>
        <w:t>Closing Date</w:t>
      </w:r>
      <w:r>
        <w:rPr>
          <w:rFonts w:ascii="Arial" w:cs="Arial" w:eastAsia="Arial" w:hAnsi="Arial"/>
          <w:sz w:val="18"/>
          <w:szCs w:val="18"/>
          <w:color w:val="auto"/>
        </w:rPr>
        <w:t>”), in reliance upon the exemptions from securities registration afforded by Section 3(a)(9) of the 1933 Act, issue to High Trail, in exchange for $3,000,000 of the Principal Amount of the Note and all of the accrued but unpaid interest under the Note (the “</w:t>
      </w:r>
      <w:r>
        <w:rPr>
          <w:rFonts w:ascii="Arial" w:cs="Arial" w:eastAsia="Arial" w:hAnsi="Arial"/>
          <w:sz w:val="18"/>
          <w:szCs w:val="18"/>
          <w:b w:val="1"/>
          <w:bCs w:val="1"/>
          <w:color w:val="auto"/>
        </w:rPr>
        <w:t>Principal Exchange Amount</w:t>
      </w:r>
      <w:r>
        <w:rPr>
          <w:rFonts w:ascii="Arial" w:cs="Arial" w:eastAsia="Arial" w:hAnsi="Arial"/>
          <w:sz w:val="18"/>
          <w:szCs w:val="18"/>
          <w:color w:val="auto"/>
        </w:rPr>
        <w:t>”), a warrant to purchase two million eight hundred nine thousand six hundred sixty-nine (2,809,669) shares of Common Stock (the “</w:t>
      </w:r>
      <w:r>
        <w:rPr>
          <w:rFonts w:ascii="Arial" w:cs="Arial" w:eastAsia="Arial" w:hAnsi="Arial"/>
          <w:sz w:val="18"/>
          <w:szCs w:val="18"/>
          <w:b w:val="1"/>
          <w:bCs w:val="1"/>
          <w:color w:val="auto"/>
        </w:rPr>
        <w:t>Principal Exchange Warrant</w:t>
      </w:r>
      <w:r>
        <w:rPr>
          <w:rFonts w:ascii="Arial" w:cs="Arial" w:eastAsia="Arial" w:hAnsi="Arial"/>
          <w:sz w:val="18"/>
          <w:szCs w:val="18"/>
          <w:color w:val="auto"/>
        </w:rPr>
        <w:t xml:space="preserve">”) in substantially the form attached hereto as </w:t>
      </w:r>
      <w:r>
        <w:rPr>
          <w:rFonts w:ascii="Arial" w:cs="Arial" w:eastAsia="Arial" w:hAnsi="Arial"/>
          <w:sz w:val="18"/>
          <w:szCs w:val="18"/>
          <w:u w:val="single" w:color="auto"/>
          <w:color w:val="auto"/>
        </w:rPr>
        <w:t>Exhibit A-1</w:t>
      </w:r>
      <w:r>
        <w:rPr>
          <w:rFonts w:ascii="Arial" w:cs="Arial" w:eastAsia="Arial" w:hAnsi="Arial"/>
          <w:sz w:val="18"/>
          <w:szCs w:val="18"/>
          <w:color w:val="auto"/>
        </w:rPr>
        <w:t xml:space="preserve"> and with an exercise price of $0.001 per share.</w:t>
      </w:r>
    </w:p>
    <w:p>
      <w:pPr>
        <w:spacing w:after="0" w:line="187" w:lineRule="exact"/>
        <w:rPr>
          <w:rFonts w:ascii="Arial" w:cs="Arial" w:eastAsia="Arial" w:hAnsi="Arial"/>
          <w:sz w:val="18"/>
          <w:szCs w:val="18"/>
          <w:color w:val="auto"/>
        </w:rPr>
      </w:pPr>
    </w:p>
    <w:p>
      <w:pPr>
        <w:jc w:val="both"/>
        <w:ind w:left="660" w:hanging="652"/>
        <w:spacing w:after="0" w:line="279" w:lineRule="auto"/>
        <w:tabs>
          <w:tab w:leader="none" w:pos="660"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Exchange of Abeyance Shares for Warrant</w:t>
      </w:r>
      <w:r>
        <w:rPr>
          <w:rFonts w:ascii="Arial" w:cs="Arial" w:eastAsia="Arial" w:hAnsi="Arial"/>
          <w:sz w:val="17"/>
          <w:szCs w:val="17"/>
          <w:color w:val="auto"/>
        </w:rPr>
        <w:t>. The Company shall on the Closing Date, in reliance upon the exemptions from securities registration afforded by Section 3(a)(9) of the 1933 Act, issue to High Trail, in exchange for its right to receive the Abeyance Shares, a warrant to purchase 375,629 shares of Common Stock (the “</w:t>
      </w:r>
      <w:r>
        <w:rPr>
          <w:rFonts w:ascii="Arial" w:cs="Arial" w:eastAsia="Arial" w:hAnsi="Arial"/>
          <w:sz w:val="17"/>
          <w:szCs w:val="17"/>
          <w:b w:val="1"/>
          <w:bCs w:val="1"/>
          <w:color w:val="auto"/>
        </w:rPr>
        <w:t>Abeyance Exchange Warrant</w:t>
      </w:r>
      <w:r>
        <w:rPr>
          <w:rFonts w:ascii="Arial" w:cs="Arial" w:eastAsia="Arial" w:hAnsi="Arial"/>
          <w:sz w:val="17"/>
          <w:szCs w:val="17"/>
          <w:color w:val="auto"/>
        </w:rPr>
        <w:t>” and, together with the Principal Exchange Warrant, the “</w:t>
      </w:r>
      <w:r>
        <w:rPr>
          <w:rFonts w:ascii="Arial" w:cs="Arial" w:eastAsia="Arial" w:hAnsi="Arial"/>
          <w:sz w:val="17"/>
          <w:szCs w:val="17"/>
          <w:b w:val="1"/>
          <w:bCs w:val="1"/>
          <w:color w:val="auto"/>
        </w:rPr>
        <w:t>Warrants</w:t>
      </w:r>
      <w:r>
        <w:rPr>
          <w:rFonts w:ascii="Arial" w:cs="Arial" w:eastAsia="Arial" w:hAnsi="Arial"/>
          <w:sz w:val="17"/>
          <w:szCs w:val="17"/>
          <w:color w:val="auto"/>
        </w:rPr>
        <w:t xml:space="preserve">”) in substantially the form attached hereto as </w:t>
      </w:r>
      <w:r>
        <w:rPr>
          <w:rFonts w:ascii="Arial" w:cs="Arial" w:eastAsia="Arial" w:hAnsi="Arial"/>
          <w:sz w:val="17"/>
          <w:szCs w:val="17"/>
          <w:u w:val="single" w:color="auto"/>
          <w:color w:val="auto"/>
        </w:rPr>
        <w:t>Exhibit A-2</w:t>
      </w:r>
      <w:r>
        <w:rPr>
          <w:rFonts w:ascii="Arial" w:cs="Arial" w:eastAsia="Arial" w:hAnsi="Arial"/>
          <w:sz w:val="17"/>
          <w:szCs w:val="17"/>
          <w:color w:val="auto"/>
        </w:rPr>
        <w:t xml:space="preserve"> and with an exercise price of $0.001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1" w:name="page72"/>
    <w:bookmarkEnd w:id="71"/>
    <w:p>
      <w:pPr>
        <w:jc w:val="both"/>
        <w:ind w:left="660" w:hanging="652"/>
        <w:spacing w:after="0" w:line="294" w:lineRule="auto"/>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Warrants and Warrant Shares</w:t>
      </w:r>
      <w:r>
        <w:rPr>
          <w:rFonts w:ascii="Arial" w:cs="Arial" w:eastAsia="Arial" w:hAnsi="Arial"/>
          <w:sz w:val="16"/>
          <w:szCs w:val="16"/>
          <w:color w:val="auto"/>
        </w:rPr>
        <w:t>. The Warrants, and upon exercise, the shares underlying each of the Warrants (collectively, the “</w:t>
      </w:r>
      <w:r>
        <w:rPr>
          <w:rFonts w:ascii="Arial" w:cs="Arial" w:eastAsia="Arial" w:hAnsi="Arial"/>
          <w:sz w:val="16"/>
          <w:szCs w:val="16"/>
          <w:b w:val="1"/>
          <w:bCs w:val="1"/>
          <w:color w:val="auto"/>
        </w:rPr>
        <w:t>Warrant Shares</w:t>
      </w:r>
      <w:r>
        <w:rPr>
          <w:rFonts w:ascii="Arial" w:cs="Arial" w:eastAsia="Arial" w:hAnsi="Arial"/>
          <w:sz w:val="16"/>
          <w:szCs w:val="16"/>
          <w:color w:val="auto"/>
        </w:rPr>
        <w:t>”) will be without any restrictive legend and will be validly issued, fully paid and nonassessable and free from all preemptive or similar rights or Liens with respect to the issuance thereof, with High Trail being entitled to all rights accorded to a holder of Common Stock with respect thereto and such Warrant Shares shall be eligible to be offered, sold or otherwise transferred by High Trail pursuant to Rule 144 under the Securities Act, without any requirements as to volume, manner of sale, or availability of current public information. The Company shall cause its transfer agent to credit the Warrant Shares to High Trail’s account with The Depositary Trust Company upon exercise of the Warrants.</w:t>
      </w:r>
    </w:p>
    <w:p>
      <w:pPr>
        <w:spacing w:after="0" w:line="163" w:lineRule="exact"/>
        <w:rPr>
          <w:rFonts w:ascii="Arial" w:cs="Arial" w:eastAsia="Arial" w:hAnsi="Arial"/>
          <w:sz w:val="16"/>
          <w:szCs w:val="16"/>
          <w:color w:val="auto"/>
        </w:rPr>
      </w:pPr>
    </w:p>
    <w:p>
      <w:pPr>
        <w:jc w:val="both"/>
        <w:ind w:left="660" w:hanging="652"/>
        <w:spacing w:after="0" w:line="286" w:lineRule="auto"/>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Stockholder Approval</w:t>
      </w:r>
      <w:r>
        <w:rPr>
          <w:rFonts w:ascii="Arial" w:cs="Arial" w:eastAsia="Arial" w:hAnsi="Arial"/>
          <w:sz w:val="16"/>
          <w:szCs w:val="16"/>
          <w:color w:val="auto"/>
        </w:rPr>
        <w:t>. Following the Closing Date, the Company agrees to use reasonable best efforts to obtain, at the next meeting (annual or special) of the stockholders of the Company (at which a quorum is present) (the “</w:t>
      </w:r>
      <w:r>
        <w:rPr>
          <w:rFonts w:ascii="Arial" w:cs="Arial" w:eastAsia="Arial" w:hAnsi="Arial"/>
          <w:sz w:val="16"/>
          <w:szCs w:val="16"/>
          <w:b w:val="1"/>
          <w:bCs w:val="1"/>
          <w:color w:val="auto"/>
        </w:rPr>
        <w:t>Stockholder Meeting</w:t>
      </w:r>
      <w:r>
        <w:rPr>
          <w:rFonts w:ascii="Arial" w:cs="Arial" w:eastAsia="Arial" w:hAnsi="Arial"/>
          <w:sz w:val="16"/>
          <w:szCs w:val="16"/>
          <w:color w:val="auto"/>
        </w:rPr>
        <w:t>”), but in no event later than December 31, 2023, the Requisite Stockholder Approval (as defined below). The Company will prepare and file with the SEC a proxy statement to be sent to the Company’s stockholders in connection with the Stockholder Meeting (the “</w:t>
      </w:r>
      <w:r>
        <w:rPr>
          <w:rFonts w:ascii="Arial" w:cs="Arial" w:eastAsia="Arial" w:hAnsi="Arial"/>
          <w:sz w:val="16"/>
          <w:szCs w:val="16"/>
          <w:b w:val="1"/>
          <w:bCs w:val="1"/>
          <w:color w:val="auto"/>
        </w:rPr>
        <w:t>Proxy Statement</w:t>
      </w:r>
      <w:r>
        <w:rPr>
          <w:rFonts w:ascii="Arial" w:cs="Arial" w:eastAsia="Arial" w:hAnsi="Arial"/>
          <w:sz w:val="16"/>
          <w:szCs w:val="16"/>
          <w:color w:val="auto"/>
        </w:rPr>
        <w:t>”). The Proxy Statement shall include the Board of Directors’ recommendation that the holders of shares of the Company’s Common Stock vote in favor of the Requisite Stockholder Approval. If the Requisite Stockholder Approval is not obtained at or prior to the earlier to occur of (x) the Stockholder Meeting and (y) December 31, 2023, the Company will hold a special meeting of the stockholders of the Company for the purposes of obtaining such Requisite Stockholder Approval no less often than every ninety (90) days following such earlier date until the Requisite Stockholder Approval is obtained, and the Board of Directors will recommend that the holders of shares of the Company’s Common Stock vote in favor of the Requisite Stockholder Approval at each such meeting. As used herein, “</w:t>
      </w:r>
      <w:r>
        <w:rPr>
          <w:rFonts w:ascii="Arial" w:cs="Arial" w:eastAsia="Arial" w:hAnsi="Arial"/>
          <w:sz w:val="16"/>
          <w:szCs w:val="16"/>
          <w:b w:val="1"/>
          <w:bCs w:val="1"/>
          <w:color w:val="auto"/>
        </w:rPr>
        <w:t>Requisite Stockholder Approval</w:t>
      </w:r>
      <w:r>
        <w:rPr>
          <w:rFonts w:ascii="Arial" w:cs="Arial" w:eastAsia="Arial" w:hAnsi="Arial"/>
          <w:sz w:val="16"/>
          <w:szCs w:val="16"/>
          <w:color w:val="auto"/>
        </w:rPr>
        <w:t>” means the stockholder approval contemplated by Nasdaq Listing Rule 5635(d) with respect to (i) the issuance of the Warrants, including the adjustment provision in such Warrants pursuant to Section 2(c) thereof and (ii) the completion of the Subsequent Equity Financings (as defined in the Warrants); provided, however, that the Requisite Stockholder Approval will be deemed to be obtained if, due to any amendment or binding change in the interpretation of the applicable listing standards of the Nasdaq Capital Market, such stockholder approval is no longer required.</w:t>
      </w:r>
    </w:p>
    <w:p>
      <w:pPr>
        <w:spacing w:after="0" w:line="170" w:lineRule="exact"/>
        <w:rPr>
          <w:rFonts w:ascii="Arial" w:cs="Arial" w:eastAsia="Arial" w:hAnsi="Arial"/>
          <w:sz w:val="16"/>
          <w:szCs w:val="16"/>
          <w:color w:val="auto"/>
        </w:rPr>
      </w:pPr>
    </w:p>
    <w:p>
      <w:pPr>
        <w:jc w:val="both"/>
        <w:ind w:left="660" w:hanging="652"/>
        <w:spacing w:after="0" w:line="259"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Voting Agreement</w:t>
      </w:r>
      <w:r>
        <w:rPr>
          <w:rFonts w:ascii="Arial" w:cs="Arial" w:eastAsia="Arial" w:hAnsi="Arial"/>
          <w:sz w:val="18"/>
          <w:szCs w:val="18"/>
          <w:color w:val="auto"/>
        </w:rPr>
        <w:t xml:space="preserve">. On or prior to the date of this Letter Agreement, each of the parties listed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has entered into a Voting Agreement with the Company in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The Company represents that such agreements have not been terminated or amended since execution thereof and covenants that it shall use best efforts to specifically enforce the terms thereof as in effect on the date of this Letter Agreement.</w:t>
      </w:r>
    </w:p>
    <w:p>
      <w:pPr>
        <w:spacing w:after="0" w:line="186" w:lineRule="exact"/>
        <w:rPr>
          <w:rFonts w:ascii="Arial" w:cs="Arial" w:eastAsia="Arial" w:hAnsi="Arial"/>
          <w:sz w:val="18"/>
          <w:szCs w:val="18"/>
          <w:color w:val="auto"/>
        </w:rPr>
      </w:pPr>
    </w:p>
    <w:p>
      <w:pPr>
        <w:jc w:val="both"/>
        <w:ind w:left="660" w:hanging="652"/>
        <w:spacing w:after="0" w:line="255"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Restricted Period</w:t>
      </w:r>
      <w:r>
        <w:rPr>
          <w:rFonts w:ascii="Arial" w:cs="Arial" w:eastAsia="Arial" w:hAnsi="Arial"/>
          <w:sz w:val="18"/>
          <w:szCs w:val="18"/>
          <w:color w:val="auto"/>
        </w:rPr>
        <w:t>. Until the earlier to occur of (x) third (3rd) anniversary of the date hereof and (y) such date as date High Trail (or its assignees) shall have sold all Warrant Shares, High Trail shall not make sales of Warrant Shares in excess of ten percent (10%) of the market volume of the Company’s Common Stock per day (based on the aggregate daily trading volume as reported by Bloomberg for any such day) other than to affiliates of High Trail or to CP Acquisitions LLC or its affiliates. The restrictions contained in this Section 7 shall not apply to the participation of High Trail in a tender or exchange offer for the shares of the Company’s Common Stock initiated by any person other than High Trail or its affiliates.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jc w:val="both"/>
        <w:ind w:left="660" w:hanging="652"/>
        <w:spacing w:after="0" w:line="236"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Additional Equity Investment</w:t>
      </w:r>
      <w:r>
        <w:rPr>
          <w:rFonts w:ascii="Arial" w:cs="Arial" w:eastAsia="Arial" w:hAnsi="Arial"/>
          <w:sz w:val="18"/>
          <w:szCs w:val="18"/>
          <w:color w:val="auto"/>
        </w:rPr>
        <w:t>. The Company agrees to issue its equity securities in exchange for gross proceeds to the Company on or prior to December 31, 2023 in an amount of at least $3,000,000 minus any funds advanced to the Company since July 1, 2023 by the Company’s Chief Executive Officer (as of the date hereof) and/or his affiliates under one or more promissory notes; provided that such promissory notes are converted into shares of the Company’s Common Stock at a conversion price per share that is no less than $1.46 (or if lower, the Adjustment Price (as defined in the Principal Exchange Warrant) at the time of such conversion) by no later than the third (3</w:t>
      </w:r>
      <w:r>
        <w:rPr>
          <w:rFonts w:ascii="Arial" w:cs="Arial" w:eastAsia="Arial" w:hAnsi="Arial"/>
          <w:sz w:val="29"/>
          <w:szCs w:val="29"/>
          <w:color w:val="auto"/>
          <w:vertAlign w:val="superscript"/>
        </w:rPr>
        <w:t>rd</w:t>
      </w:r>
      <w:r>
        <w:rPr>
          <w:rFonts w:ascii="Arial" w:cs="Arial" w:eastAsia="Arial" w:hAnsi="Arial"/>
          <w:sz w:val="18"/>
          <w:szCs w:val="18"/>
          <w:color w:val="auto"/>
        </w:rPr>
        <w:t>) calendar day after the Requisite Stockholder Approval.</w:t>
      </w:r>
    </w:p>
    <w:p>
      <w:pPr>
        <w:spacing w:after="0" w:line="206" w:lineRule="exact"/>
        <w:rPr>
          <w:rFonts w:ascii="Arial" w:cs="Arial" w:eastAsia="Arial" w:hAnsi="Arial"/>
          <w:sz w:val="18"/>
          <w:szCs w:val="18"/>
          <w:color w:val="auto"/>
        </w:rPr>
      </w:pPr>
    </w:p>
    <w:p>
      <w:pPr>
        <w:jc w:val="both"/>
        <w:ind w:left="660" w:hanging="652"/>
        <w:spacing w:after="0" w:line="267" w:lineRule="auto"/>
        <w:tabs>
          <w:tab w:leader="none" w:pos="660"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Exchange Agreement</w:t>
      </w:r>
      <w:r>
        <w:rPr>
          <w:rFonts w:ascii="Arial" w:cs="Arial" w:eastAsia="Arial" w:hAnsi="Arial"/>
          <w:sz w:val="17"/>
          <w:szCs w:val="17"/>
          <w:color w:val="auto"/>
        </w:rPr>
        <w:t xml:space="preserve">. For purposes of the Letter Agreement, the Company and High Trail hereby agree that, from and after the Closing Date, (i) the Warrants and the Warrant Shares shall constitute Securities (as defined in the Exchange Agreement) and more specifically for purposes of Sections 3(b), 3(c), 3(d), 3(e) (except with respect to any matters disclosed in the filings made by the Company with the Securities and Exchange Commission prior to the date hereof), 3(g), 3(h), 3(i), 3(j), 3(ee), 3(hh), 3(jj), 3(rr), 3(ss), 3(tt), 4(e), 4(t), 5(b), 5(c), 5(e) and 9(e) of the Exchange Agreement, the Warrant Shares shall constitute Exchange Note Shares, </w:t>
      </w:r>
      <w:r>
        <w:rPr>
          <w:rFonts w:ascii="Arial" w:cs="Arial" w:eastAsia="Arial" w:hAnsi="Arial"/>
          <w:sz w:val="17"/>
          <w:szCs w:val="17"/>
          <w:i w:val="1"/>
          <w:iCs w:val="1"/>
          <w:color w:val="auto"/>
        </w:rPr>
        <w:t>mutatis mutandis</w:t>
      </w:r>
      <w:r>
        <w:rPr>
          <w:rFonts w:ascii="Arial" w:cs="Arial" w:eastAsia="Arial" w:hAnsi="Arial"/>
          <w:sz w:val="17"/>
          <w:szCs w:val="17"/>
          <w:color w:val="auto"/>
        </w:rPr>
        <w:t>, and (ii) this letter agreement and the Warrants shall constitute Transaction Documents for all purposes under the Exchange Agreement. The Company represents that the representations and warranties of the Company set forth in Sections 3(b), 3(c), 3(d), 3(e), 3(f) (except with respect to any matters disclosed in the filings made by the Company with the Securities and Exchange Commission prior to the date hereof), 3(g), 3(h), 3(i), 3(j), 3(ee), 3(hh), 3(jj), 3(rr), 3(ss) and 3(tt) of the Exchange Agreement are true and correct in all material respects (except for such representations and warranties that are qualified by materiality or material adverse effect, which are true and correct in all respects) as of the Closing Date (except for representations and warranties that speak as of a specific date, which are true and correct as of such specific date). Except as set forth in the next sentence, High Trail represents that the representations and warranties of the Holders set forth in the Exchange Agreement are true and correct in all material respects (except for such representations and warranties that are qualified by materiality or material adverse effect, which are true and correct in all respects) as of the Closing Date (except for representations and warranties that speak as of a specific date, which are true and correct as of such specific date). Notwithstanding the preceding sentence, the Company acknowledges and agrees that the Warrant Shares shall be eligible to be offered, sold or otherwise transferred by the High Trail pursuant to Rule 144 under the Securities Act, without any requirements as to volume, manner of sale, availability of current public information without High Trail providing the Company with any further assurances as to the availability of Rule 144 for any such offer, sale or transfer other than any customary Rule 144 representation letters required by the Company’s transfer agent or legal counsel.</w:t>
      </w:r>
    </w:p>
    <w:p>
      <w:pPr>
        <w:spacing w:after="0" w:line="188" w:lineRule="exact"/>
        <w:rPr>
          <w:rFonts w:ascii="Arial" w:cs="Arial" w:eastAsia="Arial" w:hAnsi="Arial"/>
          <w:sz w:val="17"/>
          <w:szCs w:val="17"/>
          <w:color w:val="auto"/>
        </w:rPr>
      </w:pPr>
    </w:p>
    <w:p>
      <w:pPr>
        <w:jc w:val="both"/>
        <w:ind w:left="660" w:hanging="652"/>
        <w:spacing w:after="0" w:line="296" w:lineRule="auto"/>
        <w:tabs>
          <w:tab w:leader="none" w:pos="660"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Material Non-Public Information</w:t>
      </w:r>
      <w:r>
        <w:rPr>
          <w:rFonts w:ascii="Arial" w:cs="Arial" w:eastAsia="Arial" w:hAnsi="Arial"/>
          <w:sz w:val="16"/>
          <w:szCs w:val="16"/>
          <w:color w:val="auto"/>
        </w:rPr>
        <w:t>. By no later than 9:15 a.m., New York City time on October 30, 2023, the Company shall file a Current Report on Form 8-K disclosing all the material terms of the transactions contemplated by this letter agreement (the “</w:t>
      </w:r>
      <w:r>
        <w:rPr>
          <w:rFonts w:ascii="Arial" w:cs="Arial" w:eastAsia="Arial" w:hAnsi="Arial"/>
          <w:sz w:val="16"/>
          <w:szCs w:val="16"/>
          <w:b w:val="1"/>
          <w:bCs w:val="1"/>
          <w:color w:val="auto"/>
        </w:rPr>
        <w:t>Form 8-K</w:t>
      </w:r>
      <w:r>
        <w:rPr>
          <w:rFonts w:ascii="Arial" w:cs="Arial" w:eastAsia="Arial" w:hAnsi="Arial"/>
          <w:sz w:val="16"/>
          <w:szCs w:val="16"/>
          <w:color w:val="auto"/>
        </w:rPr>
        <w:t>”). From and after the issuance of the Form 8-K, the Company shall have disclosed all material, nonpublic information (if any) provided to High Trail by the Company or any of its subsidiaries or any of their respective officers, directors, employees or agents and neither High Trail nor any of its officers, directors, employees or agents shall be in possession of any material, non-public information regarding the Company or any of its Subsidiaries.</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terms and provisions of the Note are ratified and confirmed and remain in full force and effect. Any breach of the terms and conditions of this letter agreement by the Company will constitute an event of default under the Note and a breach of the Exchange Agreement, as applicable. If the foregoing correctly sets forth the understanding between the Company and High Trail, please so indicate in the space provided below for that purpose, whereupon this letter shall constitute a binding agreement between the Company and High Trail.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Left Blank; 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3" w:name="page74"/>
    <w:bookmarkEnd w:id="73"/>
    <w:p>
      <w:pPr>
        <w:ind w:firstLine="648"/>
        <w:spacing w:after="0" w:line="308" w:lineRule="auto"/>
        <w:rPr>
          <w:sz w:val="20"/>
          <w:szCs w:val="20"/>
          <w:color w:val="auto"/>
        </w:rPr>
      </w:pPr>
      <w:r>
        <w:rPr>
          <w:rFonts w:ascii="Arial" w:cs="Arial" w:eastAsia="Arial" w:hAnsi="Arial"/>
          <w:sz w:val="17"/>
          <w:szCs w:val="17"/>
          <w:color w:val="auto"/>
        </w:rPr>
        <w:t>This letter agreement may be executed in any number of counterparts and by different parties hereto in separate counterparts, each of which when so executed and delivered shall be deemed an original, but all of which counterparts together shall constitute but one and the same instrument.</w:t>
      </w:r>
    </w:p>
    <w:p>
      <w:pPr>
        <w:spacing w:after="0" w:line="14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HIGH TRAIL SPECIAL SITUATIONS LLC</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Eric Helenek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Eric Helenek</w:t>
      </w:r>
    </w:p>
    <w:p>
      <w:pPr>
        <w:spacing w:after="0" w:line="36"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ACKNOWLEDGED AND AGREED: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AGRIFY CORPORATION</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49428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Raymond Chang</w:t>
      </w:r>
    </w:p>
    <w:p>
      <w:pPr>
        <w:spacing w:after="0" w:line="3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4" w:name="page75"/>
    <w:bookmarkEnd w:id="74"/>
    <w:p>
      <w:pPr>
        <w:ind w:left="10120"/>
        <w:spacing w:after="0"/>
        <w:rPr>
          <w:sz w:val="20"/>
          <w:szCs w:val="20"/>
          <w:color w:val="auto"/>
        </w:rPr>
      </w:pPr>
      <w:r>
        <w:rPr>
          <w:rFonts w:ascii="Arial" w:cs="Arial" w:eastAsia="Arial" w:hAnsi="Arial"/>
          <w:sz w:val="19"/>
          <w:szCs w:val="19"/>
          <w:b w:val="1"/>
          <w:bCs w:val="1"/>
          <w:color w:val="auto"/>
        </w:rPr>
        <w:t>Exhibit 10.3</w:t>
      </w:r>
    </w:p>
    <w:p>
      <w:pPr>
        <w:spacing w:after="0" w:line="277"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CERTAIN IDENTIFIED INFORMATION HAS BEEN EXCLUDED FROM THIS EXHIBIT BECAUSE IT IS BOTH (I) NOT MATERIAL TO THE REGISTRANT AND (II) THE REGISTRANT CUSTOMARILY AND ACTUALLY TREATS SUCH INFORMATION AS PRIVATE OR CONFIDENTIAL. REDACTED PORTIONS OF THIS EXHIBIT ARE MARKED BY [***].</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MODIFICATION AND SETTLEMENT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This Modification and Settlement Agreement (the “</w:t>
      </w:r>
      <w:r>
        <w:rPr>
          <w:rFonts w:ascii="Arial" w:cs="Arial" w:eastAsia="Arial" w:hAnsi="Arial"/>
          <w:sz w:val="17"/>
          <w:szCs w:val="17"/>
          <w:b w:val="1"/>
          <w:bCs w:val="1"/>
          <w:color w:val="auto"/>
        </w:rPr>
        <w:t>Modification Agreement</w:t>
      </w:r>
      <w:r>
        <w:rPr>
          <w:rFonts w:ascii="Arial" w:cs="Arial" w:eastAsia="Arial" w:hAnsi="Arial"/>
          <w:sz w:val="17"/>
          <w:szCs w:val="17"/>
          <w:color w:val="auto"/>
        </w:rPr>
        <w:t>”) is hereby entered into by and between Agrify Corporation and its affiliates and subsidiaries (“</w:t>
      </w:r>
      <w:r>
        <w:rPr>
          <w:rFonts w:ascii="Arial" w:cs="Arial" w:eastAsia="Arial" w:hAnsi="Arial"/>
          <w:sz w:val="17"/>
          <w:szCs w:val="17"/>
          <w:b w:val="1"/>
          <w:bCs w:val="1"/>
          <w:color w:val="auto"/>
        </w:rPr>
        <w:t>Agrify</w:t>
      </w:r>
      <w:r>
        <w:rPr>
          <w:rFonts w:ascii="Arial" w:cs="Arial" w:eastAsia="Arial" w:hAnsi="Arial"/>
          <w:sz w:val="17"/>
          <w:szCs w:val="17"/>
          <w:color w:val="auto"/>
        </w:rPr>
        <w:t>”) on the one hand, and Mack Molding Company and its affiliates and subsidiaries (“</w:t>
      </w:r>
      <w:r>
        <w:rPr>
          <w:rFonts w:ascii="Arial" w:cs="Arial" w:eastAsia="Arial" w:hAnsi="Arial"/>
          <w:sz w:val="17"/>
          <w:szCs w:val="17"/>
          <w:b w:val="1"/>
          <w:bCs w:val="1"/>
          <w:color w:val="auto"/>
        </w:rPr>
        <w:t>Mack</w:t>
      </w:r>
      <w:r>
        <w:rPr>
          <w:rFonts w:ascii="Arial" w:cs="Arial" w:eastAsia="Arial" w:hAnsi="Arial"/>
          <w:sz w:val="17"/>
          <w:szCs w:val="17"/>
          <w:color w:val="auto"/>
        </w:rPr>
        <w:t>”) on the other hand, as of the date that all parties have signed the Agreement (the “</w:t>
      </w:r>
      <w:r>
        <w:rPr>
          <w:rFonts w:ascii="Arial" w:cs="Arial" w:eastAsia="Arial" w:hAnsi="Arial"/>
          <w:sz w:val="17"/>
          <w:szCs w:val="17"/>
          <w:b w:val="1"/>
          <w:bCs w:val="1"/>
          <w:color w:val="auto"/>
        </w:rPr>
        <w:t>Effective Date</w:t>
      </w:r>
      <w:r>
        <w:rPr>
          <w:rFonts w:ascii="Arial" w:cs="Arial" w:eastAsia="Arial" w:hAnsi="Arial"/>
          <w:sz w:val="17"/>
          <w:szCs w:val="17"/>
          <w:color w:val="auto"/>
        </w:rPr>
        <w:t>”). Agrify and Mack are referred to herein individually as a “</w:t>
      </w:r>
      <w:r>
        <w:rPr>
          <w:rFonts w:ascii="Arial" w:cs="Arial" w:eastAsia="Arial" w:hAnsi="Arial"/>
          <w:sz w:val="17"/>
          <w:szCs w:val="17"/>
          <w:b w:val="1"/>
          <w:bCs w:val="1"/>
          <w:color w:val="auto"/>
        </w:rPr>
        <w:t>Party</w:t>
      </w:r>
      <w:r>
        <w:rPr>
          <w:rFonts w:ascii="Arial" w:cs="Arial" w:eastAsia="Arial" w:hAnsi="Arial"/>
          <w:sz w:val="17"/>
          <w:szCs w:val="17"/>
          <w:color w:val="auto"/>
        </w:rPr>
        <w:t>,” and collectively, as the “</w:t>
      </w:r>
      <w:r>
        <w:rPr>
          <w:rFonts w:ascii="Arial" w:cs="Arial" w:eastAsia="Arial" w:hAnsi="Arial"/>
          <w:sz w:val="17"/>
          <w:szCs w:val="17"/>
          <w:b w:val="1"/>
          <w:bCs w:val="1"/>
          <w:color w:val="auto"/>
        </w:rPr>
        <w:t>Parties</w:t>
      </w:r>
      <w:r>
        <w:rPr>
          <w:rFonts w:ascii="Arial" w:cs="Arial" w:eastAsia="Arial" w:hAnsi="Arial"/>
          <w:sz w:val="17"/>
          <w:szCs w:val="17"/>
          <w:color w:val="auto"/>
        </w:rPr>
        <w:t>.” As used herein, the phrases “this Modification Agreement,” “hereto,” “hereunder,” and phrases of like import shall mean this Modification Agreement. All capitalized terms shall have the meanings ascribed to them in the Modification Agreement.</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Parties entered into a certain Supply Agreement effective December 7, 2020 (the “</w:t>
      </w:r>
      <w:r>
        <w:rPr>
          <w:rFonts w:ascii="Arial" w:cs="Arial" w:eastAsia="Arial" w:hAnsi="Arial"/>
          <w:sz w:val="18"/>
          <w:szCs w:val="18"/>
          <w:b w:val="1"/>
          <w:bCs w:val="1"/>
          <w:color w:val="auto"/>
        </w:rPr>
        <w:t>Supply Agreement</w:t>
      </w:r>
      <w:r>
        <w:rPr>
          <w:rFonts w:ascii="Arial" w:cs="Arial" w:eastAsia="Arial" w:hAnsi="Arial"/>
          <w:sz w:val="18"/>
          <w:szCs w:val="18"/>
          <w:color w:val="auto"/>
        </w:rPr>
        <w:t>”); and</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Mack claims Agrify is in default under the Supply Agreement for failing to pay at least $8,244,943.25 plus accrued interest and fees (“Claimed Outstanding Balance”); and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Parties agreed to a November 11, 2022 Repayment Plan and a January 9, 2023 Repayment Plan (together, the “Repayment Plans”), setting forth the terms under which Agrify would pay the amounts Mack claimed due and owing; and</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Mack has asserted that Agrify breached the Supply Agreement and Repayment Plans, and Mack filed a demand with the American Arbitration Association on or about March 2, 2023, docketed as AAA Case Number: 01-23-0000-8948 (the “</w:t>
      </w:r>
      <w:r>
        <w:rPr>
          <w:rFonts w:ascii="Arial" w:cs="Arial" w:eastAsia="Arial" w:hAnsi="Arial"/>
          <w:sz w:val="18"/>
          <w:szCs w:val="18"/>
          <w:b w:val="1"/>
          <w:bCs w:val="1"/>
          <w:color w:val="auto"/>
        </w:rPr>
        <w:t>Dispute</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Agrify denied liability with respect to the Dispute and asserted affirmative defenses as to the same; and</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the Parties have reached agreement for the resolution of the Dispute in order to avoid the expense of ongoing litigation and resolve all of their disputes and disagreements related to the Dispute on the terms set forth herein, without any express or implied admission of liability on the part of any Party; and</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Parties have entered into this Modification Agreement, which modifies and supplements the Supply Agreement and Repayment Agreements, to bring about such full resolution of the Dispute;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NOW, THEREFORE, the Parties, with the intent of totally ending and forever foreclosing all matters or potential matters in dispute between the Parties arising from or related to the Supply Agreement and/or Repayment Plans up to the time of this Modification Agreement, thereby assuring peace between the Parties based on such matters, in return for the mutual promises and consideration contained herein, the sufficiency of which is expressly acknowledged, agree as follows: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1</w:t>
      </w:r>
      <w:r>
        <w:rPr>
          <w:rFonts w:ascii="Arial" w:cs="Arial" w:eastAsia="Arial" w:hAnsi="Arial"/>
          <w:sz w:val="18"/>
          <w:szCs w:val="18"/>
          <w:color w:val="auto"/>
        </w:rPr>
        <w:t xml:space="preserve">. </w:t>
      </w:r>
      <w:r>
        <w:rPr>
          <w:rFonts w:ascii="Arial" w:cs="Arial" w:eastAsia="Arial" w:hAnsi="Arial"/>
          <w:sz w:val="18"/>
          <w:szCs w:val="18"/>
          <w:u w:val="single" w:color="auto"/>
          <w:color w:val="auto"/>
        </w:rPr>
        <w:t>Recitals</w:t>
      </w:r>
      <w:r>
        <w:rPr>
          <w:rFonts w:ascii="Arial" w:cs="Arial" w:eastAsia="Arial" w:hAnsi="Arial"/>
          <w:sz w:val="18"/>
          <w:szCs w:val="18"/>
          <w:color w:val="auto"/>
        </w:rPr>
        <w:t>. The foregoing recitals are incorporated into and form a part of this Modification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Settlement Consideration</w:t>
      </w:r>
      <w:r>
        <w:rPr>
          <w:rFonts w:ascii="Arial" w:cs="Arial" w:eastAsia="Arial" w:hAnsi="Arial"/>
          <w:sz w:val="16"/>
          <w:szCs w:val="16"/>
          <w:color w:val="auto"/>
        </w:rPr>
        <w:t>. In full settlement of the Claimed Outstanding Balance, the Parties agree to the following payments and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5" w:name="page76"/>
    <w:bookmarkEnd w:id="75"/>
    <w:p>
      <w:pPr>
        <w:ind w:left="328" w:hanging="328"/>
        <w:spacing w:after="0"/>
        <w:tabs>
          <w:tab w:leader="none" w:pos="328" w:val="left"/>
        </w:tabs>
        <w:numPr>
          <w:ilvl w:val="0"/>
          <w:numId w:val="71"/>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Payment</w:t>
      </w:r>
      <w:r>
        <w:rPr>
          <w:rFonts w:ascii="Arial" w:cs="Arial" w:eastAsia="Arial" w:hAnsi="Arial"/>
          <w:sz w:val="16"/>
          <w:szCs w:val="16"/>
          <w:color w:val="auto"/>
        </w:rPr>
        <w:t>. Agrify agrees to pay Mack and Mack agrees to accept $500,000 on or before November 1, 2023 and $250,000 on or before February 15,</w:t>
      </w:r>
    </w:p>
    <w:p>
      <w:pPr>
        <w:spacing w:after="0" w:line="46" w:lineRule="exact"/>
        <w:rPr>
          <w:rFonts w:ascii="Arial" w:cs="Arial" w:eastAsia="Arial" w:hAnsi="Arial"/>
          <w:sz w:val="16"/>
          <w:szCs w:val="16"/>
          <w:u w:val="single" w:color="auto"/>
          <w:color w:val="auto"/>
        </w:rPr>
      </w:pPr>
    </w:p>
    <w:p>
      <w:pPr>
        <w:ind w:left="328" w:right="2080"/>
        <w:spacing w:after="0" w:line="492" w:lineRule="auto"/>
        <w:rPr>
          <w:rFonts w:ascii="Arial" w:cs="Arial" w:eastAsia="Arial" w:hAnsi="Arial"/>
          <w:sz w:val="16"/>
          <w:szCs w:val="16"/>
          <w:u w:val="single" w:color="auto"/>
          <w:color w:val="auto"/>
        </w:rPr>
      </w:pPr>
      <w:r>
        <w:rPr>
          <w:rFonts w:ascii="Arial" w:cs="Arial" w:eastAsia="Arial" w:hAnsi="Arial"/>
          <w:sz w:val="18"/>
          <w:szCs w:val="18"/>
          <w:color w:val="auto"/>
        </w:rPr>
        <w:t>2024 (together, the “</w:t>
      </w:r>
      <w:r>
        <w:rPr>
          <w:rFonts w:ascii="Arial" w:cs="Arial" w:eastAsia="Arial" w:hAnsi="Arial"/>
          <w:sz w:val="18"/>
          <w:szCs w:val="18"/>
          <w:b w:val="1"/>
          <w:bCs w:val="1"/>
          <w:color w:val="auto"/>
        </w:rPr>
        <w:t>Settlement Payment</w:t>
      </w:r>
      <w:r>
        <w:rPr>
          <w:rFonts w:ascii="Arial" w:cs="Arial" w:eastAsia="Arial" w:hAnsi="Arial"/>
          <w:sz w:val="18"/>
          <w:szCs w:val="18"/>
          <w:color w:val="auto"/>
        </w:rPr>
        <w:t>”). Agrify shall tender such payments pursuant to the following instructions: Wire transfer to:</w:t>
      </w:r>
    </w:p>
    <w:p>
      <w:pPr>
        <w:spacing w:after="0" w:line="1" w:lineRule="exact"/>
        <w:rPr>
          <w:rFonts w:ascii="Arial" w:cs="Arial" w:eastAsia="Arial" w:hAnsi="Arial"/>
          <w:sz w:val="16"/>
          <w:szCs w:val="16"/>
          <w:u w:val="single" w:color="auto"/>
          <w:color w:val="auto"/>
        </w:rPr>
      </w:pPr>
    </w:p>
    <w:p>
      <w:pPr>
        <w:ind w:left="328"/>
        <w:spacing w:after="0"/>
        <w:rPr>
          <w:rFonts w:ascii="Arial" w:cs="Arial" w:eastAsia="Arial" w:hAnsi="Arial"/>
          <w:sz w:val="16"/>
          <w:szCs w:val="16"/>
          <w:u w:val="single" w:color="auto"/>
          <w:color w:val="auto"/>
        </w:rPr>
      </w:pPr>
      <w:r>
        <w:rPr>
          <w:rFonts w:ascii="Arial" w:cs="Arial" w:eastAsia="Arial" w:hAnsi="Arial"/>
          <w:sz w:val="18"/>
          <w:szCs w:val="18"/>
          <w:color w:val="auto"/>
        </w:rPr>
        <w:t>Truist Bank</w:t>
      </w:r>
    </w:p>
    <w:p>
      <w:pPr>
        <w:spacing w:after="0" w:line="23" w:lineRule="exact"/>
        <w:rPr>
          <w:rFonts w:ascii="Arial" w:cs="Arial" w:eastAsia="Arial" w:hAnsi="Arial"/>
          <w:sz w:val="16"/>
          <w:szCs w:val="16"/>
          <w:u w:val="single" w:color="auto"/>
          <w:color w:val="auto"/>
        </w:rPr>
      </w:pPr>
    </w:p>
    <w:p>
      <w:pPr>
        <w:ind w:left="328" w:right="8900"/>
        <w:spacing w:after="0" w:line="300" w:lineRule="auto"/>
        <w:rPr>
          <w:rFonts w:ascii="Arial" w:cs="Arial" w:eastAsia="Arial" w:hAnsi="Arial"/>
          <w:sz w:val="16"/>
          <w:szCs w:val="16"/>
          <w:u w:val="single" w:color="auto"/>
          <w:color w:val="auto"/>
        </w:rPr>
      </w:pPr>
      <w:r>
        <w:rPr>
          <w:rFonts w:ascii="Arial" w:cs="Arial" w:eastAsia="Arial" w:hAnsi="Arial"/>
          <w:sz w:val="15"/>
          <w:szCs w:val="15"/>
          <w:color w:val="auto"/>
        </w:rPr>
        <w:t>380 East Main Street Spartanburg, SC 29302 ABA #053201607 Swift #BRBTUS33</w:t>
      </w:r>
    </w:p>
    <w:p>
      <w:pPr>
        <w:spacing w:after="0" w:line="1" w:lineRule="exact"/>
        <w:rPr>
          <w:rFonts w:ascii="Arial" w:cs="Arial" w:eastAsia="Arial" w:hAnsi="Arial"/>
          <w:sz w:val="16"/>
          <w:szCs w:val="16"/>
          <w:u w:val="single" w:color="auto"/>
          <w:color w:val="auto"/>
        </w:rPr>
      </w:pPr>
    </w:p>
    <w:p>
      <w:pPr>
        <w:ind w:left="328"/>
        <w:spacing w:after="0"/>
        <w:rPr>
          <w:rFonts w:ascii="Arial" w:cs="Arial" w:eastAsia="Arial" w:hAnsi="Arial"/>
          <w:sz w:val="16"/>
          <w:szCs w:val="16"/>
          <w:u w:val="single" w:color="auto"/>
          <w:color w:val="auto"/>
        </w:rPr>
      </w:pPr>
      <w:r>
        <w:rPr>
          <w:rFonts w:ascii="Arial" w:cs="Arial" w:eastAsia="Arial" w:hAnsi="Arial"/>
          <w:sz w:val="18"/>
          <w:szCs w:val="18"/>
          <w:color w:val="auto"/>
        </w:rPr>
        <w:t>For the Account of: Mack Molding Co., Inc., Account #0005125578359</w:t>
      </w:r>
    </w:p>
    <w:p>
      <w:pPr>
        <w:spacing w:after="0" w:line="210" w:lineRule="exact"/>
        <w:rPr>
          <w:rFonts w:ascii="Arial" w:cs="Arial" w:eastAsia="Arial" w:hAnsi="Arial"/>
          <w:sz w:val="16"/>
          <w:szCs w:val="16"/>
          <w:u w:val="single" w:color="auto"/>
          <w:color w:val="auto"/>
        </w:rPr>
      </w:pPr>
    </w:p>
    <w:p>
      <w:pPr>
        <w:ind w:left="328" w:hanging="328"/>
        <w:spacing w:after="0"/>
        <w:tabs>
          <w:tab w:leader="none" w:pos="328" w:val="left"/>
        </w:tabs>
        <w:numPr>
          <w:ilvl w:val="0"/>
          <w:numId w:val="7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VFUs</w:t>
      </w:r>
      <w:r>
        <w:rPr>
          <w:rFonts w:ascii="Arial" w:cs="Arial" w:eastAsia="Arial" w:hAnsi="Arial"/>
          <w:sz w:val="18"/>
          <w:szCs w:val="18"/>
          <w:color w:val="auto"/>
        </w:rPr>
        <w:t>.</w:t>
      </w:r>
    </w:p>
    <w:p>
      <w:pPr>
        <w:spacing w:after="0" w:line="252" w:lineRule="exact"/>
        <w:rPr>
          <w:rFonts w:ascii="Arial" w:cs="Arial" w:eastAsia="Arial" w:hAnsi="Arial"/>
          <w:sz w:val="18"/>
          <w:szCs w:val="18"/>
          <w:u w:val="single" w:color="auto"/>
          <w:color w:val="auto"/>
        </w:rPr>
      </w:pPr>
    </w:p>
    <w:p>
      <w:pPr>
        <w:ind w:left="648" w:right="20" w:hanging="324"/>
        <w:spacing w:after="0" w:line="277" w:lineRule="auto"/>
        <w:tabs>
          <w:tab w:leader="none" w:pos="648" w:val="left"/>
        </w:tabs>
        <w:numPr>
          <w:ilvl w:val="1"/>
          <w:numId w:val="71"/>
        </w:numPr>
        <w:rPr>
          <w:rFonts w:ascii="Arial" w:cs="Arial" w:eastAsia="Arial" w:hAnsi="Arial"/>
          <w:sz w:val="18"/>
          <w:szCs w:val="18"/>
          <w:color w:val="auto"/>
        </w:rPr>
      </w:pPr>
      <w:r>
        <w:rPr>
          <w:rFonts w:ascii="Arial" w:cs="Arial" w:eastAsia="Arial" w:hAnsi="Arial"/>
          <w:sz w:val="18"/>
          <w:szCs w:val="18"/>
          <w:color w:val="auto"/>
        </w:rPr>
        <w:t>Agrify shall be entitled to take possession of the [***] VFUs Mack had assembled per the Supply Agreement any time, upon reasonable notice, after the November 1, 2023 payment is indefeasibly received by Mack.</w:t>
      </w:r>
    </w:p>
    <w:p>
      <w:pPr>
        <w:spacing w:after="0" w:line="170" w:lineRule="exact"/>
        <w:rPr>
          <w:rFonts w:ascii="Arial" w:cs="Arial" w:eastAsia="Arial" w:hAnsi="Arial"/>
          <w:sz w:val="18"/>
          <w:szCs w:val="18"/>
          <w:color w:val="auto"/>
        </w:rPr>
      </w:pPr>
    </w:p>
    <w:p>
      <w:pPr>
        <w:jc w:val="both"/>
        <w:ind w:left="648" w:hanging="324"/>
        <w:spacing w:after="0" w:line="268" w:lineRule="auto"/>
        <w:tabs>
          <w:tab w:leader="none" w:pos="648" w:val="left"/>
        </w:tabs>
        <w:numPr>
          <w:ilvl w:val="1"/>
          <w:numId w:val="71"/>
        </w:numPr>
        <w:rPr>
          <w:rFonts w:ascii="Arial" w:cs="Arial" w:eastAsia="Arial" w:hAnsi="Arial"/>
          <w:sz w:val="17"/>
          <w:szCs w:val="17"/>
          <w:color w:val="auto"/>
        </w:rPr>
      </w:pPr>
      <w:r>
        <w:rPr>
          <w:rFonts w:ascii="Arial" w:cs="Arial" w:eastAsia="Arial" w:hAnsi="Arial"/>
          <w:sz w:val="17"/>
          <w:szCs w:val="17"/>
          <w:color w:val="auto"/>
        </w:rPr>
        <w:t xml:space="preserve">Agrify agrees to purchase from Mack a minimum of 25 VFUs per quarter for each of the 4 quarters in 2024 (for a minimum 100 VFUs in 2024) and 50 VFUs per quarter for 6 quarters starting in the first quarter of 2025 (for a minimum of 300 total VFUs in 2025 and first half of 2026 being purchased). The purchase price per unit is $[***]. Payments for all orders shall be due 15 days after shipment from Mack to Agrify’s designated location and Agrify’s receipt of an invoice for such product shipped provided, however, if Agrify does not place orders for the minimum VFUs each quarter, Agrify shall pay at the end of each quarter the difference between the required quarterly minimum order and the actual order placed for said quarter. By way of example only, if $[***] of orders is due in a quarter and Agrify only orders $[***] of VFUs for that quarter payment of $[***] shall be due within 15 days of shipment and the balance of $[***] shall be due at the end of the specific quarter. All inventory owned by Agrify and consigned to Mack as reflected on </w:t>
      </w:r>
      <w:r>
        <w:rPr>
          <w:rFonts w:ascii="Arial" w:cs="Arial" w:eastAsia="Arial" w:hAnsi="Arial"/>
          <w:sz w:val="17"/>
          <w:szCs w:val="17"/>
          <w:u w:val="single" w:color="auto"/>
          <w:color w:val="auto"/>
        </w:rPr>
        <w:t>Exhibit 1</w:t>
      </w:r>
      <w:r>
        <w:rPr>
          <w:rFonts w:ascii="Arial" w:cs="Arial" w:eastAsia="Arial" w:hAnsi="Arial"/>
          <w:sz w:val="17"/>
          <w:szCs w:val="17"/>
          <w:color w:val="auto"/>
        </w:rPr>
        <w:t xml:space="preserve"> and all inventory currently owned by Mack as reflected on </w:t>
      </w:r>
      <w:r>
        <w:rPr>
          <w:rFonts w:ascii="Arial" w:cs="Arial" w:eastAsia="Arial" w:hAnsi="Arial"/>
          <w:sz w:val="17"/>
          <w:szCs w:val="17"/>
          <w:u w:val="single" w:color="auto"/>
          <w:color w:val="auto"/>
        </w:rPr>
        <w:t>Exhibit 2</w:t>
      </w:r>
      <w:r>
        <w:rPr>
          <w:rFonts w:ascii="Arial" w:cs="Arial" w:eastAsia="Arial" w:hAnsi="Arial"/>
          <w:sz w:val="17"/>
          <w:szCs w:val="17"/>
          <w:color w:val="auto"/>
        </w:rPr>
        <w:t>, will be used to make the 400 VFUs. If there is any shortfall in materials, Agrify will provide the necessary materials. By way of illustration only, Mack is permitted to build out the first [***] units with materials on hand, while the next [***] units would require Agrify to supply Mack the three-way valve (approximately $[***] per valve) and the fan coil assembly (approximately $180 per assembly). Units [***]-[***] would require additional consigned parts. Failure by Agrify or third-party suppliers to provide these parts, unless due to a Force Majeure Event (as such term is defined in the Supply Agreement) shall not excuse Agrify from paying for the VFUs committed to and agreed upon in this Modification Agreement.</w:t>
      </w:r>
    </w:p>
    <w:p>
      <w:pPr>
        <w:spacing w:after="0" w:line="184" w:lineRule="exact"/>
        <w:rPr>
          <w:rFonts w:ascii="Arial" w:cs="Arial" w:eastAsia="Arial" w:hAnsi="Arial"/>
          <w:sz w:val="17"/>
          <w:szCs w:val="17"/>
          <w:color w:val="auto"/>
        </w:rPr>
      </w:pPr>
    </w:p>
    <w:p>
      <w:pPr>
        <w:jc w:val="both"/>
        <w:ind w:left="648" w:hanging="324"/>
        <w:spacing w:after="0" w:line="301" w:lineRule="auto"/>
        <w:tabs>
          <w:tab w:leader="none" w:pos="648" w:val="left"/>
        </w:tabs>
        <w:numPr>
          <w:ilvl w:val="1"/>
          <w:numId w:val="71"/>
        </w:numPr>
        <w:rPr>
          <w:rFonts w:ascii="Arial" w:cs="Arial" w:eastAsia="Arial" w:hAnsi="Arial"/>
          <w:sz w:val="16"/>
          <w:szCs w:val="16"/>
          <w:color w:val="auto"/>
        </w:rPr>
      </w:pPr>
      <w:r>
        <w:rPr>
          <w:rFonts w:ascii="Arial" w:cs="Arial" w:eastAsia="Arial" w:hAnsi="Arial"/>
          <w:sz w:val="16"/>
          <w:szCs w:val="16"/>
          <w:color w:val="auto"/>
        </w:rPr>
        <w:t xml:space="preserve">With respect to any VFUs that Agrify purchases from Mack pursuant to this Modification Agreement, the provisions contained in Sections 1, 2(c), 2(f) (except as it relates to the aforementioned [***] VFUs, because the title for same has transferred to Agrify hereby), 5, 6(b)-(d), 8, 10, 12, 13, 14, 15, 16, 18, and 19 of the Supply Agreement shall apply to such transactions, </w:t>
      </w:r>
      <w:r>
        <w:rPr>
          <w:rFonts w:ascii="Arial" w:cs="Arial" w:eastAsia="Arial" w:hAnsi="Arial"/>
          <w:sz w:val="16"/>
          <w:szCs w:val="16"/>
          <w:i w:val="1"/>
          <w:iCs w:val="1"/>
          <w:color w:val="auto"/>
        </w:rPr>
        <w:t>mutatis mutandis</w:t>
      </w:r>
      <w:r>
        <w:rPr>
          <w:rFonts w:ascii="Arial" w:cs="Arial" w:eastAsia="Arial" w:hAnsi="Arial"/>
          <w:sz w:val="16"/>
          <w:szCs w:val="16"/>
          <w:color w:val="auto"/>
        </w:rPr>
        <w:t>, to the extent not expressly inconsistent with any provision in this Modification Agreement. All VFUs subject hereto must meet Agrify’s original design standards.</w:t>
      </w:r>
    </w:p>
    <w:p>
      <w:pPr>
        <w:spacing w:after="0" w:line="373"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35" w:right="339" w:bottom="1440" w:gutter="0" w:footer="0" w:header="0"/>
        </w:sectPr>
      </w:pPr>
    </w:p>
    <w:bookmarkStart w:id="76" w:name="page77"/>
    <w:bookmarkEnd w:id="76"/>
    <w:p>
      <w:pPr>
        <w:jc w:val="both"/>
        <w:ind w:left="648" w:hanging="324"/>
        <w:spacing w:after="0" w:line="290" w:lineRule="auto"/>
        <w:tabs>
          <w:tab w:leader="none" w:pos="648" w:val="left"/>
        </w:tabs>
        <w:numPr>
          <w:ilvl w:val="1"/>
          <w:numId w:val="72"/>
        </w:numPr>
        <w:rPr>
          <w:rFonts w:ascii="Arial" w:cs="Arial" w:eastAsia="Arial" w:hAnsi="Arial"/>
          <w:sz w:val="16"/>
          <w:szCs w:val="16"/>
          <w:color w:val="auto"/>
        </w:rPr>
      </w:pPr>
      <w:r>
        <w:rPr>
          <w:rFonts w:ascii="Arial" w:cs="Arial" w:eastAsia="Arial" w:hAnsi="Arial"/>
          <w:sz w:val="16"/>
          <w:szCs w:val="16"/>
          <w:color w:val="auto"/>
        </w:rPr>
        <w:t xml:space="preserve">The Parties hereby acknowledge that the property identified on </w:t>
      </w:r>
      <w:r>
        <w:rPr>
          <w:rFonts w:ascii="Arial" w:cs="Arial" w:eastAsia="Arial" w:hAnsi="Arial"/>
          <w:sz w:val="16"/>
          <w:szCs w:val="16"/>
          <w:u w:val="single" w:color="auto"/>
          <w:color w:val="auto"/>
        </w:rPr>
        <w:t>Exhibit 1</w:t>
      </w:r>
      <w:r>
        <w:rPr>
          <w:rFonts w:ascii="Arial" w:cs="Arial" w:eastAsia="Arial" w:hAnsi="Arial"/>
          <w:sz w:val="16"/>
          <w:szCs w:val="16"/>
          <w:color w:val="auto"/>
        </w:rPr>
        <w:t xml:space="preserve"> hereto (the “Property”) is the property of Agrify. Mack hereby confirms that it has no right, title or other interest in or claim to the Property (the “Claims”); but, for purposes of clarity, to extent it has such Claims, Mack hereby conveys, assigns and otherwise transfers all of its rights, title and interest in the Claims to Agrify in its entirety. Mack further represents and warrants that the Property is being transferred free and clear of all liens and encumbrances and interests of any party therein, it being understood and agreed that Mack makes no representation regarding whether any creditor of Agrify may assert liens or encumbrances on the Property. If, and only if, Agrify timely and indefeasibly makes all payments required to Mack under this Agreement, including without limitation, the payments required by Sections 2A, 2B and 2C, following receipt of all such payments Mack shall transfer to Agrify any residual VFU inventory reflected on </w:t>
      </w:r>
      <w:r>
        <w:rPr>
          <w:rFonts w:ascii="Arial" w:cs="Arial" w:eastAsia="Arial" w:hAnsi="Arial"/>
          <w:sz w:val="16"/>
          <w:szCs w:val="16"/>
          <w:u w:val="single" w:color="auto"/>
          <w:color w:val="auto"/>
        </w:rPr>
        <w:t>Exhibit 2</w:t>
      </w:r>
      <w:r>
        <w:rPr>
          <w:rFonts w:ascii="Arial" w:cs="Arial" w:eastAsia="Arial" w:hAnsi="Arial"/>
          <w:sz w:val="16"/>
          <w:szCs w:val="16"/>
          <w:color w:val="auto"/>
        </w:rPr>
        <w:t xml:space="preserve"> including parts and assemblies free and clear of all liens, claims and encumbrances.</w:t>
      </w:r>
    </w:p>
    <w:p>
      <w:pPr>
        <w:spacing w:after="0" w:line="165" w:lineRule="exact"/>
        <w:rPr>
          <w:rFonts w:ascii="Arial" w:cs="Arial" w:eastAsia="Arial" w:hAnsi="Arial"/>
          <w:sz w:val="16"/>
          <w:szCs w:val="16"/>
          <w:color w:val="auto"/>
        </w:rPr>
      </w:pPr>
    </w:p>
    <w:p>
      <w:pPr>
        <w:ind w:left="328" w:hanging="328"/>
        <w:spacing w:after="0"/>
        <w:tabs>
          <w:tab w:leader="none" w:pos="328" w:val="left"/>
        </w:tabs>
        <w:numPr>
          <w:ilvl w:val="0"/>
          <w:numId w:val="7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Storage fee.</w:t>
      </w:r>
    </w:p>
    <w:p>
      <w:pPr>
        <w:spacing w:after="0" w:line="221" w:lineRule="exact"/>
        <w:rPr>
          <w:rFonts w:ascii="Arial" w:cs="Arial" w:eastAsia="Arial" w:hAnsi="Arial"/>
          <w:sz w:val="18"/>
          <w:szCs w:val="18"/>
          <w:u w:val="single" w:color="auto"/>
          <w:color w:val="auto"/>
        </w:rPr>
      </w:pPr>
    </w:p>
    <w:p>
      <w:pPr>
        <w:jc w:val="both"/>
        <w:ind w:left="328" w:right="20"/>
        <w:spacing w:after="0" w:line="289" w:lineRule="auto"/>
        <w:rPr>
          <w:rFonts w:ascii="Arial" w:cs="Arial" w:eastAsia="Arial" w:hAnsi="Arial"/>
          <w:sz w:val="18"/>
          <w:szCs w:val="18"/>
          <w:u w:val="single" w:color="auto"/>
          <w:color w:val="auto"/>
        </w:rPr>
      </w:pPr>
      <w:r>
        <w:rPr>
          <w:rFonts w:ascii="Arial" w:cs="Arial" w:eastAsia="Arial" w:hAnsi="Arial"/>
          <w:sz w:val="17"/>
          <w:szCs w:val="17"/>
          <w:color w:val="auto"/>
        </w:rPr>
        <w:t>Commencing upon October 1, 2023 and the first day of each month following execution of this Modification Agreement (the “</w:t>
      </w:r>
      <w:r>
        <w:rPr>
          <w:rFonts w:ascii="Arial" w:cs="Arial" w:eastAsia="Arial" w:hAnsi="Arial"/>
          <w:sz w:val="17"/>
          <w:szCs w:val="17"/>
          <w:b w:val="1"/>
          <w:bCs w:val="1"/>
          <w:color w:val="auto"/>
        </w:rPr>
        <w:t>Closing</w:t>
      </w:r>
      <w:r>
        <w:rPr>
          <w:rFonts w:ascii="Arial" w:cs="Arial" w:eastAsia="Arial" w:hAnsi="Arial"/>
          <w:sz w:val="17"/>
          <w:szCs w:val="17"/>
          <w:color w:val="auto"/>
        </w:rPr>
        <w:t>”), Agrify shall pay Mack $25,000 per month (the “</w:t>
      </w:r>
      <w:r>
        <w:rPr>
          <w:rFonts w:ascii="Arial" w:cs="Arial" w:eastAsia="Arial" w:hAnsi="Arial"/>
          <w:sz w:val="17"/>
          <w:szCs w:val="17"/>
          <w:b w:val="1"/>
          <w:bCs w:val="1"/>
          <w:color w:val="auto"/>
        </w:rPr>
        <w:t>Storage Fee</w:t>
      </w:r>
      <w:r>
        <w:rPr>
          <w:rFonts w:ascii="Arial" w:cs="Arial" w:eastAsia="Arial" w:hAnsi="Arial"/>
          <w:sz w:val="17"/>
          <w:szCs w:val="17"/>
          <w:color w:val="auto"/>
        </w:rPr>
        <w:t>”) to store those VFUs subject to this Modification Agreement, which are stored at Mack facilities (the “</w:t>
      </w:r>
      <w:r>
        <w:rPr>
          <w:rFonts w:ascii="Arial" w:cs="Arial" w:eastAsia="Arial" w:hAnsi="Arial"/>
          <w:sz w:val="17"/>
          <w:szCs w:val="17"/>
          <w:b w:val="1"/>
          <w:bCs w:val="1"/>
          <w:color w:val="auto"/>
        </w:rPr>
        <w:t>Premises</w:t>
      </w:r>
      <w:r>
        <w:rPr>
          <w:rFonts w:ascii="Arial" w:cs="Arial" w:eastAsia="Arial" w:hAnsi="Arial"/>
          <w:sz w:val="17"/>
          <w:szCs w:val="17"/>
          <w:color w:val="auto"/>
        </w:rPr>
        <w:t>”). Payment of the Storage Fee will not reduce the Stipulated Amount (as defined below).</w:t>
      </w:r>
    </w:p>
    <w:p>
      <w:pPr>
        <w:spacing w:after="0" w:line="161" w:lineRule="exact"/>
        <w:rPr>
          <w:rFonts w:ascii="Arial" w:cs="Arial" w:eastAsia="Arial" w:hAnsi="Arial"/>
          <w:sz w:val="18"/>
          <w:szCs w:val="18"/>
          <w:u w:val="single" w:color="auto"/>
          <w:color w:val="auto"/>
        </w:rPr>
      </w:pPr>
    </w:p>
    <w:p>
      <w:pPr>
        <w:ind w:left="328" w:hanging="328"/>
        <w:spacing w:after="0"/>
        <w:tabs>
          <w:tab w:leader="none" w:pos="328" w:val="left"/>
        </w:tabs>
        <w:numPr>
          <w:ilvl w:val="0"/>
          <w:numId w:val="7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Warrant</w:t>
      </w:r>
      <w:r>
        <w:rPr>
          <w:rFonts w:ascii="Arial" w:cs="Arial" w:eastAsia="Arial" w:hAnsi="Arial"/>
          <w:sz w:val="18"/>
          <w:szCs w:val="18"/>
          <w:color w:val="auto"/>
        </w:rPr>
        <w:t>.</w:t>
      </w:r>
    </w:p>
    <w:p>
      <w:pPr>
        <w:spacing w:after="0" w:line="225" w:lineRule="exact"/>
        <w:rPr>
          <w:rFonts w:ascii="Arial" w:cs="Arial" w:eastAsia="Arial" w:hAnsi="Arial"/>
          <w:sz w:val="18"/>
          <w:szCs w:val="18"/>
          <w:u w:val="single" w:color="auto"/>
          <w:color w:val="auto"/>
        </w:rPr>
      </w:pPr>
    </w:p>
    <w:p>
      <w:pPr>
        <w:jc w:val="both"/>
        <w:ind w:left="648" w:hanging="324"/>
        <w:spacing w:after="0" w:line="257" w:lineRule="auto"/>
        <w:tabs>
          <w:tab w:leader="none" w:pos="648" w:val="left"/>
        </w:tabs>
        <w:numPr>
          <w:ilvl w:val="1"/>
          <w:numId w:val="7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Issuance of Warrant</w:t>
      </w:r>
      <w:r>
        <w:rPr>
          <w:rFonts w:ascii="Arial" w:cs="Arial" w:eastAsia="Arial" w:hAnsi="Arial"/>
          <w:sz w:val="18"/>
          <w:szCs w:val="18"/>
          <w:color w:val="auto"/>
        </w:rPr>
        <w:t>. As partial consideration for the releases and agreements by Mack contained in this Modification Agreement, at the Closing, Agrify shall issue to Mack a warrant (the “</w:t>
      </w:r>
      <w:r>
        <w:rPr>
          <w:rFonts w:ascii="Arial" w:cs="Arial" w:eastAsia="Arial" w:hAnsi="Arial"/>
          <w:sz w:val="18"/>
          <w:szCs w:val="18"/>
          <w:b w:val="1"/>
          <w:bCs w:val="1"/>
          <w:color w:val="auto"/>
        </w:rPr>
        <w:t>Warrant</w:t>
      </w:r>
      <w:r>
        <w:rPr>
          <w:rFonts w:ascii="Arial" w:cs="Arial" w:eastAsia="Arial" w:hAnsi="Arial"/>
          <w:sz w:val="18"/>
          <w:szCs w:val="18"/>
          <w:color w:val="auto"/>
        </w:rPr>
        <w:t>”) to purchase up to 750,000 shares of Agrify common stock, par value $0.001 per share (the “</w:t>
      </w:r>
      <w:r>
        <w:rPr>
          <w:rFonts w:ascii="Arial" w:cs="Arial" w:eastAsia="Arial" w:hAnsi="Arial"/>
          <w:sz w:val="18"/>
          <w:szCs w:val="18"/>
          <w:b w:val="1"/>
          <w:bCs w:val="1"/>
          <w:color w:val="auto"/>
        </w:rPr>
        <w:t>Warrant Shares</w:t>
      </w:r>
      <w:r>
        <w:rPr>
          <w:rFonts w:ascii="Arial" w:cs="Arial" w:eastAsia="Arial" w:hAnsi="Arial"/>
          <w:sz w:val="18"/>
          <w:szCs w:val="18"/>
          <w:color w:val="auto"/>
        </w:rPr>
        <w:t>” and, collectively, with the Warrants, the “</w:t>
      </w:r>
      <w:r>
        <w:rPr>
          <w:rFonts w:ascii="Arial" w:cs="Arial" w:eastAsia="Arial" w:hAnsi="Arial"/>
          <w:sz w:val="18"/>
          <w:szCs w:val="18"/>
          <w:b w:val="1"/>
          <w:bCs w:val="1"/>
          <w:color w:val="auto"/>
        </w:rPr>
        <w:t>Securities</w:t>
      </w:r>
      <w:r>
        <w:rPr>
          <w:rFonts w:ascii="Arial" w:cs="Arial" w:eastAsia="Arial" w:hAnsi="Arial"/>
          <w:sz w:val="18"/>
          <w:szCs w:val="18"/>
          <w:color w:val="auto"/>
        </w:rPr>
        <w:t xml:space="preserve">”). The Warrant shall be in substantially the form attached hereto as </w:t>
      </w:r>
      <w:r>
        <w:rPr>
          <w:rFonts w:ascii="Arial" w:cs="Arial" w:eastAsia="Arial" w:hAnsi="Arial"/>
          <w:sz w:val="18"/>
          <w:szCs w:val="18"/>
          <w:u w:val="single" w:color="auto"/>
          <w:color w:val="auto"/>
        </w:rPr>
        <w:t>Exhibit 3</w:t>
      </w:r>
      <w:r>
        <w:rPr>
          <w:rFonts w:ascii="Arial" w:cs="Arial" w:eastAsia="Arial" w:hAnsi="Arial"/>
          <w:sz w:val="18"/>
          <w:szCs w:val="18"/>
          <w:color w:val="auto"/>
        </w:rPr>
        <w:t>, shall be immediately exercisable at an exercise price per share of $4.00, and shall expire on the three (3) year anniversary of issuance.</w:t>
      </w:r>
    </w:p>
    <w:p>
      <w:pPr>
        <w:spacing w:after="0" w:line="200" w:lineRule="exact"/>
        <w:rPr>
          <w:sz w:val="20"/>
          <w:szCs w:val="20"/>
          <w:color w:val="auto"/>
        </w:rPr>
      </w:pPr>
    </w:p>
    <w:p>
      <w:pPr>
        <w:spacing w:after="0" w:line="20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8" w:right="339" w:bottom="1440" w:gutter="0" w:footer="0" w:header="0"/>
        </w:sectPr>
      </w:pPr>
    </w:p>
    <w:bookmarkStart w:id="77" w:name="page78"/>
    <w:bookmarkEnd w:id="77"/>
    <w:p>
      <w:pPr>
        <w:ind w:left="324" w:hanging="324"/>
        <w:spacing w:after="0"/>
        <w:tabs>
          <w:tab w:leader="none" w:pos="324" w:val="left"/>
        </w:tabs>
        <w:numPr>
          <w:ilvl w:val="0"/>
          <w:numId w:val="74"/>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Investment Representations of Mack</w:t>
      </w:r>
    </w:p>
    <w:p>
      <w:pPr>
        <w:spacing w:after="0" w:line="225" w:lineRule="exact"/>
        <w:rPr>
          <w:rFonts w:ascii="Arial" w:cs="Arial" w:eastAsia="Arial" w:hAnsi="Arial"/>
          <w:sz w:val="18"/>
          <w:szCs w:val="18"/>
          <w:u w:val="single" w:color="auto"/>
          <w:color w:val="auto"/>
        </w:rPr>
      </w:pPr>
    </w:p>
    <w:p>
      <w:pPr>
        <w:jc w:val="both"/>
        <w:ind w:left="644" w:hanging="320"/>
        <w:spacing w:after="0" w:line="253" w:lineRule="auto"/>
        <w:tabs>
          <w:tab w:leader="none" w:pos="644" w:val="left"/>
        </w:tabs>
        <w:numPr>
          <w:ilvl w:val="1"/>
          <w:numId w:val="74"/>
        </w:numPr>
        <w:rPr>
          <w:rFonts w:ascii="Arial" w:cs="Arial" w:eastAsia="Arial" w:hAnsi="Arial"/>
          <w:sz w:val="18"/>
          <w:szCs w:val="18"/>
          <w:color w:val="auto"/>
        </w:rPr>
      </w:pPr>
      <w:r>
        <w:rPr>
          <w:rFonts w:ascii="Arial" w:cs="Arial" w:eastAsia="Arial" w:hAnsi="Arial"/>
          <w:sz w:val="18"/>
          <w:szCs w:val="18"/>
          <w:color w:val="auto"/>
        </w:rPr>
        <w:t>Mack is acquiring the Securities as principal for its own account and has no direct or indirect arrangement or understandings with any other persons to distribute or regarding the distribution of such Securities (this representation and warranty not limiting Mack’s right to sell the Securities in compliance with applicable federal and state securities laws). Mack understands that the Securities are “restricted securities” and have not been registered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or any applicable state securities law and is acquiring the Securities as principal for its own account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not limiting Mack’s right to sell the Securities in compliance with applicable federal and state securities laws). Mack is acquiring the Securities hereunder in the ordinary course of its business.</w:t>
      </w:r>
    </w:p>
    <w:p>
      <w:pPr>
        <w:spacing w:after="0" w:line="191" w:lineRule="exact"/>
        <w:rPr>
          <w:rFonts w:ascii="Arial" w:cs="Arial" w:eastAsia="Arial" w:hAnsi="Arial"/>
          <w:sz w:val="18"/>
          <w:szCs w:val="18"/>
          <w:color w:val="auto"/>
        </w:rPr>
      </w:pPr>
    </w:p>
    <w:p>
      <w:pPr>
        <w:jc w:val="both"/>
        <w:ind w:left="644" w:hanging="320"/>
        <w:spacing w:after="0" w:line="263" w:lineRule="auto"/>
        <w:tabs>
          <w:tab w:leader="none" w:pos="644" w:val="left"/>
        </w:tabs>
        <w:numPr>
          <w:ilvl w:val="1"/>
          <w:numId w:val="74"/>
        </w:numPr>
        <w:rPr>
          <w:rFonts w:ascii="Arial" w:cs="Arial" w:eastAsia="Arial" w:hAnsi="Arial"/>
          <w:sz w:val="18"/>
          <w:szCs w:val="18"/>
          <w:color w:val="auto"/>
        </w:rPr>
      </w:pPr>
      <w:r>
        <w:rPr>
          <w:rFonts w:ascii="Arial" w:cs="Arial" w:eastAsia="Arial" w:hAnsi="Arial"/>
          <w:sz w:val="18"/>
          <w:szCs w:val="18"/>
          <w:color w:val="auto"/>
        </w:rPr>
        <w:t>At the time Mack was offered the Securities, it was, and as of the date hereof it is, and on each date on which it exercises the Warrant, it will be an “accredited investor” as defined in Rule 501(a)(1), (a)(2), (a)(3), (a)(7), (a)(8), (a)(9), (a)(12), or (a)(13) under the Securities Act.</w:t>
      </w:r>
    </w:p>
    <w:p>
      <w:pPr>
        <w:spacing w:after="0" w:line="183" w:lineRule="exact"/>
        <w:rPr>
          <w:rFonts w:ascii="Arial" w:cs="Arial" w:eastAsia="Arial" w:hAnsi="Arial"/>
          <w:sz w:val="18"/>
          <w:szCs w:val="18"/>
          <w:color w:val="auto"/>
        </w:rPr>
      </w:pPr>
    </w:p>
    <w:p>
      <w:pPr>
        <w:jc w:val="both"/>
        <w:ind w:left="644" w:hanging="320"/>
        <w:spacing w:after="0" w:line="259" w:lineRule="auto"/>
        <w:tabs>
          <w:tab w:leader="none" w:pos="644" w:val="left"/>
        </w:tabs>
        <w:numPr>
          <w:ilvl w:val="1"/>
          <w:numId w:val="74"/>
        </w:numPr>
        <w:rPr>
          <w:rFonts w:ascii="Arial" w:cs="Arial" w:eastAsia="Arial" w:hAnsi="Arial"/>
          <w:sz w:val="18"/>
          <w:szCs w:val="18"/>
          <w:color w:val="auto"/>
        </w:rPr>
      </w:pPr>
      <w:r>
        <w:rPr>
          <w:rFonts w:ascii="Arial" w:cs="Arial" w:eastAsia="Arial" w:hAnsi="Arial"/>
          <w:sz w:val="18"/>
          <w:szCs w:val="18"/>
          <w:color w:val="auto"/>
        </w:rPr>
        <w:t>Mack,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Mack is able to bear the economic risk of an investment in the Securities and, at the present time, is able to afford a complete loss of such investment.</w:t>
      </w:r>
    </w:p>
    <w:p>
      <w:pPr>
        <w:spacing w:after="0" w:line="186" w:lineRule="exact"/>
        <w:rPr>
          <w:rFonts w:ascii="Arial" w:cs="Arial" w:eastAsia="Arial" w:hAnsi="Arial"/>
          <w:sz w:val="18"/>
          <w:szCs w:val="18"/>
          <w:color w:val="auto"/>
        </w:rPr>
      </w:pPr>
    </w:p>
    <w:p>
      <w:pPr>
        <w:jc w:val="both"/>
        <w:ind w:left="644" w:hanging="320"/>
        <w:spacing w:after="0" w:line="263" w:lineRule="auto"/>
        <w:tabs>
          <w:tab w:leader="none" w:pos="644" w:val="left"/>
        </w:tabs>
        <w:numPr>
          <w:ilvl w:val="1"/>
          <w:numId w:val="74"/>
        </w:numPr>
        <w:rPr>
          <w:rFonts w:ascii="Arial" w:cs="Arial" w:eastAsia="Arial" w:hAnsi="Arial"/>
          <w:sz w:val="18"/>
          <w:szCs w:val="18"/>
          <w:color w:val="auto"/>
        </w:rPr>
      </w:pPr>
      <w:r>
        <w:rPr>
          <w:rFonts w:ascii="Arial" w:cs="Arial" w:eastAsia="Arial" w:hAnsi="Arial"/>
          <w:sz w:val="18"/>
          <w:szCs w:val="18"/>
          <w:color w:val="auto"/>
        </w:rPr>
        <w:t>Mack is not purchasing the Securities as a result of any advertisement, article, notice or other communication regarding the Securities published in any newspaper, magazine or similar media or broadcast over television or radio or presented at any seminar or any other general solicitation or general advertisement.</w:t>
      </w:r>
    </w:p>
    <w:p>
      <w:pPr>
        <w:spacing w:after="0" w:line="183" w:lineRule="exact"/>
        <w:rPr>
          <w:rFonts w:ascii="Arial" w:cs="Arial" w:eastAsia="Arial" w:hAnsi="Arial"/>
          <w:sz w:val="18"/>
          <w:szCs w:val="18"/>
          <w:color w:val="auto"/>
        </w:rPr>
      </w:pPr>
    </w:p>
    <w:p>
      <w:pPr>
        <w:jc w:val="both"/>
        <w:ind w:left="644" w:hanging="320"/>
        <w:spacing w:after="0" w:line="254" w:lineRule="auto"/>
        <w:tabs>
          <w:tab w:leader="none" w:pos="644" w:val="left"/>
        </w:tabs>
        <w:numPr>
          <w:ilvl w:val="1"/>
          <w:numId w:val="74"/>
        </w:numPr>
        <w:rPr>
          <w:rFonts w:ascii="Arial" w:cs="Arial" w:eastAsia="Arial" w:hAnsi="Arial"/>
          <w:sz w:val="18"/>
          <w:szCs w:val="18"/>
          <w:color w:val="auto"/>
        </w:rPr>
      </w:pPr>
      <w:r>
        <w:rPr>
          <w:rFonts w:ascii="Arial" w:cs="Arial" w:eastAsia="Arial" w:hAnsi="Arial"/>
          <w:sz w:val="18"/>
          <w:szCs w:val="18"/>
          <w:color w:val="auto"/>
        </w:rPr>
        <w:t>Mack acknowledges that it has had the opportunity to review this Modification Agreement, the form of Warrant and Agrify’s publicly available SEC filings and has been afforded (i) the opportunity to ask such questions as it has deemed necessary of, and to receive answers from, representatives of Agrify concerning the terms and conditions of the offering of the Securities and the merits and risks of investing in the Securities; (ii) access to information about Agrify and its financial condition, results of operations, business, properties, management and prospects sufficient to enable it to evaluate its investment; and (iii) the opportunity to obtain such additional information that Agrify possesses or can acquire without unreasonable effort or expense that is necessary to make an informed investment decision with respect to the investment.</w:t>
      </w:r>
    </w:p>
    <w:p>
      <w:pPr>
        <w:spacing w:after="0" w:line="200" w:lineRule="exact"/>
        <w:rPr>
          <w:sz w:val="20"/>
          <w:szCs w:val="20"/>
          <w:color w:val="auto"/>
        </w:rPr>
      </w:pPr>
    </w:p>
    <w:p>
      <w:pPr>
        <w:spacing w:after="0" w:line="211"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78" w:name="page79"/>
    <w:bookmarkEnd w:id="78"/>
    <w:p>
      <w:pPr>
        <w:ind w:left="328" w:hanging="328"/>
        <w:spacing w:after="0"/>
        <w:tabs>
          <w:tab w:leader="none" w:pos="328" w:val="left"/>
        </w:tabs>
        <w:numPr>
          <w:ilvl w:val="0"/>
          <w:numId w:val="7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Security Interest / Intercreditor</w:t>
      </w:r>
      <w:r>
        <w:rPr>
          <w:rFonts w:ascii="Arial" w:cs="Arial" w:eastAsia="Arial" w:hAnsi="Arial"/>
          <w:sz w:val="18"/>
          <w:szCs w:val="18"/>
          <w:color w:val="auto"/>
        </w:rPr>
        <w:t>.</w:t>
      </w:r>
    </w:p>
    <w:p>
      <w:pPr>
        <w:spacing w:after="0" w:line="225" w:lineRule="exact"/>
        <w:rPr>
          <w:rFonts w:ascii="Arial" w:cs="Arial" w:eastAsia="Arial" w:hAnsi="Arial"/>
          <w:sz w:val="18"/>
          <w:szCs w:val="18"/>
          <w:u w:val="single" w:color="auto"/>
          <w:color w:val="auto"/>
        </w:rPr>
      </w:pPr>
    </w:p>
    <w:p>
      <w:pPr>
        <w:jc w:val="both"/>
        <w:ind w:left="328"/>
        <w:spacing w:after="0" w:line="286" w:lineRule="auto"/>
        <w:rPr>
          <w:rFonts w:ascii="Arial" w:cs="Arial" w:eastAsia="Arial" w:hAnsi="Arial"/>
          <w:sz w:val="18"/>
          <w:szCs w:val="18"/>
          <w:u w:val="single" w:color="auto"/>
          <w:color w:val="auto"/>
        </w:rPr>
      </w:pPr>
      <w:r>
        <w:rPr>
          <w:rFonts w:ascii="Arial" w:cs="Arial" w:eastAsia="Arial" w:hAnsi="Arial"/>
          <w:sz w:val="16"/>
          <w:szCs w:val="16"/>
          <w:color w:val="auto"/>
        </w:rPr>
        <w:t>As collateral security for the full, prompt, complete and final payment and performance when due of all of Agrify’s obligations hereunder, Agrify hereby grants to Mack a subordinate second lien security interest in all of Agrify’s right, title and interest in, to and under all of Agrify’s assets, including, all of its goods, accounts, equipment, inventory, the Property, contract rights or rights to payment of money, leases, license agreements, franchise agreements, general intangibles, commercial tort claims, documents, instruments (including any promissory notes), chattel paper (whether tangible or electronic), cash, deposit accounts, fixtures, securities, and all other investment property, supporting obligations, and financial assets, whether now owned or hereafter acquired, wherever located (all of which being collectively referred to herein as the “</w:t>
      </w:r>
      <w:r>
        <w:rPr>
          <w:rFonts w:ascii="Arial" w:cs="Arial" w:eastAsia="Arial" w:hAnsi="Arial"/>
          <w:sz w:val="16"/>
          <w:szCs w:val="16"/>
          <w:b w:val="1"/>
          <w:bCs w:val="1"/>
          <w:color w:val="auto"/>
        </w:rPr>
        <w:t>Collateral</w:t>
      </w:r>
      <w:r>
        <w:rPr>
          <w:rFonts w:ascii="Arial" w:cs="Arial" w:eastAsia="Arial" w:hAnsi="Arial"/>
          <w:sz w:val="16"/>
          <w:szCs w:val="16"/>
          <w:color w:val="auto"/>
        </w:rPr>
        <w:t>”). Agrify hereby irrevocably authorizes Mack at any time and from time to time to file in any relevant jurisdiction any financing statements (including fixture filings) and amendments thereto that contain the information required by Article 9 of the Uniform Commercial Code of each applicable jurisdiction for the filing of any financing statement or amendment relating to the Collateral and may provide a description of the Collateral as “all assets now owned or hereafter acquired by the debtor” or similar verbiage. The parties intend for Mack’s security interest to be a second priority lien on all of the Collateral, subject to that certain Intercreditor Agreement by and between Mack and High Trail Special Situations LLC and its successors and assigns (the “</w:t>
      </w:r>
      <w:r>
        <w:rPr>
          <w:rFonts w:ascii="Arial" w:cs="Arial" w:eastAsia="Arial" w:hAnsi="Arial"/>
          <w:sz w:val="16"/>
          <w:szCs w:val="16"/>
          <w:b w:val="1"/>
          <w:bCs w:val="1"/>
          <w:color w:val="auto"/>
        </w:rPr>
        <w:t>Senior Lender</w:t>
      </w:r>
      <w:r>
        <w:rPr>
          <w:rFonts w:ascii="Arial" w:cs="Arial" w:eastAsia="Arial" w:hAnsi="Arial"/>
          <w:sz w:val="16"/>
          <w:szCs w:val="16"/>
          <w:color w:val="auto"/>
        </w:rPr>
        <w:t xml:space="preserve">”). Agrify hereby represents and warrants that Mack’s security interest is the only second priority lien on all of the Collateral. The Intercreditor Agreement shall be in substantially the form attached hereto as </w:t>
      </w:r>
      <w:r>
        <w:rPr>
          <w:rFonts w:ascii="Arial" w:cs="Arial" w:eastAsia="Arial" w:hAnsi="Arial"/>
          <w:sz w:val="16"/>
          <w:szCs w:val="16"/>
          <w:u w:val="single" w:color="auto"/>
          <w:color w:val="auto"/>
        </w:rPr>
        <w:t>Exhibit 4</w:t>
      </w:r>
      <w:r>
        <w:rPr>
          <w:rFonts w:ascii="Arial" w:cs="Arial" w:eastAsia="Arial" w:hAnsi="Arial"/>
          <w:sz w:val="16"/>
          <w:szCs w:val="16"/>
          <w:color w:val="auto"/>
        </w:rPr>
        <w:t xml:space="preserve"> and shall be executed prior to the execution of this Modification Agreement. In the event that the loan with the Senior Lender is refinanced with a new lender, Mack shall execute a new intercreditor agreement substantially in the form of Exhibit 2 for the benefit of such new lender.</w:t>
      </w:r>
    </w:p>
    <w:p>
      <w:pPr>
        <w:spacing w:after="0" w:line="167" w:lineRule="exact"/>
        <w:rPr>
          <w:rFonts w:ascii="Arial" w:cs="Arial" w:eastAsia="Arial" w:hAnsi="Arial"/>
          <w:sz w:val="18"/>
          <w:szCs w:val="18"/>
          <w:u w:val="single" w:color="auto"/>
          <w:color w:val="auto"/>
        </w:rPr>
      </w:pPr>
    </w:p>
    <w:p>
      <w:pPr>
        <w:jc w:val="both"/>
        <w:ind w:left="328"/>
        <w:spacing w:after="0" w:line="275" w:lineRule="auto"/>
        <w:rPr>
          <w:rFonts w:ascii="Arial" w:cs="Arial" w:eastAsia="Arial" w:hAnsi="Arial"/>
          <w:sz w:val="18"/>
          <w:szCs w:val="18"/>
          <w:u w:val="single" w:color="auto"/>
          <w:color w:val="auto"/>
        </w:rPr>
      </w:pPr>
      <w:r>
        <w:rPr>
          <w:rFonts w:ascii="Arial" w:cs="Arial" w:eastAsia="Arial" w:hAnsi="Arial"/>
          <w:sz w:val="17"/>
          <w:szCs w:val="17"/>
          <w:color w:val="auto"/>
        </w:rPr>
        <w:t>At the request of Mack, Agrify shall take such further actions, and execute and/or deliver to Mack such additional financing statements, amendments, assignments, agreements, supplements, powers and instruments, as Mack may in its reasonable judgment deem necessary or appropriate in order to perfect, preserve and protect the security interest in the Collateral as provided herein and the rights and interests granted to Mack hereunder, and enable Mack to exercise and enforce its rights, powers and remedies hereunder with respect to any Collateral. This Modification Agreement shall create a continuing security interest in the Collateral.</w:t>
      </w:r>
    </w:p>
    <w:p>
      <w:pPr>
        <w:spacing w:after="0" w:line="176" w:lineRule="exact"/>
        <w:rPr>
          <w:rFonts w:ascii="Arial" w:cs="Arial" w:eastAsia="Arial" w:hAnsi="Arial"/>
          <w:sz w:val="18"/>
          <w:szCs w:val="18"/>
          <w:u w:val="single" w:color="auto"/>
          <w:color w:val="auto"/>
        </w:rPr>
      </w:pPr>
    </w:p>
    <w:p>
      <w:pPr>
        <w:ind w:left="328" w:right="20"/>
        <w:spacing w:after="0" w:line="308" w:lineRule="auto"/>
        <w:rPr>
          <w:rFonts w:ascii="Arial" w:cs="Arial" w:eastAsia="Arial" w:hAnsi="Arial"/>
          <w:sz w:val="18"/>
          <w:szCs w:val="18"/>
          <w:u w:val="single" w:color="auto"/>
          <w:color w:val="auto"/>
        </w:rPr>
      </w:pPr>
      <w:r>
        <w:rPr>
          <w:rFonts w:ascii="Arial" w:cs="Arial" w:eastAsia="Arial" w:hAnsi="Arial"/>
          <w:sz w:val="17"/>
          <w:szCs w:val="17"/>
          <w:color w:val="auto"/>
        </w:rPr>
        <w:t>If any amount payable hereunder is not paid when due (following the expiration of any applicable grace periods), such overdue amount shall bear interest at rate of [***] percent ([***]%) per annum from the date of such non-payment until such overdue amount is paid in full.</w:t>
      </w:r>
    </w:p>
    <w:p>
      <w:pPr>
        <w:spacing w:after="0" w:line="362"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8" w:right="339" w:bottom="1440" w:gutter="0" w:footer="0" w:header="0"/>
        </w:sectPr>
      </w:pPr>
    </w:p>
    <w:bookmarkStart w:id="79" w:name="page80"/>
    <w:bookmarkEnd w:id="79"/>
    <w:p>
      <w:pPr>
        <w:jc w:val="both"/>
        <w:ind w:left="660" w:hanging="328"/>
        <w:spacing w:after="0" w:line="269" w:lineRule="auto"/>
        <w:tabs>
          <w:tab w:leader="none" w:pos="660" w:val="left"/>
        </w:tabs>
        <w:numPr>
          <w:ilvl w:val="0"/>
          <w:numId w:val="76"/>
        </w:numPr>
        <w:rPr>
          <w:rFonts w:ascii="Arial" w:cs="Arial" w:eastAsia="Arial" w:hAnsi="Arial"/>
          <w:sz w:val="17"/>
          <w:szCs w:val="17"/>
          <w:u w:val="single" w:color="auto"/>
          <w:color w:val="auto"/>
        </w:rPr>
      </w:pPr>
      <w:r>
        <w:rPr>
          <w:rFonts w:ascii="Arial" w:cs="Arial" w:eastAsia="Arial" w:hAnsi="Arial"/>
          <w:sz w:val="17"/>
          <w:szCs w:val="17"/>
          <w:color w:val="auto"/>
        </w:rPr>
        <w:t>Stipulation regarding amount owing to Mack under this Agreement. Agrify stipulates and agrees that it owes Mack a total of $8,244,943.25 (the “</w:t>
      </w:r>
      <w:r>
        <w:rPr>
          <w:rFonts w:ascii="Arial" w:cs="Arial" w:eastAsia="Arial" w:hAnsi="Arial"/>
          <w:sz w:val="17"/>
          <w:szCs w:val="17"/>
          <w:b w:val="1"/>
          <w:bCs w:val="1"/>
          <w:color w:val="auto"/>
        </w:rPr>
        <w:t>Stipulated Amount</w:t>
      </w:r>
      <w:r>
        <w:rPr>
          <w:rFonts w:ascii="Arial" w:cs="Arial" w:eastAsia="Arial" w:hAnsi="Arial"/>
          <w:sz w:val="17"/>
          <w:szCs w:val="17"/>
          <w:color w:val="auto"/>
        </w:rPr>
        <w:t>”) under this Agreement and that payments set forth in 2(A) and 2(C) above by Agrify must be made timely and that no grace periods apply. If Agrify timely and indefeasibly pays Mack $750,000 as required by Section 2(A) hereof and timely pays the Storage Fee through and including February, 2024, then the Stipulated Amount shall be reduced to $5,600,000. That $5,600,000 shall be further reduced by amounts Agrify pays Mack for the VFUs referenced in 2(B) above. In the event of a default under this Agreement, all amounts due hereunder will automatically be accelerated with no notice or demand required. Once Agrify satisfies the accelerated amount, if any, Mack shall deliver all remaining VFUs to Agrify as otherwise contemplated by this Agreement. Agrify expressly acknowledges and agrees and represents and warrants that in the event of a payment default consisting of the failure to timely make payment to Mack as required by Sections 2(A), 2(B) and 2(C) hereof, it will not impede any efforts by Mack to collect amounts due under this Agreement and that it has no defense, setoff, claim or counterclaim to payment of the Stipulated Amount less any amounts previously paid under this Agreement, provided, however, Agrify reserves all rights to raise any and all claims, counterclaims, defenses and rights of set-off if any, first arising following the Effective Date relating to Mack’s supply of VFUs.</w:t>
      </w:r>
    </w:p>
    <w:p>
      <w:pPr>
        <w:spacing w:after="0" w:line="17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u w:val="single" w:color="auto"/>
          <w:color w:val="auto"/>
        </w:rPr>
        <w:t>3</w:t>
      </w:r>
      <w:r>
        <w:rPr>
          <w:rFonts w:ascii="Arial" w:cs="Arial" w:eastAsia="Arial" w:hAnsi="Arial"/>
          <w:sz w:val="18"/>
          <w:szCs w:val="18"/>
          <w:color w:val="auto"/>
        </w:rPr>
        <w:t xml:space="preserve">. </w:t>
      </w:r>
      <w:r>
        <w:rPr>
          <w:rFonts w:ascii="Arial" w:cs="Arial" w:eastAsia="Arial" w:hAnsi="Arial"/>
          <w:sz w:val="18"/>
          <w:szCs w:val="18"/>
          <w:u w:val="single" w:color="auto"/>
          <w:color w:val="auto"/>
        </w:rPr>
        <w:t>Authorization</w:t>
      </w:r>
      <w:r>
        <w:rPr>
          <w:rFonts w:ascii="Arial" w:cs="Arial" w:eastAsia="Arial" w:hAnsi="Arial"/>
          <w:sz w:val="18"/>
          <w:szCs w:val="18"/>
          <w:color w:val="auto"/>
        </w:rPr>
        <w:t>. Each Party warrants and represents to the other Party that its execution of this Agreement, and performance of its obligations hereunder, has been duly authorized by all necessary corporate action of such Party.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4</w:t>
      </w:r>
      <w:r>
        <w:rPr>
          <w:rFonts w:ascii="Arial" w:cs="Arial" w:eastAsia="Arial" w:hAnsi="Arial"/>
          <w:sz w:val="18"/>
          <w:szCs w:val="18"/>
          <w:color w:val="auto"/>
        </w:rPr>
        <w:t xml:space="preserve">. </w:t>
      </w:r>
      <w:r>
        <w:rPr>
          <w:rFonts w:ascii="Arial" w:cs="Arial" w:eastAsia="Arial" w:hAnsi="Arial"/>
          <w:sz w:val="18"/>
          <w:szCs w:val="18"/>
          <w:u w:val="single" w:color="auto"/>
          <w:color w:val="auto"/>
        </w:rPr>
        <w:t>Taxes</w:t>
      </w:r>
      <w:r>
        <w:rPr>
          <w:rFonts w:ascii="Arial" w:cs="Arial" w:eastAsia="Arial" w:hAnsi="Arial"/>
          <w:sz w:val="18"/>
          <w:szCs w:val="18"/>
          <w:color w:val="auto"/>
        </w:rPr>
        <w:t>. Each Party shall be responsible for payment of their own taxes in connection with the actions taken in connection herewith.</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u w:val="single" w:color="auto"/>
          <w:color w:val="auto"/>
        </w:rPr>
        <w:t>5</w:t>
      </w:r>
      <w:r>
        <w:rPr>
          <w:rFonts w:ascii="Arial" w:cs="Arial" w:eastAsia="Arial" w:hAnsi="Arial"/>
          <w:sz w:val="16"/>
          <w:szCs w:val="16"/>
          <w:color w:val="auto"/>
        </w:rPr>
        <w:t xml:space="preserve">. </w:t>
      </w:r>
      <w:r>
        <w:rPr>
          <w:rFonts w:ascii="Arial" w:cs="Arial" w:eastAsia="Arial" w:hAnsi="Arial"/>
          <w:sz w:val="16"/>
          <w:szCs w:val="16"/>
          <w:u w:val="single" w:color="auto"/>
          <w:color w:val="auto"/>
        </w:rPr>
        <w:t>Mutual General Release</w:t>
      </w:r>
      <w:r>
        <w:rPr>
          <w:rFonts w:ascii="Arial" w:cs="Arial" w:eastAsia="Arial" w:hAnsi="Arial"/>
          <w:sz w:val="16"/>
          <w:szCs w:val="16"/>
          <w:color w:val="auto"/>
        </w:rPr>
        <w:t>. Upon the Parties’ execution hereof, subject to Agrify’s compliance with the terms and conditions of Section 2 herein, and in consideration of the mutual releases and for other good and valuable consideration identified herein, the receipt and sufficiency of which are hereby acknowledged, the Parties on behalf of themselves and their respective agents, assigns, attorneys, directors, employees, heirs, insurers, investors, managers, members, officers, officials, owners, representatives, predecessors and successors in interest and sureties (as well as their respective parents, subsidiaries, related entities and affiliates, and any of their agents, assigns, attorneys, directors, employees, heirs, insurers, investors, managers, members, officers, officials, owners, representatives, predecessors and successors in interest and sureties), to the extent applicable, hereby completely release, acquit, and forever discharge each other and their respective agents, assigns, attorneys, directors, employees, heirs, insurers, investors, managers, members, officers, officials, owners, representatives, predecessors and successors in interest and sureties (as well as their respective parents, subsidiaries, related entities and affiliates, and any of their agents, assigns, attorneys, directors, employees, heirs, insurers, investors, managers, members, officers, officials, owners, representatives, predecessors and successors in interest and sureties), to the extent applicable, of and from any and all demands, claims, counterclaims, obligations, causes of actions and compensation of any nature, type or description whatsoever whether based upon tort, contract, statute, equity, tortious breach of contract or bad faith, or any other theory of recovery, which any of the Parties hereto may have or has had from the beginning to time to present date that arise from or relate to the Supply Agreement or Repayment Plans which were or could have been asserted in any litigation.</w:t>
      </w:r>
    </w:p>
    <w:p>
      <w:pPr>
        <w:spacing w:after="0" w:line="17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Parties further agree that they each waive any and all entitlement to relief or compensation, with the exception of what is identified herein, including, but not limited to, monetary damages or equitable relief, with respect to any claim or cause of action released pursuant to the preceding paragraph.</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0" w:name="page81"/>
    <w:bookmarkEnd w:id="80"/>
    <w:p>
      <w:pPr>
        <w:jc w:val="both"/>
        <w:ind w:firstLine="648"/>
        <w:spacing w:after="0" w:line="271" w:lineRule="auto"/>
        <w:rPr>
          <w:sz w:val="20"/>
          <w:szCs w:val="20"/>
          <w:color w:val="auto"/>
        </w:rPr>
      </w:pPr>
      <w:r>
        <w:rPr>
          <w:rFonts w:ascii="Arial" w:cs="Arial" w:eastAsia="Arial" w:hAnsi="Arial"/>
          <w:sz w:val="17"/>
          <w:szCs w:val="17"/>
          <w:b w:val="1"/>
          <w:bCs w:val="1"/>
          <w:color w:val="auto"/>
        </w:rPr>
        <w:t>This release shall not apply to the obligations any of the Parties owe under this Modification Agreement including, without limitation, the terms of Section 2 herein, under which Agrify has agreed to pay amounts to Mack in the form of cash payments (totaling $750,000), the Storage Fees, VFU purchases (totaling $5,600,000), and warrants. The Parties agree that all such obligations owed under this Modification Agreement are specifically reserved and exempted from any release under this Modification Agreement. Agrify further acknowledges and agrees that any release under this Modification Agreement does not in any manner impair or adversely affect or constitute a waiver of any of Mack’s rights against Agrify to enforce Agrify’s performance of its obligations hereunder. In the event Agrify defaults in performing its obligations under this Modification Agreement, Agrify acknowledges and agrees that Mack has a claim to payment by Agrify of the Stipulated Amount less any payments already made to Mack by Agrify. Agrify hereby waives any defenses, claims, counterclaims, recoupment or offsets it may have to any such claim by Mack, including under this Paragraph 5.</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6</w:t>
      </w:r>
      <w:r>
        <w:rPr>
          <w:rFonts w:ascii="Arial" w:cs="Arial" w:eastAsia="Arial" w:hAnsi="Arial"/>
          <w:sz w:val="18"/>
          <w:szCs w:val="18"/>
          <w:color w:val="auto"/>
        </w:rPr>
        <w:t xml:space="preserve">. </w:t>
      </w:r>
      <w:r>
        <w:rPr>
          <w:rFonts w:ascii="Arial" w:cs="Arial" w:eastAsia="Arial" w:hAnsi="Arial"/>
          <w:sz w:val="18"/>
          <w:szCs w:val="18"/>
          <w:u w:val="single" w:color="auto"/>
          <w:color w:val="auto"/>
        </w:rPr>
        <w:t>Mutual Representations</w:t>
      </w:r>
      <w:r>
        <w:rPr>
          <w:rFonts w:ascii="Arial" w:cs="Arial" w:eastAsia="Arial" w:hAnsi="Arial"/>
          <w:sz w:val="18"/>
          <w:szCs w:val="18"/>
          <w:color w:val="auto"/>
        </w:rPr>
        <w:t>. Each Party hereby represents, warrants, and covenants that:</w:t>
      </w:r>
    </w:p>
    <w:p>
      <w:pPr>
        <w:spacing w:after="0" w:line="225" w:lineRule="exact"/>
        <w:rPr>
          <w:sz w:val="20"/>
          <w:szCs w:val="20"/>
          <w:color w:val="auto"/>
        </w:rPr>
      </w:pPr>
    </w:p>
    <w:p>
      <w:pPr>
        <w:ind w:left="980" w:hanging="324"/>
        <w:spacing w:after="0" w:line="277" w:lineRule="auto"/>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It has, and throughout the term of this Modification Agreement will have, the full right, power, authority and competence to enter into and perform its obligations under this Modification Agreement;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This Modification Agreement has been duly executed by such Party;</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This Modification Agreement constitutes a legal, valid and binding obligation of such Party, enforceable against it in accordance with its terms;</w:t>
      </w:r>
    </w:p>
    <w:p>
      <w:pPr>
        <w:spacing w:after="0" w:line="170"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execution and delivery of this Modification Agreement and the performance of such Party’s obligations hereunder (i) do not conflict with or violate such Party’s corporate charter or bylaws or any requirement of applicable laws or regulations, and (ii) do not and shall not conflict with, violate or breach or constitute a default or require any consent under, any agreement, contract, commitment or obligation by which it is bound;</w:t>
      </w:r>
    </w:p>
    <w:p>
      <w:pPr>
        <w:spacing w:after="0" w:line="186"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All necessary consents, approvals and authorizations of all government authorities and other individuals and entities required to be obtained by such Party in connection with the execution, delivery and performance of this Modification Agreement have been obtained;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Each of the persons signing this Modification Agreement is duly authorized, with full authority to bind the respective Party and no signature of any other person or entity is necessary to bind the respective Party;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It has not relied on any matter, statement, representation of any adverse party or counsel, or term not expressly contained in this Modification Agreement.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jc w:val="both"/>
        <w:ind w:firstLine="656"/>
        <w:spacing w:after="0" w:line="255" w:lineRule="auto"/>
        <w:tabs>
          <w:tab w:leader="none" w:pos="868" w:val="left"/>
        </w:tabs>
        <w:numPr>
          <w:ilvl w:val="0"/>
          <w:numId w:val="7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Non-Admission</w:t>
      </w:r>
      <w:r>
        <w:rPr>
          <w:rFonts w:ascii="Arial" w:cs="Arial" w:eastAsia="Arial" w:hAnsi="Arial"/>
          <w:sz w:val="18"/>
          <w:szCs w:val="18"/>
          <w:color w:val="auto"/>
        </w:rPr>
        <w:t>. This Modification Agreement is entered into solely in order to compromise and settle disputed claims, without any acquiescence, acknowledgement, or agreement by any Party as to the merit of any actions, causes of action, suits, defenses, debts, dues, sums of money, accounts, damages, expenses, attorney’s fees, costs, punitive damages, penalties, judgments, claims or demands released herein. Neither this Modification Agreement nor any part thereof shall be, or be used as, evidence or an admission of liability by anyone, at any time, for any purpose. Nothing in this Section or this Modification Agreement shall be construed to prohibit a Party from using this Modification Agreement as evidence of the terms of the Parties’ agreement in a suit to enforce this Modification Agreement.</w:t>
      </w:r>
    </w:p>
    <w:p>
      <w:pPr>
        <w:spacing w:after="0" w:line="192" w:lineRule="exact"/>
        <w:rPr>
          <w:rFonts w:ascii="Arial" w:cs="Arial" w:eastAsia="Arial" w:hAnsi="Arial"/>
          <w:sz w:val="18"/>
          <w:szCs w:val="18"/>
          <w:u w:val="single" w:color="auto"/>
          <w:color w:val="auto"/>
        </w:rPr>
      </w:pPr>
    </w:p>
    <w:p>
      <w:pPr>
        <w:jc w:val="both"/>
        <w:ind w:firstLine="656"/>
        <w:spacing w:after="0" w:line="272" w:lineRule="auto"/>
        <w:tabs>
          <w:tab w:leader="none" w:pos="828" w:val="left"/>
        </w:tabs>
        <w:numPr>
          <w:ilvl w:val="0"/>
          <w:numId w:val="78"/>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Basis for Settlement</w:t>
      </w:r>
      <w:r>
        <w:rPr>
          <w:rFonts w:ascii="Arial" w:cs="Arial" w:eastAsia="Arial" w:hAnsi="Arial"/>
          <w:sz w:val="17"/>
          <w:szCs w:val="17"/>
          <w:color w:val="auto"/>
        </w:rPr>
        <w:t>. Each Party acknowledges and agrees that the terms of this Modification Agreement are, and have been agreed to, for their mutual convenience, in part to avoid the expense, distraction, risk and uncertainty of further litigation, and after considering the risks of litigation and the circumstances of their respective businesses. Each Party also acknowledges and agrees that it has relied entirely on its own judgment, belief and knowledge (including its judgment, belief and knowledge with respect to the foregoing, the extent and duration of any litigation pertaining to the Dispute, and the value of settling the Dispute at this time) and the advice and recommendations of their or its own independently selected counsel, and, accordingly, except as set forth herein, neither it nor anyone acting on its behalf shall (or shall have the right to) deny or challenge the validity of this Modification Agreement or any of the obligations of the Parties hereunder.</w:t>
      </w:r>
    </w:p>
    <w:p>
      <w:pPr>
        <w:spacing w:after="0" w:line="177" w:lineRule="exact"/>
        <w:rPr>
          <w:rFonts w:ascii="Arial" w:cs="Arial" w:eastAsia="Arial" w:hAnsi="Arial"/>
          <w:sz w:val="17"/>
          <w:szCs w:val="17"/>
          <w:u w:val="single" w:color="auto"/>
          <w:color w:val="auto"/>
        </w:rPr>
      </w:pPr>
    </w:p>
    <w:p>
      <w:pPr>
        <w:jc w:val="both"/>
        <w:ind w:firstLine="656"/>
        <w:spacing w:after="0" w:line="294" w:lineRule="auto"/>
        <w:tabs>
          <w:tab w:leader="none" w:pos="828" w:val="left"/>
        </w:tabs>
        <w:numPr>
          <w:ilvl w:val="0"/>
          <w:numId w:val="78"/>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Nondisparagement</w:t>
      </w:r>
      <w:r>
        <w:rPr>
          <w:rFonts w:ascii="Arial" w:cs="Arial" w:eastAsia="Arial" w:hAnsi="Arial"/>
          <w:sz w:val="16"/>
          <w:szCs w:val="16"/>
          <w:color w:val="auto"/>
        </w:rPr>
        <w:t>. Each of the Parties agrees not to make or encourage any person or entity to make any statement, publicly (including but not limited to on an internet site or in any type of social media) or privately, orally or in writing, about any of the other Parties or this Modification Agreement whether or not such statement is truthful, or to take any action, which action or statement is or could reasonably be construed as derogatory, disparaging and/or otherwise inflammatory</w:t>
      </w:r>
      <w:r>
        <w:rPr>
          <w:rFonts w:ascii="Arial" w:cs="Arial" w:eastAsia="Arial" w:hAnsi="Arial"/>
          <w:sz w:val="19"/>
          <w:szCs w:val="19"/>
          <w:i w:val="1"/>
          <w:iCs w:val="1"/>
          <w:color w:val="auto"/>
        </w:rPr>
        <w:t>,</w:t>
      </w:r>
      <w:r>
        <w:rPr>
          <w:rFonts w:ascii="Arial" w:cs="Arial" w:eastAsia="Arial" w:hAnsi="Arial"/>
          <w:sz w:val="16"/>
          <w:szCs w:val="16"/>
          <w:color w:val="auto"/>
        </w:rPr>
        <w:t xml:space="preserve"> about any of the other Parties. Each of the Parties further agrees not to make any statement or take any action which could reasonably be construed as that which could cause harm to the personal, professional or business reputation of any of the other Parties in any way.</w:t>
      </w:r>
    </w:p>
    <w:p>
      <w:pPr>
        <w:spacing w:after="0" w:line="153" w:lineRule="exact"/>
        <w:rPr>
          <w:rFonts w:ascii="Arial" w:cs="Arial" w:eastAsia="Arial" w:hAnsi="Arial"/>
          <w:sz w:val="16"/>
          <w:szCs w:val="16"/>
          <w:u w:val="single" w:color="auto"/>
          <w:color w:val="auto"/>
        </w:rPr>
      </w:pPr>
    </w:p>
    <w:p>
      <w:pPr>
        <w:jc w:val="both"/>
        <w:ind w:firstLine="656"/>
        <w:spacing w:after="0" w:line="254" w:lineRule="auto"/>
        <w:tabs>
          <w:tab w:leader="none" w:pos="918" w:val="left"/>
        </w:tabs>
        <w:numPr>
          <w:ilvl w:val="0"/>
          <w:numId w:val="7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The Parties and their attorneys agree that this Modification Agreement and its terms are and shall be kept confidential by the Parties and their attorneys. Except as set forth above and except to the extent reasonably necessary to enforce the Modification Agreement; or to the extent that any of the Parties reasonably believes it is required by law to disclose certain of the terms of this Modification Agreement; or to the extent that any of the Parties is required to disclose the terms of its individual settlement to the taxing authorities, preparers or other with respect to tax matters; or to the extent required by subpoena or other order of a court or government body of competent jurisdiction; or to the extent required by corporate governance of any of the Parties, the terms and conditions of this Modification Agreement, including the amount of the Settlement Payment, shall remain confidential and shall not be disclosed.</w:t>
      </w:r>
    </w:p>
    <w:p>
      <w:pPr>
        <w:spacing w:after="0" w:line="194" w:lineRule="exact"/>
        <w:rPr>
          <w:rFonts w:ascii="Arial" w:cs="Arial" w:eastAsia="Arial" w:hAnsi="Arial"/>
          <w:sz w:val="18"/>
          <w:szCs w:val="18"/>
          <w:u w:val="single" w:color="auto"/>
          <w:color w:val="auto"/>
        </w:rPr>
      </w:pPr>
    </w:p>
    <w:p>
      <w:pPr>
        <w:jc w:val="both"/>
        <w:ind w:firstLine="656"/>
        <w:spacing w:after="0" w:line="290" w:lineRule="auto"/>
        <w:tabs>
          <w:tab w:leader="none" w:pos="911" w:val="left"/>
        </w:tabs>
        <w:numPr>
          <w:ilvl w:val="0"/>
          <w:numId w:val="78"/>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Construction</w:t>
      </w:r>
      <w:r>
        <w:rPr>
          <w:rFonts w:ascii="Arial" w:cs="Arial" w:eastAsia="Arial" w:hAnsi="Arial"/>
          <w:sz w:val="16"/>
          <w:szCs w:val="16"/>
          <w:color w:val="auto"/>
        </w:rPr>
        <w:t>. This Modification Agreement has been negotiated by the Parties and shall be interpreted fairly in accordance with its terms and without any construction in favor of or against any of the Parties. The interpretation and construction of this Modification Agreement shall be subject to the following provisions: (a) words importing the singular meaning include where the context so admits the plural meaning and vice versa; (b) the terms “and” and “or” as used herein shall mean both the conjunctive and the disjunctive, so that one word or the other may be taken accordingly as the one or the other (i.e., “and/or”); (c) the word “any” shall mean “all” or “one out of several”; (d) references to any person shall include natural persons and partnerships, firms and other incorporated bodies and all other legal persons of whatever kind and however constituted; (e) the words “include,” “includes” and “including” are to be construed as if they were immediately followed by the words “without limitation”; and (f) captions and headings used herein are inserted for convenience only and are in no way intended to describe, interpret, define or limit the scope, extent or intent of this Modification Agreement.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2" w:name="page83"/>
    <w:bookmarkEnd w:id="82"/>
    <w:p>
      <w:pPr>
        <w:ind w:left="720"/>
        <w:spacing w:after="0"/>
        <w:rPr>
          <w:sz w:val="20"/>
          <w:szCs w:val="20"/>
          <w:color w:val="auto"/>
        </w:rPr>
      </w:pPr>
      <w:r>
        <w:rPr>
          <w:rFonts w:ascii="Arial" w:cs="Arial" w:eastAsia="Arial" w:hAnsi="Arial"/>
          <w:sz w:val="18"/>
          <w:szCs w:val="18"/>
          <w:u w:val="single" w:color="auto"/>
          <w:color w:val="auto"/>
        </w:rPr>
        <w:t>0</w:t>
      </w:r>
      <w:r>
        <w:rPr>
          <w:rFonts w:ascii="Arial" w:cs="Arial" w:eastAsia="Arial" w:hAnsi="Arial"/>
          <w:sz w:val="18"/>
          <w:szCs w:val="18"/>
          <w:color w:val="auto"/>
        </w:rPr>
        <w:t xml:space="preserve">. </w:t>
      </w:r>
      <w:r>
        <w:rPr>
          <w:rFonts w:ascii="Arial" w:cs="Arial" w:eastAsia="Arial" w:hAnsi="Arial"/>
          <w:sz w:val="18"/>
          <w:szCs w:val="18"/>
          <w:u w:val="single" w:color="auto"/>
          <w:color w:val="auto"/>
        </w:rPr>
        <w:t>Assignability</w:t>
      </w:r>
      <w:r>
        <w:rPr>
          <w:rFonts w:ascii="Arial" w:cs="Arial" w:eastAsia="Arial" w:hAnsi="Arial"/>
          <w:sz w:val="18"/>
          <w:szCs w:val="18"/>
          <w:color w:val="auto"/>
        </w:rPr>
        <w:t>. No Party may assign this Modification Agreement without the prior written consent of the other Party.</w:t>
      </w:r>
    </w:p>
    <w:p>
      <w:pPr>
        <w:spacing w:after="0" w:line="225" w:lineRule="exact"/>
        <w:rPr>
          <w:sz w:val="20"/>
          <w:szCs w:val="20"/>
          <w:color w:val="auto"/>
        </w:rPr>
      </w:pPr>
    </w:p>
    <w:p>
      <w:pPr>
        <w:jc w:val="both"/>
        <w:ind w:firstLine="713"/>
        <w:spacing w:after="0" w:line="263" w:lineRule="auto"/>
        <w:rPr>
          <w:sz w:val="20"/>
          <w:szCs w:val="20"/>
          <w:color w:val="auto"/>
        </w:rPr>
      </w:pPr>
      <w:r>
        <w:rPr>
          <w:rFonts w:ascii="Arial" w:cs="Arial" w:eastAsia="Arial" w:hAnsi="Arial"/>
          <w:sz w:val="18"/>
          <w:szCs w:val="18"/>
          <w:u w:val="single" w:color="auto"/>
          <w:color w:val="auto"/>
        </w:rPr>
        <w:t>1</w:t>
      </w:r>
      <w:r>
        <w:rPr>
          <w:rFonts w:ascii="Arial" w:cs="Arial" w:eastAsia="Arial" w:hAnsi="Arial"/>
          <w:sz w:val="18"/>
          <w:szCs w:val="18"/>
          <w:color w:val="auto"/>
        </w:rPr>
        <w:t xml:space="preserve">.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Modification Agreement shall be binding upon and inure to the benefit of the Parties and their heirs, executors, administrators, conservators, assigns, successors, beneficiaries, employees and agents, and all other persons asserting claims by, on behalf of, or through them based or founded upon any of the claims released herein.</w:t>
      </w:r>
    </w:p>
    <w:p>
      <w:pPr>
        <w:spacing w:after="0" w:line="184" w:lineRule="exact"/>
        <w:rPr>
          <w:sz w:val="20"/>
          <w:szCs w:val="20"/>
          <w:color w:val="auto"/>
        </w:rPr>
      </w:pPr>
    </w:p>
    <w:p>
      <w:pPr>
        <w:jc w:val="both"/>
        <w:ind w:firstLine="713"/>
        <w:spacing w:after="0" w:line="263" w:lineRule="auto"/>
        <w:rPr>
          <w:sz w:val="20"/>
          <w:szCs w:val="20"/>
          <w:color w:val="auto"/>
        </w:rPr>
      </w:pPr>
      <w:r>
        <w:rPr>
          <w:rFonts w:ascii="Arial" w:cs="Arial" w:eastAsia="Arial" w:hAnsi="Arial"/>
          <w:sz w:val="18"/>
          <w:szCs w:val="18"/>
          <w:u w:val="single" w:color="auto"/>
          <w:color w:val="auto"/>
        </w:rPr>
        <w:t>2</w:t>
      </w:r>
      <w:r>
        <w:rPr>
          <w:rFonts w:ascii="Arial" w:cs="Arial" w:eastAsia="Arial" w:hAnsi="Arial"/>
          <w:sz w:val="18"/>
          <w:szCs w:val="18"/>
          <w:color w:val="auto"/>
        </w:rPr>
        <w:t xml:space="preserve">. </w:t>
      </w:r>
      <w:r>
        <w:rPr>
          <w:rFonts w:ascii="Arial" w:cs="Arial" w:eastAsia="Arial" w:hAnsi="Arial"/>
          <w:sz w:val="18"/>
          <w:szCs w:val="18"/>
          <w:u w:val="single" w:color="auto"/>
          <w:color w:val="auto"/>
        </w:rPr>
        <w:t>Waiver</w:t>
      </w:r>
      <w:r>
        <w:rPr>
          <w:rFonts w:ascii="Arial" w:cs="Arial" w:eastAsia="Arial" w:hAnsi="Arial"/>
          <w:sz w:val="18"/>
          <w:szCs w:val="18"/>
          <w:color w:val="auto"/>
        </w:rPr>
        <w:t>. Failure by any Party to insist upon strict performance of any provision herein by any other Party shall not be deemed a waiver by such Party of its rights or remedies or a waiver by it of any subsequent default by such other Party, and no waiver shall be effective unless it is in writing and duly executed by the Party entitled to enforce the provision being waived.</w:t>
      </w:r>
    </w:p>
    <w:p>
      <w:pPr>
        <w:spacing w:after="0" w:line="184" w:lineRule="exact"/>
        <w:rPr>
          <w:sz w:val="20"/>
          <w:szCs w:val="20"/>
          <w:color w:val="auto"/>
        </w:rPr>
      </w:pPr>
    </w:p>
    <w:p>
      <w:pPr>
        <w:jc w:val="both"/>
        <w:ind w:firstLine="713"/>
        <w:spacing w:after="0" w:line="311" w:lineRule="auto"/>
        <w:rPr>
          <w:sz w:val="20"/>
          <w:szCs w:val="20"/>
          <w:color w:val="auto"/>
        </w:rPr>
      </w:pPr>
      <w:r>
        <w:rPr>
          <w:rFonts w:ascii="Arial" w:cs="Arial" w:eastAsia="Arial" w:hAnsi="Arial"/>
          <w:sz w:val="16"/>
          <w:szCs w:val="16"/>
          <w:u w:val="single" w:color="auto"/>
          <w:color w:val="auto"/>
        </w:rPr>
        <w:t>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Severability</w:t>
      </w:r>
      <w:r>
        <w:rPr>
          <w:rFonts w:ascii="Arial" w:cs="Arial" w:eastAsia="Arial" w:hAnsi="Arial"/>
          <w:sz w:val="16"/>
          <w:szCs w:val="16"/>
          <w:color w:val="auto"/>
        </w:rPr>
        <w:t>. In the event that any term, covenant, condition, agreement, section or provision hereof shall be deemed invalid or unenforceable, this Modification Agreement shall not terminate or be deemed void or voidable, but shall continue in full force and effect and there shall be substituted for such stricken provision a like but legal and enforceable provision which most nearly accomplishes the intention of the Parties hereto.</w:t>
      </w:r>
    </w:p>
    <w:p>
      <w:pPr>
        <w:spacing w:after="0" w:line="149" w:lineRule="exact"/>
        <w:rPr>
          <w:sz w:val="20"/>
          <w:szCs w:val="20"/>
          <w:color w:val="auto"/>
        </w:rPr>
      </w:pPr>
    </w:p>
    <w:p>
      <w:pPr>
        <w:jc w:val="both"/>
        <w:ind w:firstLine="713"/>
        <w:spacing w:after="0" w:line="255" w:lineRule="auto"/>
        <w:rPr>
          <w:sz w:val="20"/>
          <w:szCs w:val="20"/>
          <w:color w:val="auto"/>
        </w:rPr>
      </w:pPr>
      <w:r>
        <w:rPr>
          <w:rFonts w:ascii="Arial" w:cs="Arial" w:eastAsia="Arial" w:hAnsi="Arial"/>
          <w:sz w:val="18"/>
          <w:szCs w:val="18"/>
          <w:u w:val="single" w:color="auto"/>
          <w:color w:val="auto"/>
        </w:rPr>
        <w:t>4</w:t>
      </w:r>
      <w:r>
        <w:rPr>
          <w:rFonts w:ascii="Arial" w:cs="Arial" w:eastAsia="Arial" w:hAnsi="Arial"/>
          <w:sz w:val="18"/>
          <w:szCs w:val="18"/>
          <w:color w:val="auto"/>
        </w:rPr>
        <w:t xml:space="preserve">.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Modification Agreement constitutes the entire agreement between the Parties regarding the subject matter set forth herein, and all prior agreements, statements, negotiations, representations or warranties are expressly merged herein. Except as set forth in this Modification Agreement, no Party has relied upon the representations of the other Party to induce them to enter into this Modification Agreement. It is expressly understood and agreed that this Modification Agreement expressly replaces the Supply Agreement in its entirety, and this Modification Agreement may not be altered, amended, waived, modified or otherwise changed in any respect or particular whatsoever except by writing duly executed by authorized representatives of the Parties.</w:t>
      </w:r>
    </w:p>
    <w:p>
      <w:pPr>
        <w:spacing w:after="0" w:line="192" w:lineRule="exact"/>
        <w:rPr>
          <w:sz w:val="20"/>
          <w:szCs w:val="20"/>
          <w:color w:val="auto"/>
        </w:rPr>
      </w:pPr>
    </w:p>
    <w:p>
      <w:pPr>
        <w:jc w:val="both"/>
        <w:ind w:firstLine="713"/>
        <w:spacing w:after="0" w:line="255" w:lineRule="auto"/>
        <w:rPr>
          <w:sz w:val="20"/>
          <w:szCs w:val="20"/>
          <w:color w:val="auto"/>
        </w:rPr>
      </w:pPr>
      <w:r>
        <w:rPr>
          <w:rFonts w:ascii="Arial" w:cs="Arial" w:eastAsia="Arial" w:hAnsi="Arial"/>
          <w:sz w:val="18"/>
          <w:szCs w:val="18"/>
          <w:u w:val="single" w:color="auto"/>
          <w:color w:val="auto"/>
        </w:rPr>
        <w:t>5</w:t>
      </w:r>
      <w:r>
        <w:rPr>
          <w:rFonts w:ascii="Arial" w:cs="Arial" w:eastAsia="Arial" w:hAnsi="Arial"/>
          <w:sz w:val="18"/>
          <w:szCs w:val="18"/>
          <w:color w:val="auto"/>
        </w:rPr>
        <w:t xml:space="preserve">. </w:t>
      </w:r>
      <w:r>
        <w:rPr>
          <w:rFonts w:ascii="Arial" w:cs="Arial" w:eastAsia="Arial" w:hAnsi="Arial"/>
          <w:sz w:val="18"/>
          <w:szCs w:val="18"/>
          <w:u w:val="single" w:color="auto"/>
          <w:color w:val="auto"/>
        </w:rPr>
        <w:t>Choice of Law and Forum Selection</w:t>
      </w:r>
      <w:r>
        <w:rPr>
          <w:rFonts w:ascii="Arial" w:cs="Arial" w:eastAsia="Arial" w:hAnsi="Arial"/>
          <w:sz w:val="18"/>
          <w:szCs w:val="18"/>
          <w:color w:val="auto"/>
        </w:rPr>
        <w:t>. This Modification Agreement will be interpreted under and is governed by the laws of the Commonwealth of Massachusetts without regard to conflicts of laws principles. The Parties (a) hereby irrevocably submit themselves to and consent to the exclusive jurisdiction of the Commonwealth of Massachusetts for the purposes of any action, claim, suit or proceeding arising from or relating to this Modification Agreement, and (b) hereby waive, and agree not to assert, by way of motion, as a defense or otherwise, in any such action, claim, suit or proceeding, any argument that they are not personally subject to the jurisdiction of such court(s), that the action, claim, suit or proceeding is brought in an inconvenient forum, or that the venue of the action, claim, suit or proceeding is improper.</w:t>
      </w:r>
    </w:p>
    <w:p>
      <w:pPr>
        <w:spacing w:after="0" w:line="192" w:lineRule="exact"/>
        <w:rPr>
          <w:sz w:val="20"/>
          <w:szCs w:val="20"/>
          <w:color w:val="auto"/>
        </w:rPr>
      </w:pPr>
    </w:p>
    <w:p>
      <w:pPr>
        <w:jc w:val="both"/>
        <w:ind w:firstLine="713"/>
        <w:spacing w:after="0" w:line="277" w:lineRule="auto"/>
        <w:rPr>
          <w:sz w:val="20"/>
          <w:szCs w:val="20"/>
          <w:color w:val="auto"/>
        </w:rPr>
      </w:pPr>
      <w:r>
        <w:rPr>
          <w:rFonts w:ascii="Arial" w:cs="Arial" w:eastAsia="Arial" w:hAnsi="Arial"/>
          <w:sz w:val="18"/>
          <w:szCs w:val="18"/>
          <w:u w:val="single" w:color="auto"/>
          <w:color w:val="auto"/>
        </w:rPr>
        <w:t>6</w:t>
      </w:r>
      <w:r>
        <w:rPr>
          <w:rFonts w:ascii="Arial" w:cs="Arial" w:eastAsia="Arial" w:hAnsi="Arial"/>
          <w:sz w:val="18"/>
          <w:szCs w:val="18"/>
          <w:color w:val="auto"/>
        </w:rPr>
        <w:t xml:space="preserve">. </w:t>
      </w:r>
      <w:r>
        <w:rPr>
          <w:rFonts w:ascii="Arial" w:cs="Arial" w:eastAsia="Arial" w:hAnsi="Arial"/>
          <w:sz w:val="18"/>
          <w:szCs w:val="18"/>
          <w:u w:val="single" w:color="auto"/>
          <w:color w:val="auto"/>
        </w:rPr>
        <w:t>Attorney’s Fees, Costs, and Expenses</w:t>
      </w:r>
      <w:r>
        <w:rPr>
          <w:rFonts w:ascii="Arial" w:cs="Arial" w:eastAsia="Arial" w:hAnsi="Arial"/>
          <w:sz w:val="18"/>
          <w:szCs w:val="18"/>
          <w:color w:val="auto"/>
        </w:rPr>
        <w:t>. Each Party acknowledges that they shall bear their own respective costs, expenses and attorney’s fees with respect to the Dispute and the negotiation and documentation of this Modification Agreement.</w:t>
      </w:r>
    </w:p>
    <w:p>
      <w:pPr>
        <w:spacing w:after="0" w:line="170" w:lineRule="exact"/>
        <w:rPr>
          <w:sz w:val="20"/>
          <w:szCs w:val="20"/>
          <w:color w:val="auto"/>
        </w:rPr>
      </w:pPr>
    </w:p>
    <w:p>
      <w:pPr>
        <w:jc w:val="both"/>
        <w:ind w:firstLine="713"/>
        <w:spacing w:after="0" w:line="277" w:lineRule="auto"/>
        <w:rPr>
          <w:sz w:val="20"/>
          <w:szCs w:val="20"/>
          <w:color w:val="auto"/>
        </w:rPr>
      </w:pPr>
      <w:r>
        <w:rPr>
          <w:rFonts w:ascii="Arial" w:cs="Arial" w:eastAsia="Arial" w:hAnsi="Arial"/>
          <w:sz w:val="18"/>
          <w:szCs w:val="18"/>
          <w:u w:val="single" w:color="auto"/>
          <w:color w:val="auto"/>
        </w:rPr>
        <w:t>7</w:t>
      </w:r>
      <w:r>
        <w:rPr>
          <w:rFonts w:ascii="Arial" w:cs="Arial" w:eastAsia="Arial" w:hAnsi="Arial"/>
          <w:sz w:val="18"/>
          <w:szCs w:val="18"/>
          <w:color w:val="auto"/>
        </w:rPr>
        <w:t xml:space="preserve">. </w:t>
      </w:r>
      <w:r>
        <w:rPr>
          <w:rFonts w:ascii="Arial" w:cs="Arial" w:eastAsia="Arial" w:hAnsi="Arial"/>
          <w:sz w:val="18"/>
          <w:szCs w:val="18"/>
          <w:u w:val="single" w:color="auto"/>
          <w:color w:val="auto"/>
        </w:rPr>
        <w:t>Counterparts</w:t>
      </w:r>
      <w:r>
        <w:rPr>
          <w:rFonts w:ascii="Arial" w:cs="Arial" w:eastAsia="Arial" w:hAnsi="Arial"/>
          <w:sz w:val="18"/>
          <w:szCs w:val="18"/>
          <w:color w:val="auto"/>
        </w:rPr>
        <w:t>. This Modification Agreement may be executed in separate counterparts, each of which shall constitute an original. Facsimile or electronic signatures shall be treated as originals.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left blank intentionally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3" w:name="page84"/>
    <w:bookmarkEnd w:id="83"/>
    <w:p>
      <w:pPr>
        <w:ind w:firstLine="648"/>
        <w:spacing w:after="0" w:line="277" w:lineRule="auto"/>
        <w:rPr>
          <w:sz w:val="20"/>
          <w:szCs w:val="20"/>
          <w:color w:val="auto"/>
        </w:rPr>
      </w:pPr>
      <w:r>
        <w:rPr>
          <w:rFonts w:ascii="Arial" w:cs="Arial" w:eastAsia="Arial" w:hAnsi="Arial"/>
          <w:sz w:val="18"/>
          <w:szCs w:val="18"/>
          <w:color w:val="auto"/>
        </w:rPr>
        <w:t>The undersigned acknowledges that he or she has read and understands the foregoing Modification Agreement, and that the undersigned agrees to the same and voluntarily executes the same this 18th day of October, 2023.</w:t>
      </w:r>
    </w:p>
    <w:p>
      <w:pPr>
        <w:spacing w:after="0" w:line="170"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Raymond Nobu Chang</w:t>
      </w:r>
    </w:p>
    <w:p>
      <w:pPr>
        <w:spacing w:after="0" w:line="225"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For Agrify Corporation as its CEO and not individually,</w:t>
      </w:r>
    </w:p>
    <w:p>
      <w:pPr>
        <w:spacing w:after="0" w:line="225"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Signature: /s/ Raymond Nobu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14605</wp:posOffset>
            </wp:positionV>
            <wp:extent cx="245173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451735" cy="17145"/>
                    </a:xfrm>
                    <a:prstGeom prst="rect">
                      <a:avLst/>
                    </a:prstGeom>
                    <a:noFill/>
                  </pic:spPr>
                </pic:pic>
              </a:graphicData>
            </a:graphic>
          </wp:anchor>
        </w:drawing>
      </w:r>
    </w:p>
    <w:p>
      <w:pPr>
        <w:spacing w:after="0" w:line="232"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Date: October 18,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4" w:name="page85"/>
    <w:bookmarkEnd w:id="84"/>
    <w:p>
      <w:pPr>
        <w:ind w:firstLine="648"/>
        <w:spacing w:after="0" w:line="277" w:lineRule="auto"/>
        <w:rPr>
          <w:sz w:val="20"/>
          <w:szCs w:val="20"/>
          <w:color w:val="auto"/>
        </w:rPr>
      </w:pPr>
      <w:r>
        <w:rPr>
          <w:rFonts w:ascii="Arial" w:cs="Arial" w:eastAsia="Arial" w:hAnsi="Arial"/>
          <w:sz w:val="18"/>
          <w:szCs w:val="18"/>
          <w:color w:val="auto"/>
        </w:rPr>
        <w:t>The undersigned acknowledges that he or she has read and understands the foregoing Modification Agreement, and that the undersigned agrees to the same and voluntarily executes the same this 18th day of October, 2023.</w:t>
      </w:r>
    </w:p>
    <w:p>
      <w:pPr>
        <w:spacing w:after="0" w:line="170"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Jeff Somple</w:t>
      </w:r>
    </w:p>
    <w:p>
      <w:pPr>
        <w:spacing w:after="0" w:line="225"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For Mack Molding Company,</w:t>
      </w:r>
    </w:p>
    <w:p>
      <w:pPr>
        <w:spacing w:after="0" w:line="225"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Signature: /s/ Jeff Somple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14605</wp:posOffset>
            </wp:positionV>
            <wp:extent cx="245173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451735" cy="17145"/>
                    </a:xfrm>
                    <a:prstGeom prst="rect">
                      <a:avLst/>
                    </a:prstGeom>
                    <a:noFill/>
                  </pic:spPr>
                </pic:pic>
              </a:graphicData>
            </a:graphic>
          </wp:anchor>
        </w:drawing>
      </w:r>
    </w:p>
    <w:p>
      <w:pPr>
        <w:spacing w:after="0" w:line="232"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Date: October 18,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5" w:name="page86"/>
    <w:bookmarkEnd w:id="85"/>
    <w:p>
      <w:pPr>
        <w:ind w:left="10120"/>
        <w:spacing w:after="0"/>
        <w:rPr>
          <w:sz w:val="20"/>
          <w:szCs w:val="20"/>
          <w:color w:val="auto"/>
        </w:rPr>
      </w:pPr>
      <w:r>
        <w:rPr>
          <w:rFonts w:ascii="Arial" w:cs="Arial" w:eastAsia="Arial" w:hAnsi="Arial"/>
          <w:sz w:val="19"/>
          <w:szCs w:val="19"/>
          <w:b w:val="1"/>
          <w:bCs w:val="1"/>
          <w:color w:val="auto"/>
        </w:rPr>
        <w:t>Exhibit 99.1</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Agrify Announces Transfer of its Existing Credit Facility and Expected New Equity Investment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TROY, Mich., October 30, 2023 (GLOBE NEWSWIRE) -- Agrify Corporation (Nasdaq: AGFY) (“Agrify” or the “Company”), a leading provider of innovative cultivation and extraction solutions for the cannabis industry, today announced that CP Acquisition LLC (the “New Lender”) and its existing institutional lender (the “Existing Lender”), have signed a definitive agreement pursuant to which the New Lender purchased all of the outstanding convertible and senior secured notes of Agrify held by the Existing Lender and plans to participate in a future equity raise to inject new capital in the Company. Raymond Chang, the Chief Executive Officer of the Company, is one of the principals of the New Lender.</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2023, we made tremendous efforts to reduce our operating loss and cash burn and have also worked to settle trade payables and reduce and restructure our liabilities,” said Mr. Chang. “We are also seeing really encouraging yield and performance results using our proprietary vertical farming units from our newly turned-on customer facilities and, with these successful model facilities, are continuing to gain interest and have signed up several new cultivation facilities to use our equipment. On the extraction side of the business, our comprehensive solution offerings and new products continue to gain interest both domestically and internationally. We believe that with this significant reduction in debt as well as with the extended maturity of the outstanding debt and the potential for future injections of capital, Agrify will be positioned to rebound and reestablish itself as the preeminent solution provider for the cannabis industry.”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Transaction Terms</w:t>
      </w:r>
    </w:p>
    <w:p>
      <w:pPr>
        <w:spacing w:after="0" w:line="229" w:lineRule="exact"/>
        <w:rPr>
          <w:sz w:val="20"/>
          <w:szCs w:val="20"/>
          <w:color w:val="auto"/>
        </w:rPr>
      </w:pPr>
    </w:p>
    <w:p>
      <w:pPr>
        <w:jc w:val="both"/>
        <w:ind w:left="660" w:hanging="328"/>
        <w:spacing w:after="0" w:line="275" w:lineRule="auto"/>
        <w:tabs>
          <w:tab w:leader="none" w:pos="6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Immediately prior to the Note Purchase closing, the Existing Lender converted $3.0 million in principal amount outstanding under the Senior Secured Note due 2025 issued by Agrify to the Existing Lender on August 19, 2022 (the “August 2022 Senior Secured Note”), plus $1.1 million accrued interest, to warrants to purchase 2,809,669 shares of Agrify common stock (“Common Stock”) at a conversion rate equal to the Minimum Price pursuant to Nasdaq Listing Rules, along with the exchange of the right to receive 375,629 shares held in abeyance under a prior exchange agreement for the same number of warrants. The warrants have an exercise price of $0.001 per share.</w:t>
      </w:r>
    </w:p>
    <w:p>
      <w:pPr>
        <w:spacing w:after="0" w:line="17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Subject to shareholder approval, the number of shares underlying the warrants issued to the Existing Lender shall be proportionally increased in the event that Mr. Chang or any of his affiliates acquire securities from Agrify through purchase or conversion or modify the conversion price of any securities held by them.</w:t>
      </w:r>
    </w:p>
    <w:p>
      <w:pPr>
        <w:spacing w:after="0" w:line="183"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New Lender has purchased all remaining outstanding convertible notes and senior secured notes held by the Existing Lender (the “Note Purchase”), with an aggregate principal amount of approximately $8.84 million outstanding under the convertible note originally issued to the Existing Lender in March 2023 (the “March 2023 Convertible Note”) and an aggregate principal amount of approximately $6.67 million outstanding under the August 2022 Senior Secured Note.</w:t>
      </w:r>
    </w:p>
    <w:p>
      <w:pPr>
        <w:spacing w:after="0" w:line="186"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At a future date after the Note Purchase closing, subject to shareholder approval, the New Lender plans to (a) convert the remaining balance of the March 2023 Convertible Note to Common Stock and to amend the applicable conversion price and (b) purchase, for cash or convertible debt, no less than $3.0 million of Common Stock.</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At a future date after the Note Purchase closing, subject to shareholder approval, the New Lender and Agrify intend to amend and restate the senior secured note originally issued in August 2022 to grant the New Lender the right to convert that senior secured note, in whole or in part, to Common Stock.</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New Lender agreed to waive any events of default under the acquired notes until December 31, 2023 and to enter into an agreement with Agrify to extend the maturity date of the acquired notes until December 31, 2025.</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press release does not constitute an offer to sell or the solicitation of an offer to buy any securities in any future offering. There shall not be any sale of the securities described herein in any state or jurisdiction in which such offering, sale, or solicitation would be unlawful prior to registration or qualification under the securities laws of any such state or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About Agrify (Nasdaq: AGFY)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Agrify is a leading provider of innovative cultivation and extraction solutions for the cannabis industry, bringing data, science, and technology to the forefront of the market. Our proprietary micro-environment-controlled Vertical Farming Units (VFUs) enable cultivators to produce the highest quality products with unmatched consistency, yield, and ROI at scale. Our comprehensive extraction product line, which includes hydrocarbon, ethanol, solventless, post-processing, and lab equipment, empowers producers to maximize the quantity and quality of extract required for premium concentrates. For more information, please visit Agrify at http://www.agrify.com.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concerning Agrify and other matters. All statements contained in this press release that do not relate to matters of historical fact should be considered forward-looking statements including, without limitation, statements regarding Agrify’s ability to obtain shareholder approval, issue additional equity securities, amend the terms of its existing note documents, close any new equity investments or new loan transactions on the terms described herein or at all, the expected benefits and savings to be realized as a result of the Note Purchase or raising of additional capital, Agrify’s ability to grow its customer base and gain market share, and Agrify’s ability to deliver solutions and services, including the development of new solutions. In some cases, you can identify forward-looking statements by terms such as “may,” “will,” “should,” “expects,” “plans,” “anticipates,” “could,” “intends,” “targets,” “projects,” “contemplates,” “believes,” “estimates,” “predicts,” “potential” or “continue” or the negative of these terms or other similar expressions. The forward-looking statements in this press release are only predictions. Agrify has based these forward-looking statements largely on its current expectations and projections about future events and financial trends that it believes may affect its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You should carefully consider the risks and uncertainties that affect our business, including those described in our filings with the Securities and Exchange Commission (“SEC”), including under the caption “Risk Factors” in Agrify’s most recent Annual Report on Form 10-K filed with the SEC, which can be obtained on the SEC website at www.sec.gov. These forward-looking statements speak only as of the date of this communication. Except as required by applicable law, we do not plan to publicly update or revise any forward-looking statements, whether as a result of any new information, future events or otherwise. You are advised, however, to consult any further disclosures we make on related subjects in our public announcements and filings with the SEC.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and Media Inquiries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Ray Chang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 of Business Development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ray.chang@agrify.com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(781) 941-9338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1."/>
      <w:numFmt w:val="decimal"/>
      <w:start w:val="1"/>
    </w:lvl>
    <w:lvl w:ilvl="1">
      <w:lvlJc w:val="left"/>
      <w:lvlText w:val="(%2)"/>
      <w:numFmt w:val="lowerLetter"/>
      <w:start w:val="1"/>
    </w:lvl>
  </w:abstractNum>
  <w:abstractNum w:abstractNumId="4">
    <w:nsid w:val="70A64E2A"/>
    <w:multiLevelType w:val="hybridMultilevel"/>
    <w:lvl w:ilvl="0">
      <w:lvlJc w:val="left"/>
      <w:lvlText w:val="(%1)"/>
      <w:numFmt w:val="lowerLetter"/>
      <w:start w:val="2"/>
    </w:lvl>
  </w:abstractNum>
  <w:abstractNum w:abstractNumId="5">
    <w:nsid w:val="6A2342EC"/>
    <w:multiLevelType w:val="hybridMultilevel"/>
    <w:lvl w:ilvl="0">
      <w:lvlJc w:val="left"/>
      <w:lvlText w:val="(%1)"/>
      <w:numFmt w:val="lowerLetter"/>
      <w:start w:val="4"/>
    </w:lvl>
  </w:abstractNum>
  <w:abstractNum w:abstractNumId="6">
    <w:nsid w:val="2A487CB0"/>
    <w:multiLevelType w:val="hybridMultilevel"/>
    <w:lvl w:ilvl="0">
      <w:lvlJc w:val="left"/>
      <w:lvlText w:val="(%1)"/>
      <w:numFmt w:val="lowerLetter"/>
      <w:start w:val="5"/>
    </w:lvl>
  </w:abstractNum>
  <w:abstractNum w:abstractNumId="7">
    <w:nsid w:val="1D4ED43B"/>
    <w:multiLevelType w:val="hybridMultilevel"/>
    <w:lvl w:ilvl="0">
      <w:lvlJc w:val="left"/>
      <w:lvlText w:val="(%1)"/>
      <w:numFmt w:val="lowerLetter"/>
      <w:start w:val="6"/>
    </w:lvl>
  </w:abstractNum>
  <w:abstractNum w:abstractNumId="8">
    <w:nsid w:val="725A06FB"/>
    <w:multiLevelType w:val="hybridMultilevel"/>
    <w:lvl w:ilvl="0">
      <w:lvlJc w:val="left"/>
      <w:lvlText w:val="(%1)"/>
      <w:numFmt w:val="lowerLetter"/>
      <w:start w:val="7"/>
    </w:lvl>
  </w:abstractNum>
  <w:abstractNum w:abstractNumId="9">
    <w:nsid w:val="2CD89A32"/>
    <w:multiLevelType w:val="hybridMultilevel"/>
    <w:lvl w:ilvl="0">
      <w:lvlJc w:val="left"/>
      <w:lvlText w:val="%1."/>
      <w:numFmt w:val="decimal"/>
      <w:start w:val="2"/>
    </w:lvl>
    <w:lvl w:ilvl="1">
      <w:lvlJc w:val="left"/>
      <w:lvlText w:val="(%2)"/>
      <w:numFmt w:val="lowerLetter"/>
      <w:start w:val="1"/>
    </w:lvl>
  </w:abstractNum>
  <w:abstractNum w:abstractNumId="10">
    <w:nsid w:val="57E4CCAF"/>
    <w:multiLevelType w:val="hybridMultilevel"/>
    <w:lvl w:ilvl="0">
      <w:lvlJc w:val="left"/>
      <w:lvlText w:val="%1."/>
      <w:numFmt w:val="decimal"/>
      <w:start w:val="3"/>
    </w:lvl>
    <w:lvl w:ilvl="1">
      <w:lvlJc w:val="left"/>
      <w:lvlText w:val="(%2)"/>
      <w:numFmt w:val="lowerLetter"/>
      <w:start w:val="1"/>
    </w:lvl>
  </w:abstractNum>
  <w:abstractNum w:abstractNumId="11">
    <w:nsid w:val="7A6D8D3C"/>
    <w:multiLevelType w:val="hybridMultilevel"/>
    <w:lvl w:ilvl="0">
      <w:lvlJc w:val="left"/>
      <w:lvlText w:val="(%1)"/>
      <w:numFmt w:val="lowerLetter"/>
      <w:start w:val="2"/>
    </w:lvl>
  </w:abstractNum>
  <w:abstractNum w:abstractNumId="12">
    <w:nsid w:val="4B588F54"/>
    <w:multiLevelType w:val="hybridMultilevel"/>
    <w:lvl w:ilvl="0">
      <w:lvlJc w:val="left"/>
      <w:lvlText w:val="%1."/>
      <w:numFmt w:val="decimal"/>
      <w:start w:val="5"/>
    </w:lvl>
    <w:lvl w:ilvl="1">
      <w:lvlJc w:val="left"/>
      <w:lvlText w:val="(%2)"/>
      <w:numFmt w:val="lowerLetter"/>
      <w:start w:val="1"/>
    </w:lvl>
  </w:abstractNum>
  <w:abstractNum w:abstractNumId="13">
    <w:nsid w:val="542289EC"/>
    <w:multiLevelType w:val="hybridMultilevel"/>
    <w:lvl w:ilvl="0">
      <w:lvlJc w:val="left"/>
      <w:lvlText w:val="%1"/>
      <w:numFmt w:val="decimal"/>
      <w:start w:val="1"/>
    </w:lvl>
    <w:lvl w:ilvl="1">
      <w:lvlJc w:val="left"/>
      <w:lvlText w:val="(%2)"/>
      <w:numFmt w:val="lowerLetter"/>
      <w:start w:val="3"/>
    </w:lvl>
  </w:abstractNum>
  <w:abstractNum w:abstractNumId="14">
    <w:nsid w:val="6DE91B18"/>
    <w:multiLevelType w:val="hybridMultilevel"/>
    <w:lvl w:ilvl="0">
      <w:lvlJc w:val="left"/>
      <w:lvlText w:val="%1."/>
      <w:numFmt w:val="decimal"/>
      <w:start w:val="8"/>
    </w:lvl>
    <w:lvl w:ilvl="1">
      <w:lvlJc w:val="left"/>
      <w:lvlText w:val="%2"/>
      <w:numFmt w:val="lowerLetter"/>
      <w:start w:val="1"/>
    </w:lvl>
  </w:abstractNum>
  <w:abstractNum w:abstractNumId="15">
    <w:nsid w:val="38437FDB"/>
    <w:multiLevelType w:val="hybridMultilevel"/>
    <w:lvl w:ilvl="0">
      <w:lvlJc w:val="left"/>
      <w:lvlText w:val="(%1)"/>
      <w:numFmt w:val="lowerRoman"/>
      <w:start w:val="2"/>
    </w:lvl>
  </w:abstractNum>
  <w:abstractNum w:abstractNumId="16">
    <w:nsid w:val="7644A45C"/>
    <w:multiLevelType w:val="hybridMultilevel"/>
    <w:lvl w:ilvl="0">
      <w:lvlJc w:val="left"/>
      <w:lvlText w:val="%1."/>
      <w:numFmt w:val="decimal"/>
      <w:start w:val="9"/>
    </w:lvl>
  </w:abstractNum>
  <w:abstractNum w:abstractNumId="17">
    <w:nsid w:val="32FFF902"/>
    <w:multiLevelType w:val="hybridMultilevel"/>
    <w:lvl w:ilvl="0">
      <w:lvlJc w:val="left"/>
      <w:lvlText w:val="%1."/>
      <w:numFmt w:val="decimal"/>
      <w:start w:val="10"/>
    </w:lvl>
  </w:abstractNum>
  <w:abstractNum w:abstractNumId="18">
    <w:nsid w:val="684A481A"/>
    <w:multiLevelType w:val="hybridMultilevel"/>
    <w:lvl w:ilvl="0">
      <w:lvlJc w:val="left"/>
      <w:lvlText w:val="%1."/>
      <w:numFmt w:val="decimal"/>
      <w:start w:val="13"/>
    </w:lvl>
    <w:lvl w:ilvl="1">
      <w:lvlJc w:val="left"/>
      <w:lvlText w:val="(%2)"/>
      <w:numFmt w:val="lowerLetter"/>
      <w:start w:val="1"/>
    </w:lvl>
    <w:lvl w:ilvl="2">
      <w:lvlJc w:val="left"/>
      <w:lvlText w:val="(%3)"/>
      <w:numFmt w:val="decimal"/>
      <w:start w:val="1"/>
    </w:lvl>
  </w:abstractNum>
  <w:abstractNum w:abstractNumId="19">
    <w:nsid w:val="579478FE"/>
    <w:multiLevelType w:val="hybridMultilevel"/>
    <w:lvl w:ilvl="0">
      <w:lvlJc w:val="left"/>
      <w:lvlText w:val="%1."/>
      <w:numFmt w:val="decimal"/>
      <w:start w:val="15"/>
    </w:lvl>
  </w:abstractNum>
  <w:abstractNum w:abstractNumId="20">
    <w:nsid w:val="749ABB43"/>
    <w:multiLevelType w:val="hybridMultilevel"/>
    <w:lvl w:ilvl="0">
      <w:lvlJc w:val="left"/>
      <w:lvlText w:val="%1."/>
      <w:numFmt w:val="decimal"/>
      <w:start w:val="19"/>
    </w:lvl>
    <w:lvl w:ilvl="1">
      <w:lvlJc w:val="left"/>
      <w:lvlText w:val="(%2)"/>
      <w:numFmt w:val="lowerLetter"/>
      <w:start w:val="1"/>
    </w:lvl>
  </w:abstractNum>
  <w:abstractNum w:abstractNumId="21">
    <w:nsid w:val="3DC240FB"/>
    <w:multiLevelType w:val="hybridMultilevel"/>
    <w:lvl w:ilvl="0">
      <w:lvlJc w:val="left"/>
      <w:lvlText w:val="(%1)"/>
      <w:numFmt w:val="lowerLetter"/>
      <w:start w:val="7"/>
    </w:lvl>
  </w:abstractNum>
  <w:abstractNum w:abstractNumId="22">
    <w:nsid w:val="1BA026FA"/>
    <w:multiLevelType w:val="hybridMultilevel"/>
    <w:lvl w:ilvl="0">
      <w:lvlJc w:val="left"/>
      <w:lvlText w:val="(%1)"/>
      <w:numFmt w:val="lowerLetter"/>
      <w:start w:val="12"/>
    </w:lvl>
  </w:abstractNum>
  <w:abstractNum w:abstractNumId="23">
    <w:nsid w:val="79A1DEAA"/>
    <w:multiLevelType w:val="hybridMultilevel"/>
    <w:lvl w:ilvl="0">
      <w:lvlJc w:val="left"/>
      <w:lvlText w:val="(%1)"/>
      <w:numFmt w:val="lowerLetter"/>
      <w:start w:val="15"/>
    </w:lvl>
  </w:abstractNum>
  <w:abstractNum w:abstractNumId="24">
    <w:nsid w:val="75C6C33A"/>
    <w:multiLevelType w:val="hybridMultilevel"/>
    <w:lvl w:ilvl="0">
      <w:lvlJc w:val="left"/>
      <w:lvlText w:val="%1"/>
      <w:numFmt w:val="lowerLetter"/>
      <w:start w:val="1"/>
    </w:lvl>
    <w:lvl w:ilvl="1">
      <w:lvlJc w:val="left"/>
      <w:lvlText w:val="(%2)"/>
      <w:numFmt w:val="lowerLetter"/>
      <w:start w:val="17"/>
    </w:lvl>
  </w:abstractNum>
  <w:abstractNum w:abstractNumId="25">
    <w:nsid w:val="12E685FB"/>
    <w:multiLevelType w:val="hybridMultilevel"/>
    <w:lvl w:ilvl="0">
      <w:lvlJc w:val="left"/>
      <w:lvlText w:val="(%1)"/>
      <w:numFmt w:val="lowerLetter"/>
      <w:start w:val="25"/>
    </w:lvl>
    <w:lvl w:ilvl="1">
      <w:lvlJc w:val="left"/>
      <w:lvlText w:val="(%2)"/>
      <w:numFmt w:val="lowerLetter"/>
      <w:start w:val="23"/>
    </w:lvl>
  </w:abstractNum>
  <w:abstractNum w:abstractNumId="26">
    <w:nsid w:val="70C6A529"/>
    <w:multiLevelType w:val="hybridMultilevel"/>
    <w:lvl w:ilvl="0">
      <w:lvlJc w:val="left"/>
      <w:lvlText w:val="(%1)"/>
      <w:numFmt w:val="lowerLetter"/>
      <w:start w:val="26"/>
    </w:lvl>
  </w:abstractNum>
  <w:abstractNum w:abstractNumId="27">
    <w:nsid w:val="520EEDD1"/>
    <w:multiLevelType w:val="hybridMultilevel"/>
    <w:lvl w:ilvl="0">
      <w:lvlJc w:val="left"/>
      <w:lvlText w:val="(%1)"/>
      <w:numFmt w:val="lowerLetter"/>
      <w:start w:val="27"/>
    </w:lvl>
  </w:abstractNum>
  <w:abstractNum w:abstractNumId="28">
    <w:nsid w:val="374A3FE6"/>
    <w:multiLevelType w:val="hybridMultilevel"/>
    <w:lvl w:ilvl="0">
      <w:lvlJc w:val="left"/>
      <w:lvlText w:val="%1."/>
      <w:numFmt w:val="decimal"/>
      <w:start w:val="1"/>
    </w:lvl>
  </w:abstractNum>
  <w:abstractNum w:abstractNumId="29">
    <w:nsid w:val="4F4EF005"/>
    <w:multiLevelType w:val="hybridMultilevel"/>
    <w:lvl w:ilvl="0">
      <w:lvlJc w:val="left"/>
      <w:lvlText w:val="%1."/>
      <w:numFmt w:val="decimal"/>
      <w:start w:val="1"/>
    </w:lvl>
    <w:lvl w:ilvl="1">
      <w:lvlJc w:val="left"/>
      <w:lvlText w:val="(%2)"/>
      <w:numFmt w:val="lowerLetter"/>
      <w:start w:val="1"/>
    </w:lvl>
  </w:abstractNum>
  <w:abstractNum w:abstractNumId="30">
    <w:nsid w:val="23F9C13C"/>
    <w:multiLevelType w:val="hybridMultilevel"/>
    <w:lvl w:ilvl="0">
      <w:lvlJc w:val="left"/>
      <w:lvlText w:val="(%1)"/>
      <w:numFmt w:val="lowerLetter"/>
      <w:start w:val="2"/>
    </w:lvl>
  </w:abstractNum>
  <w:abstractNum w:abstractNumId="31">
    <w:nsid w:val="649BB77C"/>
    <w:multiLevelType w:val="hybridMultilevel"/>
    <w:lvl w:ilvl="0">
      <w:lvlJc w:val="left"/>
      <w:lvlText w:val="(%1)"/>
      <w:numFmt w:val="lowerLetter"/>
      <w:start w:val="4"/>
    </w:lvl>
  </w:abstractNum>
  <w:abstractNum w:abstractNumId="32">
    <w:nsid w:val="275AC794"/>
    <w:multiLevelType w:val="hybridMultilevel"/>
    <w:lvl w:ilvl="0">
      <w:lvlJc w:val="left"/>
      <w:lvlText w:val="(%1)"/>
      <w:numFmt w:val="lowerLetter"/>
      <w:start w:val="5"/>
    </w:lvl>
  </w:abstractNum>
  <w:abstractNum w:abstractNumId="33">
    <w:nsid w:val="39386575"/>
    <w:multiLevelType w:val="hybridMultilevel"/>
    <w:lvl w:ilvl="0">
      <w:lvlJc w:val="left"/>
      <w:lvlText w:val="(%1)"/>
      <w:numFmt w:val="lowerLetter"/>
      <w:start w:val="6"/>
    </w:lvl>
  </w:abstractNum>
  <w:abstractNum w:abstractNumId="34">
    <w:nsid w:val="1CF10FD8"/>
    <w:multiLevelType w:val="hybridMultilevel"/>
    <w:lvl w:ilvl="0">
      <w:lvlJc w:val="left"/>
      <w:lvlText w:val="(%1)"/>
      <w:numFmt w:val="lowerLetter"/>
      <w:start w:val="7"/>
    </w:lvl>
  </w:abstractNum>
  <w:abstractNum w:abstractNumId="35">
    <w:nsid w:val="180115BE"/>
    <w:multiLevelType w:val="hybridMultilevel"/>
    <w:lvl w:ilvl="0">
      <w:lvlJc w:val="left"/>
      <w:lvlText w:val="%1."/>
      <w:numFmt w:val="decimal"/>
      <w:start w:val="2"/>
    </w:lvl>
    <w:lvl w:ilvl="1">
      <w:lvlJc w:val="left"/>
      <w:lvlText w:val="(%2)"/>
      <w:numFmt w:val="lowerLetter"/>
      <w:start w:val="1"/>
    </w:lvl>
  </w:abstractNum>
  <w:abstractNum w:abstractNumId="36">
    <w:nsid w:val="235BA861"/>
    <w:multiLevelType w:val="hybridMultilevel"/>
    <w:lvl w:ilvl="0">
      <w:lvlJc w:val="left"/>
      <w:lvlText w:val="%1"/>
      <w:numFmt w:val="decimal"/>
      <w:start w:val="1"/>
    </w:lvl>
    <w:lvl w:ilvl="1">
      <w:lvlJc w:val="left"/>
      <w:lvlText w:val="(%2)"/>
      <w:numFmt w:val="lowerLetter"/>
      <w:start w:val="2"/>
    </w:lvl>
  </w:abstractNum>
  <w:abstractNum w:abstractNumId="37">
    <w:nsid w:val="47398C89"/>
    <w:multiLevelType w:val="hybridMultilevel"/>
    <w:lvl w:ilvl="0">
      <w:lvlJc w:val="left"/>
      <w:lvlText w:val="%1."/>
      <w:numFmt w:val="decimal"/>
      <w:start w:val="5"/>
    </w:lvl>
    <w:lvl w:ilvl="1">
      <w:lvlJc w:val="left"/>
      <w:lvlText w:val="%2"/>
      <w:numFmt w:val="lowerLetter"/>
      <w:start w:val="1"/>
    </w:lvl>
  </w:abstractNum>
  <w:abstractNum w:abstractNumId="38">
    <w:nsid w:val="354FE9F9"/>
    <w:multiLevelType w:val="hybridMultilevel"/>
    <w:lvl w:ilvl="0">
      <w:lvlJc w:val="left"/>
      <w:lvlText w:val="%1."/>
      <w:numFmt w:val="decimal"/>
      <w:start w:val="6"/>
    </w:lvl>
    <w:lvl w:ilvl="1">
      <w:lvlJc w:val="left"/>
      <w:lvlText w:val="(%2)"/>
      <w:numFmt w:val="lowerLetter"/>
      <w:start w:val="1"/>
    </w:lvl>
  </w:abstractNum>
  <w:abstractNum w:abstractNumId="39">
    <w:nsid w:val="15B5AF5C"/>
    <w:multiLevelType w:val="hybridMultilevel"/>
    <w:lvl w:ilvl="0">
      <w:lvlJc w:val="left"/>
      <w:lvlText w:val="%1."/>
      <w:numFmt w:val="decimal"/>
      <w:start w:val="8"/>
    </w:lvl>
  </w:abstractNum>
  <w:abstractNum w:abstractNumId="40">
    <w:nsid w:val="741226BB"/>
    <w:multiLevelType w:val="hybridMultilevel"/>
    <w:lvl w:ilvl="0">
      <w:lvlJc w:val="left"/>
      <w:lvlText w:val="(%1)"/>
      <w:numFmt w:val="lowerRoman"/>
      <w:start w:val="2"/>
    </w:lvl>
  </w:abstractNum>
  <w:abstractNum w:abstractNumId="41">
    <w:nsid w:val="D34B6A8"/>
    <w:multiLevelType w:val="hybridMultilevel"/>
    <w:lvl w:ilvl="0">
      <w:lvlJc w:val="left"/>
      <w:lvlText w:val="%1."/>
      <w:numFmt w:val="decimal"/>
      <w:start w:val="9"/>
    </w:lvl>
  </w:abstractNum>
  <w:abstractNum w:abstractNumId="42">
    <w:nsid w:val="10233C99"/>
    <w:multiLevelType w:val="hybridMultilevel"/>
    <w:lvl w:ilvl="0">
      <w:lvlJc w:val="left"/>
      <w:lvlText w:val="%1."/>
      <w:numFmt w:val="decimal"/>
      <w:start w:val="11"/>
    </w:lvl>
    <w:lvl w:ilvl="1">
      <w:lvlJc w:val="left"/>
      <w:lvlText w:val="(%2)"/>
      <w:numFmt w:val="lowerLetter"/>
      <w:start w:val="1"/>
    </w:lvl>
    <w:lvl w:ilvl="2">
      <w:lvlJc w:val="left"/>
      <w:lvlText w:val="(%3)"/>
      <w:numFmt w:val="decimal"/>
      <w:start w:val="1"/>
    </w:lvl>
  </w:abstractNum>
  <w:abstractNum w:abstractNumId="43">
    <w:nsid w:val="3F6AB60F"/>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abstractNum>
  <w:abstractNum w:abstractNumId="44">
    <w:nsid w:val="61574095"/>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45">
    <w:nsid w:val="7E0C57B1"/>
    <w:multiLevelType w:val="hybridMultilevel"/>
    <w:lvl w:ilvl="0">
      <w:lvlJc w:val="left"/>
      <w:lvlText w:val="%1."/>
      <w:numFmt w:val="decimal"/>
      <w:start w:val="15"/>
    </w:lvl>
    <w:lvl w:ilvl="1">
      <w:lvlJc w:val="left"/>
      <w:lvlText w:val="%2"/>
      <w:numFmt w:val="lowerLetter"/>
      <w:start w:val="1"/>
    </w:lvl>
    <w:lvl w:ilvl="2">
      <w:lvlJc w:val="left"/>
      <w:lvlText w:val="%3"/>
      <w:numFmt w:val="decimal"/>
      <w:start w:val="1"/>
    </w:lvl>
  </w:abstractNum>
  <w:abstractNum w:abstractNumId="46">
    <w:nsid w:val="77AE35EB"/>
    <w:multiLevelType w:val="hybridMultilevel"/>
    <w:lvl w:ilvl="0">
      <w:lvlJc w:val="left"/>
      <w:lvlText w:val="%1."/>
      <w:numFmt w:val="decimal"/>
      <w:start w:val="16"/>
    </w:lvl>
    <w:lvl w:ilvl="1">
      <w:lvlJc w:val="left"/>
      <w:lvlText w:val="(%2)"/>
      <w:numFmt w:val="lowerLetter"/>
      <w:start w:val="1"/>
    </w:lvl>
  </w:abstractNum>
  <w:abstractNum w:abstractNumId="47">
    <w:nsid w:val="579BE4F1"/>
    <w:multiLevelType w:val="hybridMultilevel"/>
    <w:lvl w:ilvl="0">
      <w:lvlJc w:val="left"/>
      <w:lvlText w:val="(%1)"/>
      <w:numFmt w:val="lowerLetter"/>
      <w:start w:val="3"/>
    </w:lvl>
  </w:abstractNum>
  <w:abstractNum w:abstractNumId="48">
    <w:nsid w:val="310C50B3"/>
    <w:multiLevelType w:val="hybridMultilevel"/>
    <w:lvl w:ilvl="0">
      <w:lvlJc w:val="left"/>
      <w:lvlText w:val="(%1)"/>
      <w:numFmt w:val="lowerLetter"/>
      <w:start w:val="8"/>
    </w:lvl>
  </w:abstractNum>
  <w:abstractNum w:abstractNumId="49">
    <w:nsid w:val="5FF87E05"/>
    <w:multiLevelType w:val="hybridMultilevel"/>
    <w:lvl w:ilvl="0">
      <w:lvlJc w:val="left"/>
      <w:lvlText w:val="(%1)"/>
      <w:numFmt w:val="lowerLetter"/>
      <w:start w:val="14"/>
    </w:lvl>
  </w:abstractNum>
  <w:abstractNum w:abstractNumId="50">
    <w:nsid w:val="2F305DEF"/>
    <w:multiLevelType w:val="hybridMultilevel"/>
    <w:lvl w:ilvl="0">
      <w:lvlJc w:val="left"/>
      <w:lvlText w:val="(%1)"/>
      <w:numFmt w:val="lowerLetter"/>
      <w:start w:val="18"/>
    </w:lvl>
  </w:abstractNum>
  <w:abstractNum w:abstractNumId="51">
    <w:nsid w:val="25A70BF7"/>
    <w:multiLevelType w:val="hybridMultilevel"/>
    <w:lvl w:ilvl="0">
      <w:lvlJc w:val="left"/>
      <w:lvlText w:val="(%1)"/>
      <w:numFmt w:val="lowerLetter"/>
      <w:start w:val="27"/>
    </w:lvl>
  </w:abstractNum>
  <w:abstractNum w:abstractNumId="52">
    <w:nsid w:val="1DBABF00"/>
    <w:multiLevelType w:val="hybridMultilevel"/>
    <w:lvl w:ilvl="0">
      <w:lvlJc w:val="left"/>
      <w:lvlText w:val="%1."/>
      <w:numFmt w:val="decimal"/>
      <w:start w:val="1"/>
    </w:lvl>
  </w:abstractNum>
  <w:abstractNum w:abstractNumId="53">
    <w:nsid w:val="4AD084E9"/>
    <w:multiLevelType w:val="hybridMultilevel"/>
    <w:lvl w:ilvl="0">
      <w:lvlJc w:val="left"/>
      <w:lvlText w:val="%1)"/>
      <w:numFmt w:val="lowerLetter"/>
      <w:start w:val="1"/>
    </w:lvl>
  </w:abstractNum>
  <w:abstractNum w:abstractNumId="54">
    <w:nsid w:val="1F48EAA1"/>
    <w:multiLevelType w:val="hybridMultilevel"/>
    <w:lvl w:ilvl="0">
      <w:lvlJc w:val="left"/>
      <w:lvlText w:val="%1)"/>
      <w:numFmt w:val="lowerLetter"/>
      <w:start w:val="2"/>
    </w:lvl>
  </w:abstractNum>
  <w:abstractNum w:abstractNumId="55">
    <w:nsid w:val="1381823A"/>
    <w:multiLevelType w:val="hybridMultilevel"/>
    <w:lvl w:ilvl="0">
      <w:lvlJc w:val="left"/>
      <w:lvlText w:val="(%1)"/>
      <w:numFmt w:val="upperLetter"/>
      <w:start w:val="24"/>
    </w:lvl>
  </w:abstractNum>
  <w:abstractNum w:abstractNumId="56">
    <w:nsid w:val="5DB70AE5"/>
    <w:multiLevelType w:val="hybridMultilevel"/>
    <w:lvl w:ilvl="0">
      <w:lvlJc w:val="left"/>
      <w:lvlText w:val="%1."/>
      <w:numFmt w:val="lowerRoman"/>
      <w:start w:val="3"/>
    </w:lvl>
  </w:abstractNum>
  <w:abstractNum w:abstractNumId="57">
    <w:nsid w:val="100F8FCA"/>
    <w:multiLevelType w:val="hybridMultilevel"/>
    <w:lvl w:ilvl="0">
      <w:lvlJc w:val="left"/>
      <w:lvlText w:val="%1)"/>
      <w:numFmt w:val="lowerLetter"/>
      <w:start w:val="5"/>
    </w:lvl>
  </w:abstractNum>
  <w:abstractNum w:abstractNumId="58">
    <w:nsid w:val="6590700B"/>
    <w:multiLevelType w:val="hybridMultilevel"/>
    <w:lvl w:ilvl="0">
      <w:lvlJc w:val="left"/>
      <w:lvlText w:val="%1)"/>
      <w:numFmt w:val="lowerLetter"/>
      <w:start w:val="1"/>
    </w:lvl>
  </w:abstractNum>
  <w:abstractNum w:abstractNumId="59">
    <w:nsid w:val="15014ACB"/>
    <w:multiLevelType w:val="hybridMultilevel"/>
    <w:lvl w:ilvl="0">
      <w:lvlJc w:val="left"/>
      <w:lvlText w:val="%1)"/>
      <w:numFmt w:val="lowerLetter"/>
      <w:start w:val="4"/>
    </w:lvl>
  </w:abstractNum>
  <w:abstractNum w:abstractNumId="60">
    <w:nsid w:val="5F5E7FD0"/>
    <w:multiLevelType w:val="hybridMultilevel"/>
    <w:lvl w:ilvl="0">
      <w:lvlJc w:val="left"/>
      <w:lvlText w:val="%1)"/>
      <w:numFmt w:val="lowerLetter"/>
      <w:start w:val="5"/>
    </w:lvl>
  </w:abstractNum>
  <w:abstractNum w:abstractNumId="61">
    <w:nsid w:val="98A3148"/>
    <w:multiLevelType w:val="hybridMultilevel"/>
    <w:lvl w:ilvl="0">
      <w:lvlJc w:val="left"/>
      <w:lvlText w:val="%1)"/>
      <w:numFmt w:val="lowerLetter"/>
      <w:start w:val="1"/>
    </w:lvl>
  </w:abstractNum>
  <w:abstractNum w:abstractNumId="62">
    <w:nsid w:val="799D0247"/>
    <w:multiLevelType w:val="hybridMultilevel"/>
    <w:lvl w:ilvl="0">
      <w:lvlJc w:val="left"/>
      <w:lvlText w:val="%1)"/>
      <w:numFmt w:val="lowerLetter"/>
      <w:start w:val="1"/>
    </w:lvl>
  </w:abstractNum>
  <w:abstractNum w:abstractNumId="63">
    <w:nsid w:val="6B94764"/>
    <w:multiLevelType w:val="hybridMultilevel"/>
    <w:lvl w:ilvl="0">
      <w:lvlJc w:val="left"/>
      <w:lvlText w:val="%1)"/>
      <w:numFmt w:val="lowerLetter"/>
      <w:start w:val="5"/>
    </w:lvl>
  </w:abstractNum>
  <w:abstractNum w:abstractNumId="64">
    <w:nsid w:val="42C296BD"/>
    <w:multiLevelType w:val="hybridMultilevel"/>
    <w:lvl w:ilvl="0">
      <w:lvlJc w:val="left"/>
      <w:lvlText w:val="%1)"/>
      <w:numFmt w:val="lowerLetter"/>
      <w:start w:val="9"/>
    </w:lvl>
  </w:abstractNum>
  <w:abstractNum w:abstractNumId="65">
    <w:nsid w:val="168E121F"/>
    <w:multiLevelType w:val="hybridMultilevel"/>
    <w:lvl w:ilvl="0">
      <w:lvlJc w:val="left"/>
      <w:lvlText w:val="(%1)"/>
      <w:numFmt w:val="decimal"/>
      <w:start w:val="1"/>
    </w:lvl>
    <w:lvl w:ilvl="1">
      <w:lvlJc w:val="left"/>
      <w:lvlText w:val="☐"/>
      <w:numFmt w:val="bullet"/>
      <w:start w:val="1"/>
    </w:lvl>
  </w:abstractNum>
  <w:abstractNum w:abstractNumId="66">
    <w:nsid w:val="1EBA5D23"/>
    <w:multiLevelType w:val="hybridMultilevel"/>
    <w:lvl w:ilvl="0">
      <w:lvlJc w:val="left"/>
      <w:lvlText w:val="(%1)"/>
      <w:numFmt w:val="decimal"/>
      <w:start w:val="4"/>
    </w:lvl>
  </w:abstractNum>
  <w:abstractNum w:abstractNumId="67">
    <w:nsid w:val="661E3F1E"/>
    <w:multiLevelType w:val="hybridMultilevel"/>
    <w:lvl w:ilvl="0">
      <w:lvlJc w:val="left"/>
      <w:lvlText w:val="%1."/>
      <w:numFmt w:val="decimal"/>
      <w:start w:val="1"/>
    </w:lvl>
  </w:abstractNum>
  <w:abstractNum w:abstractNumId="68">
    <w:nsid w:val="5DC79EA8"/>
    <w:multiLevelType w:val="hybridMultilevel"/>
    <w:lvl w:ilvl="0">
      <w:lvlJc w:val="left"/>
      <w:lvlText w:val="%1."/>
      <w:numFmt w:val="decimal"/>
      <w:start w:val="4"/>
    </w:lvl>
  </w:abstractNum>
  <w:abstractNum w:abstractNumId="69">
    <w:nsid w:val="540A471C"/>
    <w:multiLevelType w:val="hybridMultilevel"/>
    <w:lvl w:ilvl="0">
      <w:lvlJc w:val="left"/>
      <w:lvlText w:val="%1."/>
      <w:numFmt w:val="decimal"/>
      <w:start w:val="8"/>
    </w:lvl>
  </w:abstractNum>
  <w:abstractNum w:abstractNumId="70">
    <w:nsid w:val="7BD3EE7B"/>
    <w:multiLevelType w:val="hybridMultilevel"/>
    <w:lvl w:ilvl="0">
      <w:lvlJc w:val="left"/>
      <w:lvlText w:val="%1."/>
      <w:numFmt w:val="upperLetter"/>
      <w:start w:val="1"/>
    </w:lvl>
    <w:lvl w:ilvl="1">
      <w:lvlJc w:val="left"/>
      <w:lvlText w:val="%2."/>
      <w:numFmt w:val="lowerLetter"/>
      <w:start w:val="1"/>
    </w:lvl>
  </w:abstractNum>
  <w:abstractNum w:abstractNumId="71">
    <w:nsid w:val="51D9C564"/>
    <w:multiLevelType w:val="hybridMultilevel"/>
    <w:lvl w:ilvl="0">
      <w:lvlJc w:val="left"/>
      <w:lvlText w:val="%1"/>
      <w:numFmt w:val="upperLetter"/>
      <w:start w:val="1"/>
    </w:lvl>
    <w:lvl w:ilvl="1">
      <w:lvlJc w:val="left"/>
      <w:lvlText w:val="%2."/>
      <w:numFmt w:val="lowerLetter"/>
      <w:start w:val="4"/>
    </w:lvl>
  </w:abstractNum>
  <w:abstractNum w:abstractNumId="72">
    <w:nsid w:val="613EFDC5"/>
    <w:multiLevelType w:val="hybridMultilevel"/>
    <w:lvl w:ilvl="0">
      <w:lvlJc w:val="left"/>
      <w:lvlText w:val="%1."/>
      <w:numFmt w:val="upperLetter"/>
      <w:start w:val="3"/>
    </w:lvl>
    <w:lvl w:ilvl="1">
      <w:lvlJc w:val="left"/>
      <w:lvlText w:val="%2."/>
      <w:numFmt w:val="lowerLetter"/>
      <w:start w:val="1"/>
    </w:lvl>
  </w:abstractNum>
  <w:abstractNum w:abstractNumId="73">
    <w:nsid w:val="BF72B14"/>
    <w:multiLevelType w:val="hybridMultilevel"/>
    <w:lvl w:ilvl="0">
      <w:lvlJc w:val="left"/>
      <w:lvlText w:val="%1."/>
      <w:numFmt w:val="lowerLetter"/>
      <w:start w:val="2"/>
    </w:lvl>
    <w:lvl w:ilvl="1">
      <w:lvlJc w:val="left"/>
      <w:lvlText w:val="%2."/>
      <w:numFmt w:val="lowerRoman"/>
      <w:start w:val="1"/>
    </w:lvl>
  </w:abstractNum>
  <w:abstractNum w:abstractNumId="74">
    <w:nsid w:val="11447B73"/>
    <w:multiLevelType w:val="hybridMultilevel"/>
    <w:lvl w:ilvl="0">
      <w:lvlJc w:val="left"/>
      <w:lvlText w:val="%1."/>
      <w:numFmt w:val="upperLetter"/>
      <w:start w:val="5"/>
    </w:lvl>
  </w:abstractNum>
  <w:abstractNum w:abstractNumId="75">
    <w:nsid w:val="42963E5A"/>
    <w:multiLevelType w:val="hybridMultilevel"/>
    <w:lvl w:ilvl="0">
      <w:lvlJc w:val="left"/>
      <w:lvlText w:val="%1."/>
      <w:numFmt w:val="upperLetter"/>
      <w:start w:val="6"/>
    </w:lvl>
  </w:abstractNum>
  <w:abstractNum w:abstractNumId="76">
    <w:nsid w:val="A0382C5"/>
    <w:multiLevelType w:val="hybridMultilevel"/>
    <w:lvl w:ilvl="0">
      <w:lvlJc w:val="left"/>
      <w:lvlText w:val="%1."/>
      <w:numFmt w:val="lowerLetter"/>
      <w:start w:val="1"/>
    </w:lvl>
  </w:abstractNum>
  <w:abstractNum w:abstractNumId="77">
    <w:nsid w:val="8F2B15E"/>
    <w:multiLevelType w:val="hybridMultilevel"/>
    <w:lvl w:ilvl="0">
      <w:lvlJc w:val="left"/>
      <w:lvlText w:val="%1."/>
      <w:numFmt w:val="decimal"/>
      <w:start w:val="7"/>
    </w:lvl>
  </w:abstractNum>
  <w:abstractNum w:abstractNumId="78">
    <w:nsid w:val="1A32234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2023-10-30T16:32:59Z</dcterms:created>
  <dcterms:modified xsi:type="dcterms:W3CDTF">2023-10-30T16:32:59Z</dcterms:modified>
</cp:coreProperties>
</file>